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0" w:before="0"/>
        <w:jc w:val="center"/>
      </w:pPr>
      <w:r>
        <w:rPr>
          <w:rFonts w:ascii="Arial" w:cs="Arial" w:eastAsia="Arial" w:hAnsi="Arial"/>
          <w:b/>
          <w:bCs/>
          <w:caps/>
          <w:color w:val="2E75B6"/>
          <w:sz w:val="20"/>
          <w:szCs w:val="20"/>
        </w:rPr>
        <w:t xml:space="preserve">STANDARD OPERATING PROCEDURE</w:t>
      </w:r>
    </w:p>
    <w:p>
      <w:pPr>
        <w:spacing w:after="0" w:before="200"/>
      </w:pPr>
      <w:r>
        <w:t xml:space="preserve"/>
      </w:r>
    </w:p>
    <w:p>
      <w:pPr>
        <w:spacing w:after="0" w:before="0"/>
        <w:jc w:val="center"/>
      </w:pPr>
      <w:r>
        <w:rPr>
          <w:rFonts w:ascii="Arial" w:cs="Arial" w:eastAsia="Arial" w:hAnsi="Arial"/>
          <w:b/>
          <w:bCs/>
          <w:color w:val="1F3864"/>
          <w:sz w:val="52"/>
          <w:szCs w:val="52"/>
        </w:rPr>
        <w:t xml:space="preserve">MuleSoft Spike Control Policy</w:t>
      </w:r>
    </w:p>
    <w:p>
      <w:pPr>
        <w:spacing w:after="0" w:before="80"/>
      </w:pPr>
      <w:r>
        <w:t xml:space="preserve"/>
      </w:r>
    </w:p>
    <w:p>
      <w:pPr>
        <w:spacing w:after="0" w:before="0"/>
        <w:jc w:val="center"/>
      </w:pPr>
      <w:r>
        <w:rPr>
          <w:rFonts w:ascii="Arial" w:cs="Arial" w:eastAsia="Arial" w:hAnsi="Arial"/>
          <w:i/>
          <w:iCs/>
          <w:color w:val="2E75B6"/>
          <w:sz w:val="22"/>
          <w:szCs w:val="22"/>
        </w:rPr>
        <w:t xml:space="preserve">Configuration, Calculation &amp; Governance for Multi-Region / Multi-Pod Deployments on Anypoint PCE Runtime Fabric (Kubernetes)</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Document ID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MUL-SOP-SPIKE-002</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Version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Status</w:t>
            </w:r>
          </w:p>
        </w:tc>
        <w:tc>
          <w:tcPr>
            <w:tcW w:type="dxa" w:w="6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33333"/>
                <w:sz w:val="19"/>
                <w:szCs w:val="19"/>
              </w:rPr>
              <w:t xml:space="preserve">Active</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Effective Date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June 2026</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Platform</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Anypoint PCE Runtime Fabric on Kubernetes</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Owner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Integration Architecture / Platform Engineering</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Classification</w:t>
            </w:r>
          </w:p>
        </w:tc>
        <w:tc>
          <w:tcPr>
            <w:tcW w:type="dxa" w:w="65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color w:val="333333"/>
                <w:sz w:val="19"/>
                <w:szCs w:val="19"/>
              </w:rPr>
              <w:t xml:space="preserve">Internal Use Only</w:t>
            </w:r>
          </w:p>
        </w:tc>
      </w:tr>
    </w:tbl>
    <w:p>
      <w:pPr>
        <w:spacing w:after="0" w:before="24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1. Purpose &amp; Scope</w:t>
      </w:r>
    </w:p>
    <w:p>
      <w:pPr>
        <w:spacing w:after="80" w:before="60"/>
      </w:pPr>
      <w:r>
        <w:rPr>
          <w:rFonts w:ascii="Arial" w:cs="Arial" w:eastAsia="Arial" w:hAnsi="Arial"/>
          <w:sz w:val="20"/>
          <w:szCs w:val="20"/>
        </w:rPr>
        <w:t xml:space="preserve">This Standard Operating Procedure (SOP) defines the guidelines, calculation methodology, and governance processes for configuring MuleSoft Spike Control policies across all integration environments deployed on Anypoint PCE (Private Cloud Edition) Runtime Fabric (RTF) on Kubernetes. It ensures backend systems are protected from traffic surges while maintaining optimal throughput in a distributed, multi-region deployment landscape.</w:t>
      </w:r>
    </w:p>
    <w:p>
      <w:pPr>
        <w:spacing w:after="0" w:before="80"/>
      </w:pPr>
      <w:r>
        <w:t xml:space="preserve"/>
      </w:r>
    </w:p>
    <w:p>
      <w:pPr>
        <w:pStyle w:val="Heading2"/>
        <w:spacing w:after="100" w:before="280"/>
      </w:pPr>
      <w:r>
        <w:rPr>
          <w:rFonts w:ascii="Arial" w:cs="Arial" w:eastAsia="Arial" w:hAnsi="Arial"/>
          <w:b/>
          <w:bCs/>
          <w:color w:val="2E75B6"/>
          <w:sz w:val="24"/>
          <w:szCs w:val="24"/>
        </w:rPr>
        <w:t xml:space="preserve">1.1 Objectives</w:t>
      </w:r>
    </w:p>
    <w:p>
      <w:pPr>
        <w:pStyle w:val="ListParagraph"/>
        <w:numPr>
          <w:ilvl w:val="0"/>
          <w:numId w:val="2"/>
        </w:numPr>
        <w:spacing w:after="40" w:before="40"/>
      </w:pPr>
      <w:r>
        <w:rPr>
          <w:rFonts w:ascii="Arial" w:cs="Arial" w:eastAsia="Arial" w:hAnsi="Arial"/>
          <w:sz w:val="20"/>
          <w:szCs w:val="20"/>
        </w:rPr>
        <w:t xml:space="preserve">Prevent backend systems from being overwhelmed by sudden traffic spikes originating from MuleSoft APIs running on Kubernetes pods.</w:t>
      </w:r>
    </w:p>
    <w:p>
      <w:pPr>
        <w:pStyle w:val="ListParagraph"/>
        <w:numPr>
          <w:ilvl w:val="0"/>
          <w:numId w:val="2"/>
        </w:numPr>
        <w:spacing w:after="40" w:before="40"/>
      </w:pPr>
      <w:r>
        <w:rPr>
          <w:rFonts w:ascii="Arial" w:cs="Arial" w:eastAsia="Arial" w:hAnsi="Arial"/>
          <w:sz w:val="20"/>
          <w:szCs w:val="20"/>
        </w:rPr>
        <w:t xml:space="preserve">Provide a standardised, repeatable formula for determining spike control parameters per environment and per Kubernetes deployment.</w:t>
      </w:r>
    </w:p>
    <w:p>
      <w:pPr>
        <w:pStyle w:val="ListParagraph"/>
        <w:numPr>
          <w:ilvl w:val="0"/>
          <w:numId w:val="2"/>
        </w:numPr>
        <w:spacing w:after="40" w:before="40"/>
      </w:pPr>
      <w:r>
        <w:rPr>
          <w:rFonts w:ascii="Arial" w:cs="Arial" w:eastAsia="Arial" w:hAnsi="Arial"/>
          <w:sz w:val="20"/>
          <w:szCs w:val="20"/>
        </w:rPr>
        <w:t xml:space="preserve">Address the architectural limitation that MuleSoft Spike Control does not support clustering across Kubernetes pods — and document the manual compensation approach.</w:t>
      </w:r>
    </w:p>
    <w:p>
      <w:pPr>
        <w:pStyle w:val="ListParagraph"/>
        <w:numPr>
          <w:ilvl w:val="0"/>
          <w:numId w:val="2"/>
        </w:numPr>
        <w:spacing w:after="40" w:before="40"/>
      </w:pPr>
      <w:r>
        <w:rPr>
          <w:rFonts w:ascii="Arial" w:cs="Arial" w:eastAsia="Arial" w:hAnsi="Arial"/>
          <w:sz w:val="20"/>
          <w:szCs w:val="20"/>
        </w:rPr>
        <w:t xml:space="preserve">Define environment-specific policies for PR (Production), NPR (Non-Production), DR (Disaster Recovery), and NDR (Non-DR Non-Production).</w:t>
      </w:r>
    </w:p>
    <w:p>
      <w:pPr>
        <w:spacing w:after="0" w:before="80"/>
      </w:pPr>
      <w:r>
        <w:t xml:space="preserve"/>
      </w:r>
    </w:p>
    <w:p>
      <w:pPr>
        <w:pStyle w:val="Heading2"/>
        <w:spacing w:after="100" w:before="280"/>
      </w:pPr>
      <w:r>
        <w:rPr>
          <w:rFonts w:ascii="Arial" w:cs="Arial" w:eastAsia="Arial" w:hAnsi="Arial"/>
          <w:b/>
          <w:bCs/>
          <w:color w:val="2E75B6"/>
          <w:sz w:val="24"/>
          <w:szCs w:val="24"/>
        </w:rPr>
        <w:t xml:space="preserve">1.2 Scope</w:t>
      </w:r>
    </w:p>
    <w:p>
      <w:pPr>
        <w:pStyle w:val="ListParagraph"/>
        <w:numPr>
          <w:ilvl w:val="0"/>
          <w:numId w:val="2"/>
        </w:numPr>
        <w:spacing w:after="40" w:before="40"/>
      </w:pPr>
      <w:r>
        <w:rPr>
          <w:rFonts w:ascii="Arial" w:cs="Arial" w:eastAsia="Arial" w:hAnsi="Arial"/>
          <w:sz w:val="20"/>
          <w:szCs w:val="20"/>
        </w:rPr>
        <w:t xml:space="preserve">All MuleSoft APIs deployed on Anypoint PCE Runtime Fabric running on Kubernetes.</w:t>
      </w:r>
    </w:p>
    <w:p>
      <w:pPr>
        <w:pStyle w:val="ListParagraph"/>
        <w:numPr>
          <w:ilvl w:val="0"/>
          <w:numId w:val="2"/>
        </w:numPr>
        <w:spacing w:after="40" w:before="40"/>
      </w:pPr>
      <w:r>
        <w:rPr>
          <w:rFonts w:ascii="Arial" w:cs="Arial" w:eastAsia="Arial" w:hAnsi="Arial"/>
          <w:sz w:val="20"/>
          <w:szCs w:val="20"/>
        </w:rPr>
        <w:t xml:space="preserve">All environments: PR, NPR, DR, NDR.</w:t>
      </w:r>
    </w:p>
    <w:p>
      <w:pPr>
        <w:pStyle w:val="ListParagraph"/>
        <w:numPr>
          <w:ilvl w:val="0"/>
          <w:numId w:val="2"/>
        </w:numPr>
        <w:spacing w:after="40" w:before="40"/>
      </w:pPr>
      <w:r>
        <w:rPr>
          <w:rFonts w:ascii="Arial" w:cs="Arial" w:eastAsia="Arial" w:hAnsi="Arial"/>
          <w:sz w:val="20"/>
          <w:szCs w:val="20"/>
        </w:rPr>
        <w:t xml:space="preserve">All API tiers: System APIs, Process APIs, Experience APIs.</w:t>
      </w:r>
    </w:p>
    <w:p>
      <w:pPr>
        <w:pStyle w:val="ListParagraph"/>
        <w:numPr>
          <w:ilvl w:val="0"/>
          <w:numId w:val="2"/>
        </w:numPr>
        <w:spacing w:after="40" w:before="40"/>
      </w:pPr>
      <w:r>
        <w:rPr>
          <w:rFonts w:ascii="Arial" w:cs="Arial" w:eastAsia="Arial" w:hAnsi="Arial"/>
          <w:sz w:val="20"/>
          <w:szCs w:val="20"/>
        </w:rPr>
        <w:t xml:space="preserve">All integration teams and platform engineers configuring API policies in Anypoint Platform (on-premises PCE).</w:t>
      </w:r>
    </w:p>
    <w:p>
      <w:pPr>
        <w:spacing w:after="0" w:before="80"/>
      </w:pPr>
      <w:r>
        <w:t xml:space="preserve"/>
      </w:r>
    </w:p>
    <w:p>
      <w:pPr>
        <w:pStyle w:val="Heading2"/>
        <w:spacing w:after="100" w:before="280"/>
      </w:pPr>
      <w:r>
        <w:rPr>
          <w:rFonts w:ascii="Arial" w:cs="Arial" w:eastAsia="Arial" w:hAnsi="Arial"/>
          <w:b/>
          <w:bCs/>
          <w:color w:val="2E75B6"/>
          <w:sz w:val="24"/>
          <w:szCs w:val="24"/>
        </w:rPr>
        <w:t xml:space="preserve">1.3 Platform Context — Anypoint PCE on Kubernetes</w:t>
      </w:r>
    </w:p>
    <w:p>
      <w:pPr>
        <w:spacing w:after="80" w:before="60"/>
      </w:pPr>
      <w:r>
        <w:rPr>
          <w:rFonts w:ascii="Arial" w:cs="Arial" w:eastAsia="Arial" w:hAnsi="Arial"/>
          <w:sz w:val="20"/>
          <w:szCs w:val="20"/>
        </w:rPr>
        <w:t xml:space="preserve">In the Anypoint Private Cloud Edition (PCE) with Runtime Fabric, each Mule application instance runs as one or more Kubernetes pods. Unlike CloudHub where MuleSoft abstracts infrastructure as 'workers', in PCE on Kubernetes:</w:t>
      </w:r>
    </w:p>
    <w:p>
      <w:pPr>
        <w:pStyle w:val="ListParagraph"/>
        <w:numPr>
          <w:ilvl w:val="0"/>
          <w:numId w:val="2"/>
        </w:numPr>
        <w:spacing w:after="40" w:before="40"/>
      </w:pPr>
      <w:r>
        <w:rPr>
          <w:rFonts w:ascii="Arial" w:cs="Arial" w:eastAsia="Arial" w:hAnsi="Arial"/>
          <w:b/>
          <w:bCs/>
          <w:sz w:val="20"/>
          <w:szCs w:val="20"/>
        </w:rPr>
        <w:t xml:space="preserve">Pod: </w:t>
      </w:r>
      <w:r>
        <w:rPr>
          <w:rFonts w:ascii="Arial" w:cs="Arial" w:eastAsia="Arial" w:hAnsi="Arial"/>
          <w:sz w:val="20"/>
          <w:szCs w:val="20"/>
        </w:rPr>
        <w:t xml:space="preserve">A single Kubernetes pod running one Mule application replica. This is the unit of scale.</w:t>
      </w:r>
    </w:p>
    <w:p>
      <w:pPr>
        <w:pStyle w:val="ListParagraph"/>
        <w:numPr>
          <w:ilvl w:val="0"/>
          <w:numId w:val="2"/>
        </w:numPr>
        <w:spacing w:after="40" w:before="40"/>
      </w:pPr>
      <w:r>
        <w:rPr>
          <w:rFonts w:ascii="Arial" w:cs="Arial" w:eastAsia="Arial" w:hAnsi="Arial"/>
          <w:b/>
          <w:bCs/>
          <w:sz w:val="20"/>
          <w:szCs w:val="20"/>
        </w:rPr>
        <w:t xml:space="preserve">Replica Count: </w:t>
      </w:r>
      <w:r>
        <w:rPr>
          <w:rFonts w:ascii="Arial" w:cs="Arial" w:eastAsia="Arial" w:hAnsi="Arial"/>
          <w:sz w:val="20"/>
          <w:szCs w:val="20"/>
        </w:rPr>
        <w:t xml:space="preserve">The number of pod replicas defined in the Kubernetes Deployment or RTF application spec.</w:t>
      </w:r>
    </w:p>
    <w:p>
      <w:pPr>
        <w:pStyle w:val="ListParagraph"/>
        <w:numPr>
          <w:ilvl w:val="0"/>
          <w:numId w:val="2"/>
        </w:numPr>
        <w:spacing w:after="40" w:before="40"/>
      </w:pPr>
      <w:r>
        <w:rPr>
          <w:rFonts w:ascii="Arial" w:cs="Arial" w:eastAsia="Arial" w:hAnsi="Arial"/>
          <w:b/>
          <w:bCs/>
          <w:sz w:val="20"/>
          <w:szCs w:val="20"/>
        </w:rPr>
        <w:t xml:space="preserve">HPA (Horizontal Pod Autoscaler): </w:t>
      </w:r>
      <w:r>
        <w:rPr>
          <w:rFonts w:ascii="Arial" w:cs="Arial" w:eastAsia="Arial" w:hAnsi="Arial"/>
          <w:sz w:val="20"/>
          <w:szCs w:val="20"/>
        </w:rPr>
        <w:t xml:space="preserve">Kubernetes-native autoscaling that dynamically changes pod count based on CPU/memory metrics. Introduces risk if spike control is not recalculated.</w:t>
      </w:r>
    </w:p>
    <w:p>
      <w:pPr>
        <w:pStyle w:val="ListParagraph"/>
        <w:numPr>
          <w:ilvl w:val="0"/>
          <w:numId w:val="2"/>
        </w:numPr>
        <w:spacing w:after="40" w:before="40"/>
      </w:pPr>
      <w:r>
        <w:rPr>
          <w:rFonts w:ascii="Arial" w:cs="Arial" w:eastAsia="Arial" w:hAnsi="Arial"/>
          <w:b/>
          <w:bCs/>
          <w:sz w:val="20"/>
          <w:szCs w:val="20"/>
        </w:rPr>
        <w:t xml:space="preserve">Namespace / RTF Environment: </w:t>
      </w:r>
      <w:r>
        <w:rPr>
          <w:rFonts w:ascii="Arial" w:cs="Arial" w:eastAsia="Arial" w:hAnsi="Arial"/>
          <w:sz w:val="20"/>
          <w:szCs w:val="20"/>
        </w:rPr>
        <w:t xml:space="preserve">Logical boundary within the Kubernetes cluster mapped to an Anypoint environment (PR, NPR, DR, NDR).</w:t>
      </w:r>
    </w:p>
    <w:p>
      <w:pPr>
        <w:pStyle w:val="Heading1"/>
        <w:pBdr>
          <w:bottom w:val="single" w:color="2E75B6" w:sz="6" w:space="4"/>
        </w:pBdr>
        <w:spacing w:after="120" w:before="360"/>
      </w:pPr>
      <w:r>
        <w:rPr>
          <w:rFonts w:ascii="Arial" w:cs="Arial" w:eastAsia="Arial" w:hAnsi="Arial"/>
          <w:b/>
          <w:bCs/>
          <w:color w:val="1F3864"/>
          <w:sz w:val="28"/>
          <w:szCs w:val="28"/>
        </w:rPr>
        <w:t xml:space="preserve">2. Background &amp; Key Concepts</w:t>
      </w:r>
    </w:p>
    <w:p>
      <w:pPr>
        <w:pStyle w:val="Heading2"/>
        <w:spacing w:after="100" w:before="280"/>
      </w:pPr>
      <w:r>
        <w:rPr>
          <w:rFonts w:ascii="Arial" w:cs="Arial" w:eastAsia="Arial" w:hAnsi="Arial"/>
          <w:b/>
          <w:bCs/>
          <w:color w:val="2E75B6"/>
          <w:sz w:val="24"/>
          <w:szCs w:val="24"/>
        </w:rPr>
        <w:t xml:space="preserve">2.1 What Is Spike Control?</w:t>
      </w:r>
    </w:p>
    <w:p>
      <w:pPr>
        <w:spacing w:after="80" w:before="60"/>
      </w:pPr>
      <w:r>
        <w:rPr>
          <w:rFonts w:ascii="Arial" w:cs="Arial" w:eastAsia="Arial" w:hAnsi="Arial"/>
          <w:sz w:val="20"/>
          <w:szCs w:val="20"/>
        </w:rPr>
        <w:t xml:space="preserve">The MuleSoft Spike Control policy is a rate-limiting mechanism applied at the API gateway layer (API Manager). It caps the number of requests processed within a configurable time window, queuing or rejecting excess requests to protect downstream backend systems.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Parameter</w:t>
            </w:r>
          </w:p>
        </w:tc>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Unit</w:t>
            </w:r>
          </w:p>
        </w:tc>
        <w:tc>
          <w:tcPr>
            <w:tcW w:type="dxa" w:w="49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Maximum Request Count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Requests</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Maximum number of requests allowed within the time period window.</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Time Period (ms)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Milliseconds</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Rolling window size for counting requests (typically 1000ms = 1 second).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Delay Time (ms)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Milliseconds</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How long to queue excess requests before rejecting with HTTP 429.</w:t>
            </w:r>
          </w:p>
        </w:tc>
      </w:tr>
    </w:tbl>
    <w:p>
      <w:pPr>
        <w:spacing w:after="0" w:before="120"/>
      </w:pPr>
      <w:r>
        <w:t xml:space="preserve"/>
      </w:r>
    </w:p>
    <w:p>
      <w:pPr>
        <w:pStyle w:val="Heading2"/>
        <w:spacing w:after="100" w:before="280"/>
      </w:pPr>
      <w:r>
        <w:rPr>
          <w:rFonts w:ascii="Arial" w:cs="Arial" w:eastAsia="Arial" w:hAnsi="Arial"/>
          <w:b/>
          <w:bCs/>
          <w:color w:val="2E75B6"/>
          <w:sz w:val="24"/>
          <w:szCs w:val="24"/>
        </w:rPr>
        <w:t xml:space="preserve">2.2 The Clustering Problem on Kubernetes PCE</w:t>
      </w:r>
    </w:p>
    <w:tbl>
      <w:tblPr>
        <w:tblW w:type="dxa" w:w="9360"/>
        <w:tblBorders>
          <w:top w:val="single" w:color="C55A11" w:sz="4"/>
          <w:left w:val="single" w:color="C55A11" w:sz="4"/>
          <w:bottom w:val="single" w:color="C55A11" w:sz="4"/>
          <w:right w:val="single" w:color="C55A11" w:sz="4"/>
          <w:insideH w:val="single" w:color="auto" w:sz="4"/>
          <w:insideV w:val="single" w:color="auto" w:sz="4"/>
        </w:tblBorders>
      </w:tblPr>
      <w:tblGrid>
        <w:gridCol w:w="560"/>
        <w:gridCol w:w="8800"/>
      </w:tblGrid>
      <w:tr>
        <w:tc>
          <w:tcPr>
            <w:tcW w:type="dxa" w:w="560"/>
            <w:tcBorders>
              <w:top w:val="nil" w:color="FFFFFF" w:sz="0"/>
              <w:left w:val="nil" w:color="FFFFFF" w:sz="0"/>
              <w:bottom w:val="nil" w:color="FFFFFF" w:sz="0"/>
              <w:right w:val="nil" w:color="FFFFFF" w:sz="0"/>
            </w:tcBorders>
            <w:shd w:fill="C55A11"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8800"/>
            <w:tcBorders>
              <w:top w:val="nil" w:color="FFFFFF" w:sz="0"/>
              <w:left w:val="nil" w:color="FFFFFF" w:sz="0"/>
              <w:bottom w:val="nil" w:color="FFFFFF" w:sz="0"/>
              <w:right w:val="nil" w:color="FFFFFF" w:sz="0"/>
            </w:tcBorders>
            <w:shd w:fill="FCE4D6" w:val="clear"/>
            <w:tcMar>
              <w:top w:type="dxa" w:w="80"/>
              <w:left w:type="dxa" w:w="160"/>
              <w:bottom w:type="dxa" w:w="80"/>
              <w:right w:type="dxa" w:w="120"/>
            </w:tcMar>
          </w:tcPr>
          <w:p>
            <w:r>
              <w:rPr>
                <w:rFonts w:ascii="Arial" w:cs="Arial" w:eastAsia="Arial" w:hAnsi="Arial"/>
                <w:sz w:val="19"/>
                <w:szCs w:val="19"/>
              </w:rPr>
              <w:t xml:space="preserve">CRITICAL LIMITATION: MuleSoft Spike Control policy enforcement is per-pod. It does NOT aggregate across Kubernetes pods or replicas. Each pod independently enforces its own configured limit. On Anypoint PCE Runtime Fabric, where your Mule apps run as Kubernetes pods, this means the effective total throughput to the backend scales with pod count — but backend capacity does not.</w:t>
            </w:r>
          </w:p>
        </w:tc>
      </w:tr>
    </w:tbl>
    <w:p>
      <w:pPr>
        <w:spacing w:after="0" w:before="100"/>
      </w:pPr>
      <w:r>
        <w:t xml:space="preserve"/>
      </w:r>
    </w:p>
    <w:p>
      <w:pPr>
        <w:spacing w:after="80" w:before="60"/>
      </w:pPr>
      <w:r>
        <w:rPr>
          <w:rFonts w:ascii="Arial" w:cs="Arial" w:eastAsia="Arial" w:hAnsi="Arial"/>
          <w:sz w:val="20"/>
          <w:szCs w:val="20"/>
        </w:rPr>
        <w:t xml:space="preserve">Concretely, on Anypoint PCE RTF:</w:t>
      </w:r>
    </w:p>
    <w:p>
      <w:pPr>
        <w:pStyle w:val="ListParagraph"/>
        <w:numPr>
          <w:ilvl w:val="0"/>
          <w:numId w:val="2"/>
        </w:numPr>
        <w:spacing w:after="40" w:before="40"/>
      </w:pPr>
      <w:r>
        <w:rPr>
          <w:rFonts w:ascii="Arial" w:cs="Arial" w:eastAsia="Arial" w:hAnsi="Arial"/>
          <w:sz w:val="20"/>
          <w:szCs w:val="20"/>
        </w:rPr>
        <w:t xml:space="preserve">If you configure Maximum Request Count = 100 req/sec on an API and 4 pods are running, the backend can receive up to 400 req/sec.</w:t>
      </w:r>
    </w:p>
    <w:p>
      <w:pPr>
        <w:pStyle w:val="ListParagraph"/>
        <w:numPr>
          <w:ilvl w:val="0"/>
          <w:numId w:val="2"/>
        </w:numPr>
        <w:spacing w:after="40" w:before="40"/>
      </w:pPr>
      <w:r>
        <w:rPr>
          <w:rFonts w:ascii="Arial" w:cs="Arial" w:eastAsia="Arial" w:hAnsi="Arial"/>
          <w:sz w:val="20"/>
          <w:szCs w:val="20"/>
        </w:rPr>
        <w:t xml:space="preserve">Kubernetes pod scheduling, restarts, or rolling deployments temporarily change pod count, changing effective backend load mid-deployment.</w:t>
      </w:r>
    </w:p>
    <w:p>
      <w:pPr>
        <w:pStyle w:val="ListParagraph"/>
        <w:numPr>
          <w:ilvl w:val="0"/>
          <w:numId w:val="2"/>
        </w:numPr>
        <w:spacing w:after="40" w:before="40"/>
      </w:pPr>
      <w:r>
        <w:rPr>
          <w:rFonts w:ascii="Arial" w:cs="Arial" w:eastAsia="Arial" w:hAnsi="Arial"/>
          <w:sz w:val="20"/>
          <w:szCs w:val="20"/>
        </w:rPr>
        <w:t xml:space="preserve">HPA scale-out events silently increase backend exposure without any change to the Anypoint policy configuration.</w:t>
      </w:r>
    </w:p>
    <w:p>
      <w:pPr>
        <w:pStyle w:val="ListParagraph"/>
        <w:numPr>
          <w:ilvl w:val="0"/>
          <w:numId w:val="2"/>
        </w:numPr>
        <w:spacing w:after="40" w:before="40"/>
      </w:pPr>
      <w:r>
        <w:rPr>
          <w:rFonts w:ascii="Arial" w:cs="Arial" w:eastAsia="Arial" w:hAnsi="Arial"/>
          <w:sz w:val="20"/>
          <w:szCs w:val="20"/>
        </w:rPr>
        <w:t xml:space="preserve">A region with 2 pods configured with limit=120 sends the same load to the backend as a region with 4 pods configured with limit=60.</w:t>
      </w:r>
    </w:p>
    <w:p>
      <w:pPr>
        <w:pStyle w:val="ListParagraph"/>
        <w:numPr>
          <w:ilvl w:val="0"/>
          <w:numId w:val="2"/>
        </w:numPr>
        <w:spacing w:after="40" w:before="40"/>
      </w:pPr>
      <w:r>
        <w:rPr>
          <w:rFonts w:ascii="Arial" w:cs="Arial" w:eastAsia="Arial" w:hAnsi="Arial"/>
          <w:sz w:val="20"/>
          <w:szCs w:val="20"/>
        </w:rPr>
        <w:t xml:space="preserve">DR failover is particularly dangerous: DR typically runs fewer pods to save resource. When traffic shifts to DR, the per-pod limit must be recalculated immediately.</w:t>
      </w:r>
    </w:p>
    <w:p>
      <w:pPr>
        <w:spacing w:after="0" w:before="120"/>
      </w:pPr>
      <w:r>
        <w:t xml:space="preserve"/>
      </w:r>
    </w:p>
    <w:p>
      <w:pPr>
        <w:pStyle w:val="Heading2"/>
        <w:spacing w:after="100" w:before="280"/>
      </w:pPr>
      <w:r>
        <w:rPr>
          <w:rFonts w:ascii="Arial" w:cs="Arial" w:eastAsia="Arial" w:hAnsi="Arial"/>
          <w:b/>
          <w:bCs/>
          <w:color w:val="2E75B6"/>
          <w:sz w:val="24"/>
          <w:szCs w:val="24"/>
        </w:rPr>
        <w:t xml:space="preserve">2.3 How Spike Control Applies in RTF / Kubernetes Architecture</w:t>
      </w:r>
    </w:p>
    <w:p>
      <w:pPr>
        <w:spacing w:after="80" w:before="60"/>
      </w:pPr>
      <w:r>
        <w:rPr>
          <w:rFonts w:ascii="Arial" w:cs="Arial" w:eastAsia="Arial" w:hAnsi="Arial"/>
          <w:sz w:val="20"/>
          <w:szCs w:val="20"/>
        </w:rPr>
        <w:t xml:space="preserve">In Anypoint PCE Runtime Fabric, the Mule runtime embedded within each pod independently loads the policies from API Manager. There is no shared rate-limit counter across pods. The policy is pulled by each pod at startup and cached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Aspect</w:t>
            </w:r>
          </w:p>
        </w:tc>
        <w:tc>
          <w:tcPr>
            <w:tcW w:type="dxa" w:w="65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Behaviour in Anypoint PCE RTF</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Policy storage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Stored in Anypoint API Manager (on-prem PCE). Each pod pulls policy at startup.</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Counter scope</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In-memory, per-pod. No Redis or distributed cache is used for spike control counters.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Policy update propagation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Policy changes propagate to running pods within the configured polling interval (default: 60 seconds). Plan for this delay when recalculating.</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Pod restart</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Pod re-pulls policy on startup. Counter resets to zero. Brief burst risk during restart.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Rolling deployment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During rolling update, old and new pods coexist. Both enforce the same policy. Pod count temporarily increases — recalculate for deployment window if needed.</w:t>
            </w:r>
          </w:p>
        </w:tc>
      </w:tr>
    </w:tbl>
    <w:p>
      <w:pPr>
        <w:spacing w:after="0" w:before="120"/>
      </w:pPr>
      <w:r>
        <w:t xml:space="preserve"/>
      </w:r>
    </w:p>
    <w:p>
      <w:pPr>
        <w:pStyle w:val="Heading2"/>
        <w:spacing w:after="100" w:before="280"/>
      </w:pPr>
      <w:r>
        <w:rPr>
          <w:rFonts w:ascii="Arial" w:cs="Arial" w:eastAsia="Arial" w:hAnsi="Arial"/>
          <w:b/>
          <w:bCs/>
          <w:color w:val="2E75B6"/>
          <w:sz w:val="24"/>
          <w:szCs w:val="24"/>
        </w:rPr>
        <w:t xml:space="preserve">2.4 Environment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000"/>
        <w:gridCol w:w="2160"/>
      </w:tblGrid>
      <w:tr>
        <w:tc>
          <w:tcPr>
            <w:tcW w:type="dxa" w:w="1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Code</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Full Name</w:t>
            </w:r>
          </w:p>
        </w:tc>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K8s Namespace</w:t>
            </w:r>
          </w:p>
        </w:tc>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Typical Pod Count</w:t>
            </w:r>
          </w:p>
        </w:tc>
        <w:tc>
          <w:tcPr>
            <w:tcW w:type="dxa" w:w="21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Notes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Production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rtf-prod / prod-*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Highest (N pods per app)</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Live traffic; highest protection priority.</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DR</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Disaster Recovery</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rtf-dr / dr-*</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Lower than PR (cost saving)</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Standby for PR. Must be recalculated on DR activation. Pod count is independent.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NPR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Non-Production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rtf-nonprod / npr-*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Moderate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UAT/SIT/Staging. Mirrors PR topology for policy validation.</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NDR</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Non-DR Non-Prod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rtf-ndr / ndr-*</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Minimum (1–2 pods)</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Non-production DR counterpart. Developer testing. Lowest priority.</w:t>
            </w:r>
          </w:p>
        </w:tc>
      </w:tr>
    </w:tbl>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3. Spike Control Value Calculation</w:t>
      </w:r>
    </w:p>
    <w:p>
      <w:pPr>
        <w:spacing w:after="80" w:before="60"/>
      </w:pPr>
      <w:r>
        <w:rPr>
          <w:rFonts w:ascii="Arial" w:cs="Arial" w:eastAsia="Arial" w:hAnsi="Arial"/>
          <w:sz w:val="20"/>
          <w:szCs w:val="20"/>
        </w:rPr>
        <w:t xml:space="preserve">Because MuleSoft Spike Control does not support clustering or distributed counters on Anypoint PCE Runtime Fabric, the per-pod limit must be calculated by dividing the backend safe capacity by the total number of running pods in that environment. This section provides the full formula, inputs, and worked examples.</w:t>
      </w:r>
    </w:p>
    <w:p>
      <w:pPr>
        <w:spacing w:after="0" w:before="80"/>
      </w:pPr>
      <w:r>
        <w:t xml:space="preserve"/>
      </w:r>
    </w:p>
    <w:p>
      <w:pPr>
        <w:pStyle w:val="Heading2"/>
        <w:spacing w:after="100" w:before="280"/>
      </w:pPr>
      <w:r>
        <w:rPr>
          <w:rFonts w:ascii="Arial" w:cs="Arial" w:eastAsia="Arial" w:hAnsi="Arial"/>
          <w:b/>
          <w:bCs/>
          <w:color w:val="2E75B6"/>
          <w:sz w:val="24"/>
          <w:szCs w:val="24"/>
        </w:rPr>
        <w:t xml:space="preserve">3.1 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3864" w:val="clear"/>
            <w:tcMar>
              <w:top w:type="dxa" w:w="160"/>
              <w:left w:type="dxa" w:w="240"/>
              <w:bottom w:type="dxa" w:w="160"/>
              <w:right w:type="dxa" w:w="240"/>
            </w:tcMar>
          </w:tcPr>
          <w:p>
            <w:pPr>
              <w:jc w:val="center"/>
            </w:pPr>
            <w:r>
              <w:rPr>
                <w:rFonts w:ascii="Courier New" w:cs="Courier New" w:eastAsia="Courier New" w:hAnsi="Courier New"/>
                <w:b/>
                <w:bCs/>
                <w:color w:val="FFFFFF"/>
                <w:sz w:val="26"/>
                <w:szCs w:val="26"/>
              </w:rPr>
              <w:t xml:space="preserve">Per-Pod Spike Limit  =  Backend Safe TPS  ÷  Total Running Pods</w:t>
            </w:r>
          </w:p>
          <w:p>
            <w:pPr>
              <w:spacing w:before="80"/>
              <w:jc w:val="center"/>
            </w:pPr>
            <w:r>
              <w:rPr>
                <w:rFonts w:ascii="Courier New" w:cs="Courier New" w:eastAsia="Courier New" w:hAnsi="Courier New"/>
                <w:color w:val="BDD7EE"/>
                <w:sz w:val="20"/>
                <w:szCs w:val="20"/>
              </w:rPr>
              <w:t xml:space="preserve">Effective Allowed TPS  =  Backend Safe TPS  ×  (1 − Safety Buffer %)</w:t>
            </w:r>
          </w:p>
          <w:p>
            <w:pPr>
              <w:spacing w:before="60"/>
              <w:jc w:val="center"/>
            </w:pPr>
            <w:r>
              <w:rPr>
                <w:rFonts w:ascii="Courier New" w:cs="Courier New" w:eastAsia="Courier New" w:hAnsi="Courier New"/>
                <w:color w:val="BDD7EE"/>
                <w:sz w:val="20"/>
                <w:szCs w:val="20"/>
              </w:rPr>
              <w:t xml:space="preserve">Per-Pod Limit  =  FLOOR( Effective Allowed TPS  ÷  Total Running Pods )</w:t>
            </w:r>
          </w:p>
        </w:tc>
      </w:tr>
    </w:tbl>
    <w:p>
      <w:pPr>
        <w:spacing w:after="0" w:before="120"/>
      </w:pPr>
      <w:r>
        <w:t xml:space="preserve"/>
      </w:r>
    </w:p>
    <w:p>
      <w:pPr>
        <w:pStyle w:val="Heading2"/>
        <w:spacing w:after="100" w:before="280"/>
      </w:pPr>
      <w:r>
        <w:rPr>
          <w:rFonts w:ascii="Arial" w:cs="Arial" w:eastAsia="Arial" w:hAnsi="Arial"/>
          <w:b/>
          <w:bCs/>
          <w:color w:val="2E75B6"/>
          <w:sz w:val="24"/>
          <w:szCs w:val="24"/>
        </w:rPr>
        <w:t xml:space="preserve">3.2 Input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Variable</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Source</w:t>
            </w:r>
          </w:p>
        </w:tc>
        <w:tc>
          <w:tcPr>
            <w:tcW w:type="dxa" w:w="4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Description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Backend Safe TPS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Load Test / SLA</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Maximum sustained throughput the backend can handle without degradation (transactions/second). Obtain from backend team load test reports or published SLA.</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Safety Buffer %</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Architecture</w:t>
            </w:r>
          </w:p>
        </w:tc>
        <w:tc>
          <w:tcPr>
            <w:tcW w:type="dxa" w:w="4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Headroom to absorb bursts. Recommended: 20% for PR and DR (they carry production load), 30% for NPR and NDR.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Effective Allowed TPS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Calculated</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Backend Safe TPS × (1 − Safety Buffer %). This is the gateway-level ceiling, shared across all pods.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Total Running Pods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kubectl / RTF Console</w:t>
            </w:r>
          </w:p>
        </w:tc>
        <w:tc>
          <w:tcPr>
            <w:tcW w:type="dxa" w:w="4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Total number of running (Ready) pods for this API across the target environment. On Kubernetes PCE: kubectl get pods -n &lt;namespace&gt; | grep &lt;app-name&gt; | grep Running. Count across ALL nodes in the region.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Time Window (ms)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Policy Config</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Rolling evaluation window. Use 1000ms (1 second) so the limit directly equals req/sec. Adjust only if backend SLA is expressed per-minute.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Policy Propagation Delay</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PCE Config</w:t>
            </w:r>
          </w:p>
        </w:tc>
        <w:tc>
          <w:tcPr>
            <w:tcW w:type="dxa" w:w="4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Time for API Manager policy update to reach all pods. Default ~60 seconds. Factor this into recalculation timing during scale events.</w:t>
            </w:r>
          </w:p>
        </w:tc>
      </w:tr>
    </w:tbl>
    <w:p>
      <w:pPr>
        <w:spacing w:after="0" w:before="120"/>
      </w:pPr>
      <w:r>
        <w:t xml:space="preserve"/>
      </w:r>
    </w:p>
    <w:p>
      <w:pPr>
        <w:pStyle w:val="Heading2"/>
        <w:spacing w:after="100" w:before="280"/>
      </w:pPr>
      <w:r>
        <w:rPr>
          <w:rFonts w:ascii="Arial" w:cs="Arial" w:eastAsia="Arial" w:hAnsi="Arial"/>
          <w:b/>
          <w:bCs/>
          <w:color w:val="2E75B6"/>
          <w:sz w:val="24"/>
          <w:szCs w:val="24"/>
        </w:rPr>
        <w:t xml:space="preserve">3.3 How to Get the Pod Count from Kubernetes</w:t>
      </w:r>
    </w:p>
    <w:p>
      <w:pPr>
        <w:spacing w:after="80" w:before="60"/>
      </w:pPr>
      <w:r>
        <w:rPr>
          <w:rFonts w:ascii="Arial" w:cs="Arial" w:eastAsia="Arial" w:hAnsi="Arial"/>
          <w:sz w:val="20"/>
          <w:szCs w:val="20"/>
        </w:rPr>
        <w:t xml:space="preserve">On Anypoint PCE Runtime Fabric, use the following commands to obtain accurate pod counts before calculating: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Purpose</w:t>
            </w:r>
          </w:p>
        </w:tc>
        <w:tc>
          <w:tcPr>
            <w:tcW w:type="dxa" w:w="61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kubectl Command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List all running pods for an app</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kubectl get pods -n &lt;rtf-namespace&gt; -l app=&lt;api-name&gt; --field-selector=status.phase=Running</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Count pods (numeric output)</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kubectl get pods -n &lt;rtf-namespace&gt; -l app=&lt;api-name&gt; --field-selector=status.phase=Running --no-headers | wc -l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Check replica count from Deployment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kubectl get deployment &lt;api-name&gt; -n &lt;rtf-namespace&gt; -o jsonpath='{.status.readyReplicas}'</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Check HPA current/min/max replicas</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kubectl get hpa -n &lt;rtf-namespace&gt;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Pods across all namespaces (region-wide)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kubectl get pods --all-namespaces -l app=&lt;api-name&gt; --field-selector=status.phase=Running</w:t>
            </w:r>
          </w:p>
        </w:tc>
      </w:tr>
    </w:tbl>
    <w:tbl>
      <w:tblPr>
        <w:tblW w:type="dxa" w:w="9360"/>
        <w:tblBorders>
          <w:top w:val="single" w:color="C55A11" w:sz="4"/>
          <w:left w:val="single" w:color="C55A11" w:sz="4"/>
          <w:bottom w:val="single" w:color="C55A11" w:sz="4"/>
          <w:right w:val="single" w:color="C55A11" w:sz="4"/>
          <w:insideH w:val="single" w:color="auto" w:sz="4"/>
          <w:insideV w:val="single" w:color="auto" w:sz="4"/>
        </w:tblBorders>
      </w:tblPr>
      <w:tblGrid>
        <w:gridCol w:w="560"/>
        <w:gridCol w:w="8800"/>
      </w:tblGrid>
      <w:tr>
        <w:tc>
          <w:tcPr>
            <w:tcW w:type="dxa" w:w="560"/>
            <w:tcBorders>
              <w:top w:val="nil" w:color="FFFFFF" w:sz="0"/>
              <w:left w:val="nil" w:color="FFFFFF" w:sz="0"/>
              <w:bottom w:val="nil" w:color="FFFFFF" w:sz="0"/>
              <w:right w:val="nil" w:color="FFFFFF" w:sz="0"/>
            </w:tcBorders>
            <w:shd w:fill="C55A11" w:val="clear"/>
            <w:tcMar>
              <w:top w:type="dxa" w:w="80"/>
              <w:left w:type="dxa" w:w="80"/>
              <w:bottom w:type="dxa" w:w="80"/>
              <w:right w:type="dxa" w:w="80"/>
            </w:tcMar>
          </w:tcPr>
          <w:p>
            <w:pPr>
              <w:jc w:val="center"/>
            </w:pPr>
            <w:r>
              <w:rPr>
                <w:rFonts w:ascii="Arial" w:cs="Arial" w:eastAsia="Arial" w:hAnsi="Arial"/>
                <w:b/>
                <w:bCs/>
                <w:color w:val="FFFFFF"/>
                <w:sz w:val="18"/>
                <w:szCs w:val="18"/>
              </w:rPr>
              <w:t xml:space="preserve">ℹ</w:t>
            </w:r>
          </w:p>
        </w:tc>
        <w:tc>
          <w:tcPr>
            <w:tcW w:type="dxa" w:w="8800"/>
            <w:tcBorders>
              <w:top w:val="nil" w:color="FFFFFF" w:sz="0"/>
              <w:left w:val="nil" w:color="FFFFFF" w:sz="0"/>
              <w:bottom w:val="nil" w:color="FFFFFF" w:sz="0"/>
              <w:right w:val="nil" w:color="FFFFFF" w:sz="0"/>
            </w:tcBorders>
            <w:shd w:fill="D6E4F0" w:val="clear"/>
            <w:tcMar>
              <w:top w:type="dxa" w:w="80"/>
              <w:left w:type="dxa" w:w="160"/>
              <w:bottom w:type="dxa" w:w="80"/>
              <w:right w:type="dxa" w:w="120"/>
            </w:tcMar>
          </w:tcPr>
          <w:p>
            <w:r>
              <w:rPr>
                <w:rFonts w:ascii="Arial" w:cs="Arial" w:eastAsia="Arial" w:hAnsi="Arial"/>
                <w:sz w:val="19"/>
                <w:szCs w:val="19"/>
              </w:rPr>
              <w:t xml:space="preserve">Always use the readyReplicas count (pods that have passed readiness probes), not just totalReplicas. Pods that are starting up or failing readiness checks still consume the spike control budget if traffic reaches them.</w:t>
            </w:r>
          </w:p>
        </w:tc>
      </w:tr>
    </w:tbl>
    <w:p>
      <w:pPr>
        <w:spacing w:after="0" w:before="120"/>
      </w:pPr>
      <w:r>
        <w:t xml:space="preserve"/>
      </w:r>
    </w:p>
    <w:p>
      <w:pPr>
        <w:pStyle w:val="Heading2"/>
        <w:spacing w:after="100" w:before="280"/>
      </w:pPr>
      <w:r>
        <w:rPr>
          <w:rFonts w:ascii="Arial" w:cs="Arial" w:eastAsia="Arial" w:hAnsi="Arial"/>
          <w:b/>
          <w:bCs/>
          <w:color w:val="2E75B6"/>
          <w:sz w:val="24"/>
          <w:szCs w:val="24"/>
        </w:rPr>
        <w:t xml:space="preserve">3.4 Step-by-Step Calculation Process</w:t>
      </w:r>
    </w:p>
    <w:p>
      <w:pPr>
        <w:pStyle w:val="ListParagraph"/>
        <w:numPr>
          <w:ilvl w:val="0"/>
          <w:numId w:val="3"/>
        </w:numPr>
        <w:spacing w:after="40" w:before="40"/>
      </w:pPr>
      <w:r>
        <w:rPr>
          <w:rFonts w:ascii="Arial" w:cs="Arial" w:eastAsia="Arial" w:hAnsi="Arial"/>
          <w:sz w:val="20"/>
          <w:szCs w:val="20"/>
        </w:rPr>
        <w:t xml:space="preserve">Obtain Backend Safe TPS from the backend system owner (load test report or published SLA).</w:t>
      </w:r>
    </w:p>
    <w:p>
      <w:pPr>
        <w:pStyle w:val="ListParagraph"/>
        <w:numPr>
          <w:ilvl w:val="0"/>
          <w:numId w:val="3"/>
        </w:numPr>
        <w:spacing w:after="40" w:before="40"/>
      </w:pPr>
      <w:r>
        <w:rPr>
          <w:rFonts w:ascii="Arial" w:cs="Arial" w:eastAsia="Arial" w:hAnsi="Arial"/>
          <w:sz w:val="20"/>
          <w:szCs w:val="20"/>
        </w:rPr>
        <w:t xml:space="preserve">Determine the Safety Buffer for the target environment (20% for PR/DR, 30% for NPR/NDR).</w:t>
      </w:r>
    </w:p>
    <w:p>
      <w:pPr>
        <w:pStyle w:val="ListParagraph"/>
        <w:numPr>
          <w:ilvl w:val="0"/>
          <w:numId w:val="3"/>
        </w:numPr>
        <w:spacing w:after="40" w:before="40"/>
      </w:pPr>
      <w:r>
        <w:rPr>
          <w:rFonts w:ascii="Arial" w:cs="Arial" w:eastAsia="Arial" w:hAnsi="Arial"/>
          <w:sz w:val="20"/>
          <w:szCs w:val="20"/>
        </w:rPr>
        <w:t xml:space="preserve">Calculate Effective Allowed TPS:</w:t>
      </w:r>
    </w:p>
    <w:p>
      <w:pPr>
        <w:spacing w:after="60" w:before="40"/>
        <w:ind w:left="720"/>
      </w:pPr>
      <w:r>
        <w:rPr>
          <w:rFonts w:ascii="Courier New" w:cs="Courier New" w:eastAsia="Courier New" w:hAnsi="Courier New"/>
          <w:b/>
          <w:bCs/>
          <w:color w:val="1F3864"/>
          <w:sz w:val="19"/>
          <w:szCs w:val="19"/>
        </w:rPr>
        <w:t xml:space="preserve">Effective Allowed TPS = Backend Safe TPS × (1 − Safety Buffer %)</w:t>
      </w:r>
    </w:p>
    <w:p>
      <w:pPr>
        <w:pStyle w:val="ListParagraph"/>
        <w:numPr>
          <w:ilvl w:val="0"/>
          <w:numId w:val="3"/>
        </w:numPr>
        <w:spacing w:after="40" w:before="40"/>
      </w:pPr>
      <w:r>
        <w:rPr>
          <w:rFonts w:ascii="Arial" w:cs="Arial" w:eastAsia="Arial" w:hAnsi="Arial"/>
          <w:sz w:val="20"/>
          <w:szCs w:val="20"/>
        </w:rPr>
        <w:t xml:space="preserve">Query Kubernetes to get Total Running Pods for this API in the target environment (use kubectl command above). Use readyReplicas.</w:t>
      </w:r>
    </w:p>
    <w:p>
      <w:pPr>
        <w:pStyle w:val="ListParagraph"/>
        <w:numPr>
          <w:ilvl w:val="0"/>
          <w:numId w:val="3"/>
        </w:numPr>
        <w:spacing w:after="40" w:before="40"/>
      </w:pPr>
      <w:r>
        <w:rPr>
          <w:rFonts w:ascii="Arial" w:cs="Arial" w:eastAsia="Arial" w:hAnsi="Arial"/>
          <w:sz w:val="20"/>
          <w:szCs w:val="20"/>
        </w:rPr>
        <w:t xml:space="preserve">Calculate the Per-Pod Spike Limit:</w:t>
      </w:r>
    </w:p>
    <w:p>
      <w:pPr>
        <w:spacing w:after="60" w:before="40"/>
        <w:ind w:left="720"/>
      </w:pPr>
      <w:r>
        <w:rPr>
          <w:rFonts w:ascii="Courier New" w:cs="Courier New" w:eastAsia="Courier New" w:hAnsi="Courier New"/>
          <w:b/>
          <w:bCs/>
          <w:color w:val="1F3864"/>
          <w:sz w:val="19"/>
          <w:szCs w:val="19"/>
        </w:rPr>
        <w:t xml:space="preserve">Per-Pod Limit = FLOOR( Effective Allowed TPS ÷ Total Running Pods )</w:t>
      </w:r>
    </w:p>
    <w:p>
      <w:pPr>
        <w:pStyle w:val="ListParagraph"/>
        <w:numPr>
          <w:ilvl w:val="0"/>
          <w:numId w:val="3"/>
        </w:numPr>
        <w:spacing w:after="40" w:before="40"/>
      </w:pPr>
      <w:r>
        <w:rPr>
          <w:rFonts w:ascii="Arial" w:cs="Arial" w:eastAsia="Arial" w:hAnsi="Arial"/>
          <w:sz w:val="20"/>
          <w:szCs w:val="20"/>
        </w:rPr>
        <w:t xml:space="preserve">Always round DOWN (FLOOR) — never round up. Rounding up even fractionally can push the backend beyond its safe capacity.</w:t>
      </w:r>
    </w:p>
    <w:p>
      <w:pPr>
        <w:pStyle w:val="ListParagraph"/>
        <w:numPr>
          <w:ilvl w:val="0"/>
          <w:numId w:val="3"/>
        </w:numPr>
        <w:spacing w:after="40" w:before="40"/>
      </w:pPr>
      <w:r>
        <w:rPr>
          <w:rFonts w:ascii="Arial" w:cs="Arial" w:eastAsia="Arial" w:hAnsi="Arial"/>
          <w:sz w:val="20"/>
          <w:szCs w:val="20"/>
        </w:rPr>
        <w:t xml:space="preserve">Set the policy in Anypoint API Manager: Maximum Request Count = Per-Pod Limit, Time Period = 1000ms.</w:t>
      </w:r>
    </w:p>
    <w:p>
      <w:pPr>
        <w:pStyle w:val="ListParagraph"/>
        <w:numPr>
          <w:ilvl w:val="0"/>
          <w:numId w:val="3"/>
        </w:numPr>
        <w:spacing w:after="40" w:before="40"/>
      </w:pPr>
      <w:r>
        <w:rPr>
          <w:rFonts w:ascii="Arial" w:cs="Arial" w:eastAsia="Arial" w:hAnsi="Arial"/>
          <w:sz w:val="20"/>
          <w:szCs w:val="20"/>
        </w:rPr>
        <w:t xml:space="preserve">Wait for policy propagation across all pods (~60 seconds on PCE). Verify via API Manager policy status.</w:t>
      </w:r>
    </w:p>
    <w:p>
      <w:pPr>
        <w:pStyle w:val="ListParagraph"/>
        <w:numPr>
          <w:ilvl w:val="0"/>
          <w:numId w:val="3"/>
        </w:numPr>
        <w:spacing w:after="40" w:before="40"/>
      </w:pPr>
      <w:r>
        <w:rPr>
          <w:rFonts w:ascii="Arial" w:cs="Arial" w:eastAsia="Arial" w:hAnsi="Arial"/>
          <w:sz w:val="20"/>
          <w:szCs w:val="20"/>
        </w:rPr>
        <w:t xml:space="preserve">Record the values in the Spike Control Configuration Registry (Section 7).</w:t>
      </w:r>
    </w:p>
    <w:p>
      <w:pPr>
        <w:pStyle w:val="ListParagraph"/>
        <w:numPr>
          <w:ilvl w:val="0"/>
          <w:numId w:val="3"/>
        </w:numPr>
        <w:spacing w:after="40" w:before="40"/>
      </w:pPr>
      <w:r>
        <w:rPr>
          <w:rFonts w:ascii="Arial" w:cs="Arial" w:eastAsia="Arial" w:hAnsi="Arial"/>
          <w:sz w:val="20"/>
          <w:szCs w:val="20"/>
        </w:rPr>
        <w:t xml:space="preserve">Re-execute this process whenever pod count changes (scaling, deployments, failovers, pod restarts that change replica count).</w:t>
      </w:r>
    </w:p>
    <w:p>
      <w:pPr>
        <w:spacing w:after="0" w:before="120"/>
      </w:pPr>
      <w:r>
        <w:t xml:space="preserve"/>
      </w:r>
    </w:p>
    <w:p>
      <w:pPr>
        <w:pStyle w:val="Heading2"/>
        <w:spacing w:after="100" w:before="280"/>
      </w:pPr>
      <w:r>
        <w:rPr>
          <w:rFonts w:ascii="Arial" w:cs="Arial" w:eastAsia="Arial" w:hAnsi="Arial"/>
          <w:b/>
          <w:bCs/>
          <w:color w:val="2E75B6"/>
          <w:sz w:val="24"/>
          <w:szCs w:val="24"/>
        </w:rPr>
        <w:t xml:space="preserve">3.5 Multi-Pod Calculation — Same Region, Multiple Kubernetes Deployments</w:t>
      </w:r>
    </w:p>
    <w:tbl>
      <w:tblPr>
        <w:tblW w:type="dxa" w:w="9360"/>
        <w:tblBorders>
          <w:top w:val="single" w:color="C55A11" w:sz="4"/>
          <w:left w:val="single" w:color="C55A11" w:sz="4"/>
          <w:bottom w:val="single" w:color="C55A11" w:sz="4"/>
          <w:right w:val="single" w:color="C55A11" w:sz="4"/>
          <w:insideH w:val="single" w:color="auto" w:sz="4"/>
          <w:insideV w:val="single" w:color="auto" w:sz="4"/>
        </w:tblBorders>
      </w:tblPr>
      <w:tblGrid>
        <w:gridCol w:w="560"/>
        <w:gridCol w:w="8800"/>
      </w:tblGrid>
      <w:tr>
        <w:tc>
          <w:tcPr>
            <w:tcW w:type="dxa" w:w="560"/>
            <w:tcBorders>
              <w:top w:val="nil" w:color="FFFFFF" w:sz="0"/>
              <w:left w:val="nil" w:color="FFFFFF" w:sz="0"/>
              <w:bottom w:val="nil" w:color="FFFFFF" w:sz="0"/>
              <w:right w:val="nil" w:color="FFFFFF" w:sz="0"/>
            </w:tcBorders>
            <w:shd w:fill="C55A11" w:val="clear"/>
            <w:tcMar>
              <w:top w:type="dxa" w:w="80"/>
              <w:left w:type="dxa" w:w="80"/>
              <w:bottom w:type="dxa" w:w="80"/>
              <w:right w:type="dxa" w:w="80"/>
            </w:tcMar>
          </w:tcPr>
          <w:p>
            <w:pPr>
              <w:jc w:val="center"/>
            </w:pPr>
            <w:r>
              <w:rPr>
                <w:rFonts w:ascii="Arial" w:cs="Arial" w:eastAsia="Arial" w:hAnsi="Arial"/>
                <w:b/>
                <w:bCs/>
                <w:color w:val="FFFFFF"/>
                <w:sz w:val="18"/>
                <w:szCs w:val="18"/>
              </w:rPr>
              <w:t xml:space="preserve">ℹ</w:t>
            </w:r>
          </w:p>
        </w:tc>
        <w:tc>
          <w:tcPr>
            <w:tcW w:type="dxa" w:w="8800"/>
            <w:tcBorders>
              <w:top w:val="nil" w:color="FFFFFF" w:sz="0"/>
              <w:left w:val="nil" w:color="FFFFFF" w:sz="0"/>
              <w:bottom w:val="nil" w:color="FFFFFF" w:sz="0"/>
              <w:right w:val="nil" w:color="FFFFFF" w:sz="0"/>
            </w:tcBorders>
            <w:shd w:fill="D6E4F0" w:val="clear"/>
            <w:tcMar>
              <w:top w:type="dxa" w:w="80"/>
              <w:left w:type="dxa" w:w="160"/>
              <w:bottom w:type="dxa" w:w="80"/>
              <w:right w:type="dxa" w:w="120"/>
            </w:tcMar>
          </w:tcPr>
          <w:p>
            <w:r>
              <w:rPr>
                <w:rFonts w:ascii="Arial" w:cs="Arial" w:eastAsia="Arial" w:hAnsi="Arial"/>
                <w:sz w:val="19"/>
                <w:szCs w:val="19"/>
              </w:rPr>
              <w:t xml:space="preserve">When multiple Kubernetes Deployments (or RTF application instances) exist in the same region and namespace, they all share the same load balancer VIP and route to the same backend. You MUST sum pod counts across ALL deployments of the same API in that region.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3864" w:val="clear"/>
            <w:tcMar>
              <w:top w:type="dxa" w:w="120"/>
              <w:left w:type="dxa" w:w="240"/>
              <w:bottom w:type="dxa" w:w="120"/>
              <w:right w:type="dxa" w:w="240"/>
            </w:tcMar>
          </w:tcPr>
          <w:p>
            <w:pPr>
              <w:jc w:val="center"/>
            </w:pPr>
            <w:r>
              <w:rPr>
                <w:rFonts w:ascii="Courier New" w:cs="Courier New" w:eastAsia="Courier New" w:hAnsi="Courier New"/>
                <w:b/>
                <w:bCs/>
                <w:color w:val="FFFFFF"/>
                <w:sz w:val="19"/>
                <w:szCs w:val="19"/>
              </w:rPr>
              <w:t xml:space="preserve">Total Pods (Region)  =  Σ readyReplicas across all Deployments of the same API in that region</w:t>
            </w:r>
          </w:p>
          <w:p>
            <w:pPr>
              <w:spacing w:before="60"/>
              <w:jc w:val="center"/>
            </w:pPr>
            <w:r>
              <w:rPr>
                <w:rFonts w:ascii="Courier New" w:cs="Courier New" w:eastAsia="Courier New" w:hAnsi="Courier New"/>
                <w:b/>
                <w:bCs/>
                <w:color w:val="BDD7EE"/>
                <w:sz w:val="19"/>
                <w:szCs w:val="19"/>
              </w:rPr>
              <w:t xml:space="preserve">Per-Pod Limit  =  FLOOR( Effective Allowed TPS  ÷  Total Pods (Region) )</w:t>
            </w:r>
          </w:p>
        </w:tc>
      </w:tr>
    </w:tbl>
    <w:p>
      <w:pPr>
        <w:spacing w:after="0" w:before="80"/>
      </w:pPr>
      <w:r>
        <w:t xml:space="preserve"/>
      </w:r>
    </w:p>
    <w:p>
      <w:pPr>
        <w:spacing w:after="80" w:before="60"/>
      </w:pPr>
      <w:r>
        <w:rPr>
          <w:rFonts w:ascii="Arial" w:cs="Arial" w:eastAsia="Arial" w:hAnsi="Arial"/>
          <w:sz w:val="20"/>
          <w:szCs w:val="20"/>
        </w:rPr>
        <w:t xml:space="preserve">All Deployments of the same API must have the SAME spike control limit configured in API Manager, because each pod independently enforces its own ceiling regardless of which Deployment it belongs to.</w:t>
      </w:r>
    </w:p>
    <w:p>
      <w:pPr>
        <w:spacing w:after="0" w:before="120"/>
      </w:pPr>
      <w:r>
        <w:t xml:space="preserve"/>
      </w:r>
    </w:p>
    <w:p>
      <w:pPr>
        <w:pStyle w:val="Heading2"/>
        <w:spacing w:after="100" w:before="280"/>
      </w:pPr>
      <w:r>
        <w:rPr>
          <w:rFonts w:ascii="Arial" w:cs="Arial" w:eastAsia="Arial" w:hAnsi="Arial"/>
          <w:b/>
          <w:bCs/>
          <w:color w:val="2E75B6"/>
          <w:sz w:val="24"/>
          <w:szCs w:val="24"/>
        </w:rPr>
        <w:t xml:space="preserve">3.6 Worked Examples</w:t>
      </w:r>
    </w:p>
    <w:p>
      <w:pPr>
        <w:pStyle w:val="Heading3"/>
        <w:spacing w:after="80" w:before="200"/>
      </w:pPr>
      <w:r>
        <w:rPr>
          <w:rFonts w:ascii="Arial" w:cs="Arial" w:eastAsia="Arial" w:hAnsi="Arial"/>
          <w:b/>
          <w:bCs/>
          <w:color w:val="C55A11"/>
          <w:sz w:val="22"/>
          <w:szCs w:val="22"/>
        </w:rPr>
        <w:t xml:space="preserve">Example A — PR Region: 2 Kubernetes Deployments, 3 Pods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c>
          <w:tcPr>
            <w:tcW w:type="dxa" w:w="3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Parameter</w:t>
            </w:r>
          </w:p>
        </w:tc>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Value</w:t>
            </w:r>
          </w:p>
        </w:tc>
        <w:tc>
          <w:tcPr>
            <w:tcW w:type="dxa" w:w="2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Notes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Backend Safe TPS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600 req/sec</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From backend load test</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Safety Buffer</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20%</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PR standard</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Effective Allowed TPS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600 × 0.80 = 480 req/sec</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Gateway ceiling</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Deployment A pods (readyReplicas)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3</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kubectl readyReplicas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Deployment B pods (readyReplicas)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kubectl readyReplicas</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Total Pods (Region)</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3 + 3 = 6</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Sum all deployments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Per-Pod Limit (calc)</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FLOOR(480 ÷ 6) = 80</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Always floor</w:t>
            </w:r>
          </w:p>
        </w:tc>
      </w:tr>
      <w:tr>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333333"/>
                <w:sz w:val="19"/>
                <w:szCs w:val="19"/>
              </w:rPr>
              <w:t xml:space="preserve">→ Maximum Request Count</w:t>
            </w:r>
          </w:p>
        </w:tc>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333333"/>
                <w:sz w:val="19"/>
                <w:szCs w:val="19"/>
              </w:rPr>
              <w:t xml:space="preserve">80</w:t>
            </w:r>
          </w:p>
        </w:tc>
        <w:tc>
          <w:tcPr>
            <w:tcW w:type="dxa" w:w="2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333333"/>
                <w:sz w:val="19"/>
                <w:szCs w:val="19"/>
              </w:rPr>
              <w:t xml:space="preserve">Time Period: 1000ms</w:t>
            </w:r>
          </w:p>
        </w:tc>
      </w:tr>
      <w:tr>
        <w:tc>
          <w:tcPr>
            <w:tcW w:type="dxa" w:w="3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color w:val="333333"/>
                <w:sz w:val="19"/>
                <w:szCs w:val="19"/>
              </w:rPr>
              <w:t xml:space="preserve">Effective backend TPS (max)</w:t>
            </w:r>
          </w:p>
        </w:tc>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color w:val="333333"/>
                <w:sz w:val="19"/>
                <w:szCs w:val="19"/>
              </w:rPr>
              <w:t xml:space="preserve">80 × 6 = 480 req/sec ✓</w:t>
            </w:r>
          </w:p>
        </w:tc>
        <w:tc>
          <w:tcPr>
            <w:tcW w:type="dxa" w:w="27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color w:val="333333"/>
                <w:sz w:val="19"/>
                <w:szCs w:val="19"/>
              </w:rPr>
              <w:t xml:space="preserve">Within safe limit</w:t>
            </w:r>
          </w:p>
        </w:tc>
      </w:tr>
    </w:tbl>
    <w:p>
      <w:pPr>
        <w:spacing w:after="0" w:before="120"/>
      </w:pPr>
      <w:r>
        <w:t xml:space="preserve"/>
      </w:r>
    </w:p>
    <w:p>
      <w:pPr>
        <w:pStyle w:val="Heading3"/>
        <w:spacing w:after="80" w:before="200"/>
      </w:pPr>
      <w:r>
        <w:rPr>
          <w:rFonts w:ascii="Arial" w:cs="Arial" w:eastAsia="Arial" w:hAnsi="Arial"/>
          <w:b/>
          <w:bCs/>
          <w:color w:val="C55A11"/>
          <w:sz w:val="22"/>
          <w:szCs w:val="22"/>
        </w:rPr>
        <w:t xml:space="preserve">Example B — NPR: 1 Kubernetes Deployment, 2 Pods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c>
          <w:tcPr>
            <w:tcW w:type="dxa" w:w="3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Parameter</w:t>
            </w:r>
          </w:p>
        </w:tc>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Value</w:t>
            </w:r>
          </w:p>
        </w:tc>
        <w:tc>
          <w:tcPr>
            <w:tcW w:type="dxa" w:w="2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Notes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Backend Safe TPS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200 req/sec</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NPR backend SLA</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Safety Buffer</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30%</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NPR standard</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Effective Allowed TPS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200 × 0.70 = 140 req/sec</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Total Pods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2</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1 deployment × 2 pods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Per-Pod Limit (calc)</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FLOOR(140 ÷ 2) = 70</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w:r>
          </w:p>
        </w:tc>
      </w:tr>
      <w:tr>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333333"/>
                <w:sz w:val="19"/>
                <w:szCs w:val="19"/>
              </w:rPr>
              <w:t xml:space="preserve">→ Maximum Request Count</w:t>
            </w:r>
          </w:p>
        </w:tc>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333333"/>
                <w:sz w:val="19"/>
                <w:szCs w:val="19"/>
              </w:rPr>
              <w:t xml:space="preserve">70</w:t>
            </w:r>
          </w:p>
        </w:tc>
        <w:tc>
          <w:tcPr>
            <w:tcW w:type="dxa" w:w="2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333333"/>
                <w:sz w:val="19"/>
                <w:szCs w:val="19"/>
              </w:rPr>
              <w:t xml:space="preserve">Time Period: 1000ms</w:t>
            </w:r>
          </w:p>
        </w:tc>
      </w:tr>
    </w:tbl>
    <w:p>
      <w:pPr>
        <w:spacing w:after="0" w:before="120"/>
      </w:pPr>
      <w:r>
        <w:t xml:space="preserve"/>
      </w:r>
    </w:p>
    <w:p>
      <w:pPr>
        <w:pStyle w:val="Heading3"/>
        <w:spacing w:after="80" w:before="200"/>
      </w:pPr>
      <w:r>
        <w:rPr>
          <w:rFonts w:ascii="Arial" w:cs="Arial" w:eastAsia="Arial" w:hAnsi="Arial"/>
          <w:b/>
          <w:bCs/>
          <w:color w:val="C55A11"/>
          <w:sz w:val="22"/>
          <w:szCs w:val="22"/>
        </w:rPr>
        <w:t xml:space="preserve">Example C — DR Failover: Asymmetric Pod Count</w:t>
      </w:r>
    </w:p>
    <w:tbl>
      <w:tblPr>
        <w:tblW w:type="dxa" w:w="9360"/>
        <w:tblBorders>
          <w:top w:val="single" w:color="C55A11" w:sz="4"/>
          <w:left w:val="single" w:color="C55A11" w:sz="4"/>
          <w:bottom w:val="single" w:color="C55A11" w:sz="4"/>
          <w:right w:val="single" w:color="C55A11" w:sz="4"/>
          <w:insideH w:val="single" w:color="auto" w:sz="4"/>
          <w:insideV w:val="single" w:color="auto" w:sz="4"/>
        </w:tblBorders>
      </w:tblPr>
      <w:tblGrid>
        <w:gridCol w:w="560"/>
        <w:gridCol w:w="8800"/>
      </w:tblGrid>
      <w:tr>
        <w:tc>
          <w:tcPr>
            <w:tcW w:type="dxa" w:w="560"/>
            <w:tcBorders>
              <w:top w:val="nil" w:color="FFFFFF" w:sz="0"/>
              <w:left w:val="nil" w:color="FFFFFF" w:sz="0"/>
              <w:bottom w:val="nil" w:color="FFFFFF" w:sz="0"/>
              <w:right w:val="nil" w:color="FFFFFF" w:sz="0"/>
            </w:tcBorders>
            <w:shd w:fill="C55A11"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8800"/>
            <w:tcBorders>
              <w:top w:val="nil" w:color="FFFFFF" w:sz="0"/>
              <w:left w:val="nil" w:color="FFFFFF" w:sz="0"/>
              <w:bottom w:val="nil" w:color="FFFFFF" w:sz="0"/>
              <w:right w:val="nil" w:color="FFFFFF" w:sz="0"/>
            </w:tcBorders>
            <w:shd w:fill="FCE4D6" w:val="clear"/>
            <w:tcMar>
              <w:top w:type="dxa" w:w="80"/>
              <w:left w:type="dxa" w:w="160"/>
              <w:bottom w:type="dxa" w:w="80"/>
              <w:right w:type="dxa" w:w="120"/>
            </w:tcMar>
          </w:tcPr>
          <w:p>
            <w:r>
              <w:rPr>
                <w:rFonts w:ascii="Arial" w:cs="Arial" w:eastAsia="Arial" w:hAnsi="Arial"/>
                <w:sz w:val="19"/>
                <w:szCs w:val="19"/>
              </w:rPr>
              <w:t xml:space="preserve">DR environments deliberately run fewer pods to reduce infrastructure cost. When PR fails over to DR, ALL production traffic shifts to DR. The per-pod limit MUST be recalculated using DR's actual pod count — which yields a higher per-pod limit, meaning each DR pod now shoulders more load. Pre-scale pods before or immediately on failover to minimise this exposure.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Parameter</w:t>
            </w:r>
          </w:p>
        </w:tc>
        <w:tc>
          <w:tcPr>
            <w:tcW w:type="dxa" w:w="29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PR (Normal Operation)</w:t>
            </w:r>
          </w:p>
        </w:tc>
        <w:tc>
          <w:tcPr>
            <w:tcW w:type="dxa" w:w="29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DR (After Failover)</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Backend Safe TPS</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600 req/sec</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600 req/sec (same backend)</w:t>
            </w:r>
          </w:p>
        </w:tc>
      </w:tr>
      <w:tr>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Safety Buffer</w:t>
            </w:r>
          </w:p>
        </w:tc>
        <w:tc>
          <w:tcPr>
            <w:tcW w:type="dxa" w:w="2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20%</w:t>
            </w:r>
          </w:p>
        </w:tc>
        <w:tc>
          <w:tcPr>
            <w:tcW w:type="dxa" w:w="2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20% (DR carries prod load)</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Effective Allowed TPS</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480 req/sec</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480 req/sec</w:t>
            </w:r>
          </w:p>
        </w:tc>
      </w:tr>
      <w:tr>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Total Pods (readyReplicas)</w:t>
            </w:r>
          </w:p>
        </w:tc>
        <w:tc>
          <w:tcPr>
            <w:tcW w:type="dxa" w:w="2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6 (2 deployments × 3)</w:t>
            </w:r>
          </w:p>
        </w:tc>
        <w:tc>
          <w:tcPr>
            <w:tcW w:type="dxa" w:w="2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4 (2 deployments × 2)</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Per-Pod Limit</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FLOOR(480÷6) = 80</w:t>
            </w:r>
          </w:p>
        </w:tc>
        <w:tc>
          <w:tcPr>
            <w:tcW w:type="dxa" w:w="298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color w:val="333333"/>
                <w:sz w:val="19"/>
                <w:szCs w:val="19"/>
              </w:rPr>
              <w:t xml:space="preserve">FLOOR(480÷4) = 120</w:t>
            </w:r>
          </w:p>
        </w:tc>
      </w:tr>
      <w:tr>
        <w:tc>
          <w:tcPr>
            <w:tcW w:type="dxa" w:w="3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333333"/>
                <w:sz w:val="19"/>
                <w:szCs w:val="19"/>
              </w:rPr>
              <w:t xml:space="preserve">→ Maximum Request Count</w:t>
            </w:r>
          </w:p>
        </w:tc>
        <w:tc>
          <w:tcPr>
            <w:tcW w:type="dxa" w:w="29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333333"/>
                <w:sz w:val="19"/>
                <w:szCs w:val="19"/>
              </w:rPr>
              <w:t xml:space="preserve">80</w:t>
            </w:r>
          </w:p>
        </w:tc>
        <w:tc>
          <w:tcPr>
            <w:tcW w:type="dxa" w:w="298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bCs/>
                <w:color w:val="333333"/>
                <w:sz w:val="19"/>
                <w:szCs w:val="19"/>
              </w:rPr>
              <w:t xml:space="preserve">120 ← Higher per pod</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Max backend TPS if all pods hit limit</w:t>
            </w:r>
          </w:p>
        </w:tc>
        <w:tc>
          <w:tcPr>
            <w:tcW w:type="dxa" w:w="29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color w:val="333333"/>
                <w:sz w:val="19"/>
                <w:szCs w:val="19"/>
              </w:rPr>
              <w:t xml:space="preserve">80×6 = 480 ✓</w:t>
            </w:r>
          </w:p>
        </w:tc>
        <w:tc>
          <w:tcPr>
            <w:tcW w:type="dxa" w:w="298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333333"/>
                <w:sz w:val="19"/>
                <w:szCs w:val="19"/>
              </w:rPr>
              <w:t xml:space="preserve">120×4 = 480 ✓ (but fewer pods = less headroom)</w:t>
            </w:r>
          </w:p>
        </w:tc>
      </w:tr>
    </w:tbl>
    <w:p>
      <w:pPr>
        <w:spacing w:after="0" w:before="80"/>
      </w:pPr>
      <w:r>
        <w:t xml:space="preserve"/>
      </w:r>
    </w:p>
    <w:p>
      <w:pPr>
        <w:spacing w:after="80" w:before="60"/>
      </w:pPr>
      <w:r>
        <w:rPr>
          <w:rFonts w:ascii="Arial" w:cs="Arial" w:eastAsia="Arial" w:hAnsi="Arial"/>
          <w:sz w:val="20"/>
          <w:szCs w:val="20"/>
        </w:rPr>
        <w:t xml:space="preserve">The math protects the backend in both cases, but DR with fewer pods is more fragile — a single pod restart during DR activation briefly reduces capacity. Recommendation: scale DR pods to match PR count before completing failover.</w:t>
      </w:r>
    </w:p>
    <w:p>
      <w:pPr>
        <w:spacing w:after="0" w:before="120"/>
      </w:pPr>
      <w:r>
        <w:t xml:space="preserve"/>
      </w:r>
    </w:p>
    <w:p>
      <w:pPr>
        <w:pStyle w:val="Heading3"/>
        <w:spacing w:after="80" w:before="200"/>
      </w:pPr>
      <w:r>
        <w:rPr>
          <w:rFonts w:ascii="Arial" w:cs="Arial" w:eastAsia="Arial" w:hAnsi="Arial"/>
          <w:b/>
          <w:bCs/>
          <w:color w:val="C55A11"/>
          <w:sz w:val="22"/>
          <w:szCs w:val="22"/>
        </w:rPr>
        <w:t xml:space="preserve">Example D — Rolling Deployment (Temporary Pod Increase)</w:t>
      </w:r>
    </w:p>
    <w:tbl>
      <w:tblPr>
        <w:tblW w:type="dxa" w:w="9360"/>
        <w:tblBorders>
          <w:top w:val="single" w:color="C55A11" w:sz="4"/>
          <w:left w:val="single" w:color="C55A11" w:sz="4"/>
          <w:bottom w:val="single" w:color="C55A11" w:sz="4"/>
          <w:right w:val="single" w:color="C55A11" w:sz="4"/>
          <w:insideH w:val="single" w:color="auto" w:sz="4"/>
          <w:insideV w:val="single" w:color="auto" w:sz="4"/>
        </w:tblBorders>
      </w:tblPr>
      <w:tblGrid>
        <w:gridCol w:w="560"/>
        <w:gridCol w:w="8800"/>
      </w:tblGrid>
      <w:tr>
        <w:tc>
          <w:tcPr>
            <w:tcW w:type="dxa" w:w="560"/>
            <w:tcBorders>
              <w:top w:val="nil" w:color="FFFFFF" w:sz="0"/>
              <w:left w:val="nil" w:color="FFFFFF" w:sz="0"/>
              <w:bottom w:val="nil" w:color="FFFFFF" w:sz="0"/>
              <w:right w:val="nil" w:color="FFFFFF" w:sz="0"/>
            </w:tcBorders>
            <w:shd w:fill="C55A11"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8800"/>
            <w:tcBorders>
              <w:top w:val="nil" w:color="FFFFFF" w:sz="0"/>
              <w:left w:val="nil" w:color="FFFFFF" w:sz="0"/>
              <w:bottom w:val="nil" w:color="FFFFFF" w:sz="0"/>
              <w:right w:val="nil" w:color="FFFFFF" w:sz="0"/>
            </w:tcBorders>
            <w:shd w:fill="FCE4D6" w:val="clear"/>
            <w:tcMar>
              <w:top w:type="dxa" w:w="80"/>
              <w:left w:type="dxa" w:w="160"/>
              <w:bottom w:type="dxa" w:w="80"/>
              <w:right w:type="dxa" w:w="120"/>
            </w:tcMar>
          </w:tcPr>
          <w:p>
            <w:r>
              <w:rPr>
                <w:rFonts w:ascii="Arial" w:cs="Arial" w:eastAsia="Arial" w:hAnsi="Arial"/>
                <w:sz w:val="19"/>
                <w:szCs w:val="19"/>
              </w:rPr>
              <w:t xml:space="preserve">During a rolling deployment on Kubernetes, old pods and new pods coexist temporarily. Pod count increases above the steady-state value. If the spike control limit is not adjusted for the deployment window, effective backend TPS increases during the rollout.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Parameter</w:t>
            </w:r>
          </w:p>
        </w:tc>
        <w:tc>
          <w:tcPr>
            <w:tcW w:type="dxa" w:w="29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Steady State</w:t>
            </w:r>
          </w:p>
        </w:tc>
        <w:tc>
          <w:tcPr>
            <w:tcW w:type="dxa" w:w="29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During Rolling Deploy</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Effective Allowed TPS</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480</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480</w:t>
            </w:r>
          </w:p>
        </w:tc>
      </w:tr>
      <w:tr>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Running Pods</w:t>
            </w:r>
          </w:p>
        </w:tc>
        <w:tc>
          <w:tcPr>
            <w:tcW w:type="dxa" w:w="2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6</w:t>
            </w:r>
          </w:p>
        </w:tc>
        <w:tc>
          <w:tcPr>
            <w:tcW w:type="dxa" w:w="2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Up to 9 (maxSurge=50%)</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Per-Pod Limit (unchanged)</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80</w:t>
            </w:r>
          </w:p>
        </w:tc>
        <w:tc>
          <w:tcPr>
            <w:tcW w:type="dxa" w:w="298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color w:val="333333"/>
                <w:sz w:val="19"/>
                <w:szCs w:val="19"/>
              </w:rPr>
              <w:t xml:space="preserve">80 (not updated)</w:t>
            </w:r>
          </w:p>
        </w:tc>
      </w:tr>
      <w:tr>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Actual max backend TPS</w:t>
            </w:r>
          </w:p>
        </w:tc>
        <w:tc>
          <w:tcPr>
            <w:tcW w:type="dxa" w:w="29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val="false"/>
                <w:bCs w:val="false"/>
                <w:color w:val="333333"/>
                <w:sz w:val="19"/>
                <w:szCs w:val="19"/>
              </w:rPr>
              <w:t xml:space="preserve">480 ✓</w:t>
            </w:r>
          </w:p>
        </w:tc>
        <w:tc>
          <w:tcPr>
            <w:tcW w:type="dxa" w:w="298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Arial" w:cs="Arial" w:eastAsia="Arial" w:hAnsi="Arial"/>
                <w:b w:val="false"/>
                <w:bCs w:val="false"/>
                <w:color w:val="333333"/>
                <w:sz w:val="19"/>
                <w:szCs w:val="19"/>
              </w:rPr>
              <w:t xml:space="preserve">720 ✗ — exceeds backend!</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Deploy-window limit needed</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29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333333"/>
                <w:sz w:val="19"/>
                <w:szCs w:val="19"/>
              </w:rPr>
              <w:t xml:space="preserve">FLOOR(480÷9) = 53</w:t>
            </w:r>
          </w:p>
        </w:tc>
      </w:tr>
    </w:tbl>
    <w:p>
      <w:pPr>
        <w:spacing w:after="0" w:before="80"/>
      </w:pPr>
      <w:r>
        <w:t xml:space="preserve"/>
      </w:r>
    </w:p>
    <w:p>
      <w:pPr>
        <w:spacing w:after="80" w:before="60"/>
      </w:pPr>
      <w:r>
        <w:rPr>
          <w:rFonts w:ascii="Arial" w:cs="Arial" w:eastAsia="Arial" w:hAnsi="Arial"/>
          <w:sz w:val="20"/>
          <w:szCs w:val="20"/>
        </w:rPr>
        <w:t xml:space="preserve">For critical APIs, calculate and pre-apply a conservative deployment-window limit before each rolling deployment, then restore the steady-state limit once the deployment completes and excess pods terminate.</w:t>
      </w:r>
    </w:p>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4. Environment-Specific Configuration Standards</w:t>
      </w:r>
    </w:p>
    <w:p>
      <w:pPr>
        <w:pStyle w:val="Heading2"/>
        <w:spacing w:after="100" w:before="280"/>
      </w:pPr>
      <w:r>
        <w:rPr>
          <w:rFonts w:ascii="Arial" w:cs="Arial" w:eastAsia="Arial" w:hAnsi="Arial"/>
          <w:b/>
          <w:bCs/>
          <w:color w:val="2E75B6"/>
          <w:sz w:val="24"/>
          <w:szCs w:val="24"/>
        </w:rPr>
        <w:t xml:space="preserve">4.1 Production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Setting</w:t>
            </w:r>
          </w:p>
        </w:tc>
        <w:tc>
          <w:tcPr>
            <w:tcW w:type="dxa" w:w="6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Guideline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Safety Buffer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 — preserve 80% of backend capacity at all times.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Pod Count Source</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kubectl readyReplicas from the RTF production namespace. Confirm via Anypoint RTF console.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Time Window</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1000ms (1 second) for TPS-based SLAs.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Delay Time</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Max 500ms before returning HTTP 429. Prevents request queue buildup under load.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HPA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If HPA is enabled, configure spike control based on HPA maxReplicas (conservative). See Section 6.</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Review Trigger</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Any pod count change, rolling deployment, or backend SLA revision.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Alert Threshold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 429 rate &gt; 0.5% within any 5-minute window.</w:t>
            </w:r>
          </w:p>
        </w:tc>
      </w:tr>
    </w:tbl>
    <w:p>
      <w:pPr>
        <w:spacing w:after="0" w:before="120"/>
      </w:pPr>
      <w:r>
        <w:t xml:space="preserve"/>
      </w:r>
    </w:p>
    <w:p>
      <w:pPr>
        <w:pStyle w:val="Heading2"/>
        <w:spacing w:after="100" w:before="280"/>
      </w:pPr>
      <w:r>
        <w:rPr>
          <w:rFonts w:ascii="Arial" w:cs="Arial" w:eastAsia="Arial" w:hAnsi="Arial"/>
          <w:b/>
          <w:bCs/>
          <w:color w:val="2E75B6"/>
          <w:sz w:val="24"/>
          <w:szCs w:val="24"/>
        </w:rPr>
        <w:t xml:space="preserve">4.2 Disaster Recovery (DR)</w:t>
      </w:r>
    </w:p>
    <w:tbl>
      <w:tblPr>
        <w:tblW w:type="dxa" w:w="9360"/>
        <w:tblBorders>
          <w:top w:val="single" w:color="C55A11" w:sz="4"/>
          <w:left w:val="single" w:color="C55A11" w:sz="4"/>
          <w:bottom w:val="single" w:color="C55A11" w:sz="4"/>
          <w:right w:val="single" w:color="C55A11" w:sz="4"/>
          <w:insideH w:val="single" w:color="auto" w:sz="4"/>
          <w:insideV w:val="single" w:color="auto" w:sz="4"/>
        </w:tblBorders>
      </w:tblPr>
      <w:tblGrid>
        <w:gridCol w:w="560"/>
        <w:gridCol w:w="8800"/>
      </w:tblGrid>
      <w:tr>
        <w:tc>
          <w:tcPr>
            <w:tcW w:type="dxa" w:w="560"/>
            <w:tcBorders>
              <w:top w:val="nil" w:color="FFFFFF" w:sz="0"/>
              <w:left w:val="nil" w:color="FFFFFF" w:sz="0"/>
              <w:bottom w:val="nil" w:color="FFFFFF" w:sz="0"/>
              <w:right w:val="nil" w:color="FFFFFF" w:sz="0"/>
            </w:tcBorders>
            <w:shd w:fill="C55A11"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8800"/>
            <w:tcBorders>
              <w:top w:val="nil" w:color="FFFFFF" w:sz="0"/>
              <w:left w:val="nil" w:color="FFFFFF" w:sz="0"/>
              <w:bottom w:val="nil" w:color="FFFFFF" w:sz="0"/>
              <w:right w:val="nil" w:color="FFFFFF" w:sz="0"/>
            </w:tcBorders>
            <w:shd w:fill="FCE4D6" w:val="clear"/>
            <w:tcMar>
              <w:top w:type="dxa" w:w="80"/>
              <w:left w:type="dxa" w:w="160"/>
              <w:bottom w:type="dxa" w:w="80"/>
              <w:right w:type="dxa" w:w="120"/>
            </w:tcMar>
          </w:tcPr>
          <w:p>
            <w:r>
              <w:rPr>
                <w:rFonts w:ascii="Arial" w:cs="Arial" w:eastAsia="Arial" w:hAnsi="Arial"/>
                <w:sz w:val="19"/>
                <w:szCs w:val="19"/>
              </w:rPr>
              <w:t xml:space="preserve">DR spike control values MUST be independently calculated from PR. DR Kubernetes namespaces may have fewer pod replicas than PR. Never copy PR limits to DR — the per-pod limit depends on total pods, and DR has a different total.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Setting</w:t>
            </w:r>
          </w:p>
        </w:tc>
        <w:tc>
          <w:tcPr>
            <w:tcW w:type="dxa" w:w="6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Guideline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Safety Buffer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 — DR carries full production traffic on failover.</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Standby Configuration</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Configure spike control in the DR namespace at all times, not just during incidents. Use DR pod count for the calculation.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Pre-Failover Action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Scale DR pods to match PR pod count (kubectl scale or update RTF replica spec) BEFORE or immediately during failover. Recalculate spike control based on new pod count.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Post-Failover Verification</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Within 15 minutes of DR activation: confirm readyReplicas via kubectl, verify spike control limit is correct, check backend error rate.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Failback to PR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Restore PR policy after failback. Revert DR to its standby pod count and recalculate DR limit.</w:t>
            </w:r>
          </w:p>
        </w:tc>
      </w:tr>
    </w:tbl>
    <w:p>
      <w:pPr>
        <w:spacing w:after="0" w:before="120"/>
      </w:pPr>
      <w:r>
        <w:t xml:space="preserve"/>
      </w:r>
    </w:p>
    <w:p>
      <w:pPr>
        <w:pStyle w:val="Heading2"/>
        <w:spacing w:after="100" w:before="280"/>
      </w:pPr>
      <w:r>
        <w:rPr>
          <w:rFonts w:ascii="Arial" w:cs="Arial" w:eastAsia="Arial" w:hAnsi="Arial"/>
          <w:b/>
          <w:bCs/>
          <w:color w:val="2E75B6"/>
          <w:sz w:val="24"/>
          <w:szCs w:val="24"/>
        </w:rPr>
        <w:t xml:space="preserve">4.3 Non-Production (NPR)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Setting</w:t>
            </w:r>
          </w:p>
        </w:tc>
        <w:tc>
          <w:tcPr>
            <w:tcW w:type="dxa" w:w="6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Guideline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Safety Buffer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30% — test traffic patterns are unpredictable.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Topology Mirroring</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NPR should mirror the PR Kubernetes namespace configuration (same number of deployments, similar pod count) to allow accurate policy validation before promotion to PR.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Load Test Requirement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Load tests in NPR must confirm that the configured limit holds at peak expected TPS before any change is promoted to PR.</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Time Window</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1000ms (match PR for consistency).</w:t>
            </w:r>
          </w:p>
        </w:tc>
      </w:tr>
    </w:tbl>
    <w:p>
      <w:pPr>
        <w:spacing w:after="0" w:before="120"/>
      </w:pPr>
      <w:r>
        <w:t xml:space="preserve"/>
      </w:r>
    </w:p>
    <w:p>
      <w:pPr>
        <w:pStyle w:val="Heading2"/>
        <w:spacing w:after="100" w:before="280"/>
      </w:pPr>
      <w:r>
        <w:rPr>
          <w:rFonts w:ascii="Arial" w:cs="Arial" w:eastAsia="Arial" w:hAnsi="Arial"/>
          <w:b/>
          <w:bCs/>
          <w:color w:val="2E75B6"/>
          <w:sz w:val="24"/>
          <w:szCs w:val="24"/>
        </w:rPr>
        <w:t xml:space="preserve">4.4 Non-DR Non-Production (NDR)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Setting</w:t>
            </w:r>
          </w:p>
        </w:tc>
        <w:tc>
          <w:tcPr>
            <w:tcW w:type="dxa" w:w="6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Guideline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Safety Buffer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30%</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Pod Count</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Typically minimum replicas (1–2 pods). Per-pod limit will be higher than other environments. Acceptable in non-production — primarily developer testing, not backend protection at scale.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Priority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Lowest. Spike control here prevents developer testing from unintentionally hammering shared backend stubs or shared test instances.</w:t>
            </w:r>
          </w:p>
        </w:tc>
      </w:tr>
    </w:tbl>
    <w:p>
      <w:pPr>
        <w:pStyle w:val="Heading1"/>
        <w:pBdr>
          <w:bottom w:val="single" w:color="2E75B6" w:sz="6" w:space="4"/>
        </w:pBdr>
        <w:spacing w:after="120" w:before="360"/>
      </w:pPr>
      <w:r>
        <w:rPr>
          <w:rFonts w:ascii="Arial" w:cs="Arial" w:eastAsia="Arial" w:hAnsi="Arial"/>
          <w:b/>
          <w:bCs/>
          <w:color w:val="1F3864"/>
          <w:sz w:val="28"/>
          <w:szCs w:val="28"/>
        </w:rPr>
        <w:t xml:space="preserve">5. Pod Count Changes &amp; Recalculation Triggers</w:t>
      </w:r>
    </w:p>
    <w:p>
      <w:pPr>
        <w:spacing w:after="80" w:before="60"/>
      </w:pPr>
      <w:r>
        <w:rPr>
          <w:rFonts w:ascii="Arial" w:cs="Arial" w:eastAsia="Arial" w:hAnsi="Arial"/>
          <w:sz w:val="20"/>
          <w:szCs w:val="20"/>
        </w:rPr>
        <w:t xml:space="preserve">Any change to the number of running Kubernetes pods requires immediate spike control recalculation and policy update. The following events MUST trigger recalculation: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Trigger Event</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Environment</w:t>
            </w:r>
          </w:p>
        </w:tc>
        <w:tc>
          <w:tcPr>
            <w:tcW w:type="dxa" w:w="4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Action Required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Manual scale-up (increase replicas)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Reduce per-pod limit. Update policy AFTER new pods are Ready. Use: kubectl scale deployment &lt;name&gt; --replicas=N -n &lt;ns&gt;</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Manual scale-down (decrease replicas)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All</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Increase per-pod limit. Update policy BEFORE removing pods. See Section 5.2 for order of operations.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HPA scale-out (auto pod increase)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 NPR</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If HPA is enabled without conservative limit, backend exposure increases silently. See Section 6.</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HPA scale-in (auto pod decrease)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PR, NPR</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Per-pod limit is now too low relative to pod count. Under-utilisation, possible elevated latency.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Rolling deployment (maxSurge pods)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 NPR</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Temporarily increases pod count by maxSurge value. Consider pre-applying conservative deployment-window limit. See Example D.</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New RTF application deployment (same namespace)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All</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Re-count total pods for this API, including new deployment. Recalculate.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DR failover activated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DR</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Immediately query DR namespace pod count and recalculate. Scale DR pods to PR count if possible.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DR failback to PR</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PR, DR</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Restore PR policy. Revert DR to standby pod count and recalculate DR standby limit.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Pod crash / OOMKilled / CrashLoopBackOff</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Temporarily fewer ready pods. If sustained, surviving pods face higher per-pod load against the same limit. Monitor 429 rate.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Backend SLA revision</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affected</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Recalculate all environments using the new Backend Safe TPS value.</w:t>
            </w:r>
          </w:p>
        </w:tc>
      </w:tr>
    </w:tbl>
    <w:p>
      <w:pPr>
        <w:spacing w:after="0" w:before="120"/>
      </w:pPr>
      <w:r>
        <w:t xml:space="preserve"/>
      </w:r>
    </w:p>
    <w:p>
      <w:pPr>
        <w:pStyle w:val="Heading2"/>
        <w:spacing w:after="100" w:before="280"/>
      </w:pPr>
      <w:r>
        <w:rPr>
          <w:rFonts w:ascii="Arial" w:cs="Arial" w:eastAsia="Arial" w:hAnsi="Arial"/>
          <w:b/>
          <w:bCs/>
          <w:color w:val="2E75B6"/>
          <w:sz w:val="24"/>
          <w:szCs w:val="24"/>
        </w:rPr>
        <w:t xml:space="preserve">5.1 Scale-Down — Mandatory Order of Operations</w:t>
      </w:r>
    </w:p>
    <w:tbl>
      <w:tblPr>
        <w:tblW w:type="dxa" w:w="9360"/>
        <w:tblBorders>
          <w:top w:val="single" w:color="C55A11" w:sz="4"/>
          <w:left w:val="single" w:color="C55A11" w:sz="4"/>
          <w:bottom w:val="single" w:color="C55A11" w:sz="4"/>
          <w:right w:val="single" w:color="C55A11" w:sz="4"/>
          <w:insideH w:val="single" w:color="auto" w:sz="4"/>
          <w:insideV w:val="single" w:color="auto" w:sz="4"/>
        </w:tblBorders>
      </w:tblPr>
      <w:tblGrid>
        <w:gridCol w:w="560"/>
        <w:gridCol w:w="8800"/>
      </w:tblGrid>
      <w:tr>
        <w:tc>
          <w:tcPr>
            <w:tcW w:type="dxa" w:w="560"/>
            <w:tcBorders>
              <w:top w:val="nil" w:color="FFFFFF" w:sz="0"/>
              <w:left w:val="nil" w:color="FFFFFF" w:sz="0"/>
              <w:bottom w:val="nil" w:color="FFFFFF" w:sz="0"/>
              <w:right w:val="nil" w:color="FFFFFF" w:sz="0"/>
            </w:tcBorders>
            <w:shd w:fill="C55A11"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8800"/>
            <w:tcBorders>
              <w:top w:val="nil" w:color="FFFFFF" w:sz="0"/>
              <w:left w:val="nil" w:color="FFFFFF" w:sz="0"/>
              <w:bottom w:val="nil" w:color="FFFFFF" w:sz="0"/>
              <w:right w:val="nil" w:color="FFFFFF" w:sz="0"/>
            </w:tcBorders>
            <w:shd w:fill="FCE4D6" w:val="clear"/>
            <w:tcMar>
              <w:top w:type="dxa" w:w="80"/>
              <w:left w:type="dxa" w:w="160"/>
              <w:bottom w:type="dxa" w:w="80"/>
              <w:right w:type="dxa" w:w="120"/>
            </w:tcMar>
          </w:tcPr>
          <w:p>
            <w:r>
              <w:rPr>
                <w:rFonts w:ascii="Arial" w:cs="Arial" w:eastAsia="Arial" w:hAnsi="Arial"/>
                <w:sz w:val="19"/>
                <w:szCs w:val="19"/>
              </w:rPr>
              <w:t xml:space="preserve">ALWAYS update the spike control policy BEFORE reducing pod count. If you terminate pods first, surviving pods still carry the old (lower) per-pod limit but are now responsible for more traffic share. The backend receives load proportionally higher than the new pod count warrants, until you push the updated policy — and policy propagation takes ~60 seconds.</w:t>
            </w:r>
          </w:p>
        </w:tc>
      </w:tr>
    </w:tbl>
    <w:p>
      <w:pPr>
        <w:spacing w:after="0" w:before="80"/>
      </w:pPr>
      <w:r>
        <w:t xml:space="preserve"/>
      </w:r>
    </w:p>
    <w:p>
      <w:pPr>
        <w:pStyle w:val="ListParagraph"/>
        <w:numPr>
          <w:ilvl w:val="0"/>
          <w:numId w:val="3"/>
        </w:numPr>
        <w:spacing w:after="40" w:before="40"/>
      </w:pPr>
      <w:r>
        <w:rPr>
          <w:rFonts w:ascii="Arial" w:cs="Arial" w:eastAsia="Arial" w:hAnsi="Arial"/>
          <w:sz w:val="20"/>
          <w:szCs w:val="20"/>
        </w:rPr>
        <w:t xml:space="preserve">Calculate the new per-pod limit based on the target pod count (post-scale).</w:t>
      </w:r>
    </w:p>
    <w:p>
      <w:pPr>
        <w:pStyle w:val="ListParagraph"/>
        <w:numPr>
          <w:ilvl w:val="0"/>
          <w:numId w:val="3"/>
        </w:numPr>
        <w:spacing w:after="40" w:before="40"/>
      </w:pPr>
      <w:r>
        <w:rPr>
          <w:rFonts w:ascii="Arial" w:cs="Arial" w:eastAsia="Arial" w:hAnsi="Arial"/>
          <w:sz w:val="20"/>
          <w:szCs w:val="20"/>
        </w:rPr>
        <w:t xml:space="preserve">Update spike control policy in Anypoint API Manager with the new Maximum Request Count.</w:t>
      </w:r>
    </w:p>
    <w:p>
      <w:pPr>
        <w:pStyle w:val="ListParagraph"/>
        <w:numPr>
          <w:ilvl w:val="0"/>
          <w:numId w:val="3"/>
        </w:numPr>
        <w:spacing w:after="40" w:before="40"/>
      </w:pPr>
      <w:r>
        <w:rPr>
          <w:rFonts w:ascii="Arial" w:cs="Arial" w:eastAsia="Arial" w:hAnsi="Arial"/>
          <w:sz w:val="20"/>
          <w:szCs w:val="20"/>
        </w:rPr>
        <w:t xml:space="preserve">Wait for policy propagation to all running pods (~60 seconds). Verify via API Manager.</w:t>
      </w:r>
    </w:p>
    <w:p>
      <w:pPr>
        <w:pStyle w:val="ListParagraph"/>
        <w:numPr>
          <w:ilvl w:val="0"/>
          <w:numId w:val="3"/>
        </w:numPr>
        <w:spacing w:after="40" w:before="40"/>
      </w:pPr>
      <w:r>
        <w:rPr>
          <w:rFonts w:ascii="Arial" w:cs="Arial" w:eastAsia="Arial" w:hAnsi="Arial"/>
          <w:sz w:val="20"/>
          <w:szCs w:val="20"/>
        </w:rPr>
        <w:t xml:space="preserve">Execute the scale-down: kubectl scale deployment &lt;name&gt; --replicas=&lt;new-count&gt; -n &lt;namespace&gt;</w:t>
      </w:r>
    </w:p>
    <w:p>
      <w:pPr>
        <w:pStyle w:val="ListParagraph"/>
        <w:numPr>
          <w:ilvl w:val="0"/>
          <w:numId w:val="3"/>
        </w:numPr>
        <w:spacing w:after="40" w:before="40"/>
      </w:pPr>
      <w:r>
        <w:rPr>
          <w:rFonts w:ascii="Arial" w:cs="Arial" w:eastAsia="Arial" w:hAnsi="Arial"/>
          <w:sz w:val="20"/>
          <w:szCs w:val="20"/>
        </w:rPr>
        <w:t xml:space="preserve">Confirm pod termination: kubectl get pods -n &lt;namespace&gt; -w</w:t>
      </w:r>
    </w:p>
    <w:p>
      <w:pPr>
        <w:pStyle w:val="ListParagraph"/>
        <w:numPr>
          <w:ilvl w:val="0"/>
          <w:numId w:val="3"/>
        </w:numPr>
        <w:spacing w:after="40" w:before="40"/>
      </w:pPr>
      <w:r>
        <w:rPr>
          <w:rFonts w:ascii="Arial" w:cs="Arial" w:eastAsia="Arial" w:hAnsi="Arial"/>
          <w:sz w:val="20"/>
          <w:szCs w:val="20"/>
        </w:rPr>
        <w:t xml:space="preserve">Monitor backend error rate and 429 rate for 5 minutes post-change.</w:t>
      </w:r>
    </w:p>
    <w:p>
      <w:pPr>
        <w:pStyle w:val="ListParagraph"/>
        <w:numPr>
          <w:ilvl w:val="0"/>
          <w:numId w:val="3"/>
        </w:numPr>
        <w:spacing w:after="40" w:before="40"/>
      </w:pPr>
      <w:r>
        <w:rPr>
          <w:rFonts w:ascii="Arial" w:cs="Arial" w:eastAsia="Arial" w:hAnsi="Arial"/>
          <w:sz w:val="20"/>
          <w:szCs w:val="20"/>
        </w:rPr>
        <w:t xml:space="preserve">Update the Configuration Registry with new pod count and per-pod limit.</w:t>
      </w:r>
    </w:p>
    <w:p>
      <w:pPr>
        <w:spacing w:after="0" w:before="80"/>
      </w:pPr>
      <w:r>
        <w:t xml:space="preserve"/>
      </w:r>
    </w:p>
    <w:p>
      <w:pPr>
        <w:pStyle w:val="Heading2"/>
        <w:spacing w:after="100" w:before="280"/>
      </w:pPr>
      <w:r>
        <w:rPr>
          <w:rFonts w:ascii="Arial" w:cs="Arial" w:eastAsia="Arial" w:hAnsi="Arial"/>
          <w:b/>
          <w:bCs/>
          <w:color w:val="2E75B6"/>
          <w:sz w:val="24"/>
          <w:szCs w:val="24"/>
        </w:rPr>
        <w:t xml:space="preserve">5.2 Scale-Up — Mandatory Order of Operations</w:t>
      </w:r>
    </w:p>
    <w:p>
      <w:pPr>
        <w:pStyle w:val="ListParagraph"/>
        <w:numPr>
          <w:ilvl w:val="0"/>
          <w:numId w:val="3"/>
        </w:numPr>
        <w:spacing w:after="40" w:before="40"/>
      </w:pPr>
      <w:r>
        <w:rPr>
          <w:rFonts w:ascii="Arial" w:cs="Arial" w:eastAsia="Arial" w:hAnsi="Arial"/>
          <w:sz w:val="20"/>
          <w:szCs w:val="20"/>
        </w:rPr>
        <w:t xml:space="preserve">Execute scale-up: kubectl scale deployment &lt;name&gt; --replicas=&lt;new-count&gt; -n &lt;namespace&gt;</w:t>
      </w:r>
    </w:p>
    <w:p>
      <w:pPr>
        <w:pStyle w:val="ListParagraph"/>
        <w:numPr>
          <w:ilvl w:val="0"/>
          <w:numId w:val="3"/>
        </w:numPr>
        <w:spacing w:after="40" w:before="40"/>
      </w:pPr>
      <w:r>
        <w:rPr>
          <w:rFonts w:ascii="Arial" w:cs="Arial" w:eastAsia="Arial" w:hAnsi="Arial"/>
          <w:sz w:val="20"/>
          <w:szCs w:val="20"/>
        </w:rPr>
        <w:t xml:space="preserve">Wait for new pods to reach Ready state: kubectl get pods -n &lt;namespace&gt; -w</w:t>
      </w:r>
    </w:p>
    <w:p>
      <w:pPr>
        <w:pStyle w:val="ListParagraph"/>
        <w:numPr>
          <w:ilvl w:val="0"/>
          <w:numId w:val="3"/>
        </w:numPr>
        <w:spacing w:after="40" w:before="40"/>
      </w:pPr>
      <w:r>
        <w:rPr>
          <w:rFonts w:ascii="Arial" w:cs="Arial" w:eastAsia="Arial" w:hAnsi="Arial"/>
          <w:sz w:val="20"/>
          <w:szCs w:val="20"/>
        </w:rPr>
        <w:t xml:space="preserve">Once new pods are Ready, calculate new per-pod limit based on new total pod count.</w:t>
      </w:r>
    </w:p>
    <w:p>
      <w:pPr>
        <w:pStyle w:val="ListParagraph"/>
        <w:numPr>
          <w:ilvl w:val="0"/>
          <w:numId w:val="3"/>
        </w:numPr>
        <w:spacing w:after="40" w:before="40"/>
      </w:pPr>
      <w:r>
        <w:rPr>
          <w:rFonts w:ascii="Arial" w:cs="Arial" w:eastAsia="Arial" w:hAnsi="Arial"/>
          <w:sz w:val="20"/>
          <w:szCs w:val="20"/>
        </w:rPr>
        <w:t xml:space="preserve">Update spike control policy in Anypoint API Manager. Per-pod limit will be LOWER than before (more pods = smaller individual slice).</w:t>
      </w:r>
    </w:p>
    <w:p>
      <w:pPr>
        <w:pStyle w:val="ListParagraph"/>
        <w:numPr>
          <w:ilvl w:val="0"/>
          <w:numId w:val="3"/>
        </w:numPr>
        <w:spacing w:after="40" w:before="40"/>
      </w:pPr>
      <w:r>
        <w:rPr>
          <w:rFonts w:ascii="Arial" w:cs="Arial" w:eastAsia="Arial" w:hAnsi="Arial"/>
          <w:sz w:val="20"/>
          <w:szCs w:val="20"/>
        </w:rPr>
        <w:t xml:space="preserve">Wait for propagation and verify policy is active on all pods.</w:t>
      </w:r>
    </w:p>
    <w:p>
      <w:pPr>
        <w:pStyle w:val="ListParagraph"/>
        <w:numPr>
          <w:ilvl w:val="0"/>
          <w:numId w:val="3"/>
        </w:numPr>
        <w:spacing w:after="40" w:before="40"/>
      </w:pPr>
      <w:r>
        <w:rPr>
          <w:rFonts w:ascii="Arial" w:cs="Arial" w:eastAsia="Arial" w:hAnsi="Arial"/>
          <w:sz w:val="20"/>
          <w:szCs w:val="20"/>
        </w:rPr>
        <w:t xml:space="preserve">Monitor — no backend risk during scale-up as per-pod limit has not increased.</w:t>
      </w:r>
    </w:p>
    <w:p>
      <w:pPr>
        <w:pStyle w:val="ListParagraph"/>
        <w:numPr>
          <w:ilvl w:val="0"/>
          <w:numId w:val="3"/>
        </w:numPr>
        <w:spacing w:after="40" w:before="40"/>
      </w:pPr>
      <w:r>
        <w:rPr>
          <w:rFonts w:ascii="Arial" w:cs="Arial" w:eastAsia="Arial" w:hAnsi="Arial"/>
          <w:sz w:val="20"/>
          <w:szCs w:val="20"/>
        </w:rPr>
        <w:t xml:space="preserve">Update Configuration Registry.</w:t>
      </w:r>
    </w:p>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6. Kubernetes HPA &amp; Auto-Scaling Considerations</w:t>
      </w:r>
    </w:p>
    <w:tbl>
      <w:tblPr>
        <w:tblW w:type="dxa" w:w="9360"/>
        <w:tblBorders>
          <w:top w:val="single" w:color="C55A11" w:sz="4"/>
          <w:left w:val="single" w:color="C55A11" w:sz="4"/>
          <w:bottom w:val="single" w:color="C55A11" w:sz="4"/>
          <w:right w:val="single" w:color="C55A11" w:sz="4"/>
          <w:insideH w:val="single" w:color="auto" w:sz="4"/>
          <w:insideV w:val="single" w:color="auto" w:sz="4"/>
        </w:tblBorders>
      </w:tblPr>
      <w:tblGrid>
        <w:gridCol w:w="560"/>
        <w:gridCol w:w="8800"/>
      </w:tblGrid>
      <w:tr>
        <w:tc>
          <w:tcPr>
            <w:tcW w:type="dxa" w:w="560"/>
            <w:tcBorders>
              <w:top w:val="nil" w:color="FFFFFF" w:sz="0"/>
              <w:left w:val="nil" w:color="FFFFFF" w:sz="0"/>
              <w:bottom w:val="nil" w:color="FFFFFF" w:sz="0"/>
              <w:right w:val="nil" w:color="FFFFFF" w:sz="0"/>
            </w:tcBorders>
            <w:shd w:fill="C55A11"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8800"/>
            <w:tcBorders>
              <w:top w:val="nil" w:color="FFFFFF" w:sz="0"/>
              <w:left w:val="nil" w:color="FFFFFF" w:sz="0"/>
              <w:bottom w:val="nil" w:color="FFFFFF" w:sz="0"/>
              <w:right w:val="nil" w:color="FFFFFF" w:sz="0"/>
            </w:tcBorders>
            <w:shd w:fill="FCE4D6" w:val="clear"/>
            <w:tcMar>
              <w:top w:type="dxa" w:w="80"/>
              <w:left w:type="dxa" w:w="160"/>
              <w:bottom w:type="dxa" w:w="80"/>
              <w:right w:type="dxa" w:w="120"/>
            </w:tcMar>
          </w:tcPr>
          <w:p>
            <w:r>
              <w:rPr>
                <w:rFonts w:ascii="Arial" w:cs="Arial" w:eastAsia="Arial" w:hAnsi="Arial"/>
                <w:sz w:val="19"/>
                <w:szCs w:val="19"/>
              </w:rPr>
              <w:t xml:space="preserve">Kubernetes Horizontal Pod Autoscaler (HPA) and static MuleSoft Spike Control are fundamentally incompatible without compensating controls. HPA changes pod count dynamically based on CPU/memory; spike control values are static. Every HPA scale event silently changes the effective backend load without touching the Anypoint policy.</w:t>
            </w:r>
          </w:p>
        </w:tc>
      </w:tr>
    </w:tbl>
    <w:p>
      <w:pPr>
        <w:spacing w:after="0" w:before="120"/>
      </w:pPr>
      <w:r>
        <w:t xml:space="preserve"/>
      </w:r>
    </w:p>
    <w:p>
      <w:pPr>
        <w:pStyle w:val="Heading2"/>
        <w:spacing w:after="100" w:before="280"/>
      </w:pPr>
      <w:r>
        <w:rPr>
          <w:rFonts w:ascii="Arial" w:cs="Arial" w:eastAsia="Arial" w:hAnsi="Arial"/>
          <w:b/>
          <w:bCs/>
          <w:color w:val="2E75B6"/>
          <w:sz w:val="24"/>
          <w:szCs w:val="24"/>
        </w:rPr>
        <w:t xml:space="preserve">6.1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HPA Event</w:t>
            </w:r>
          </w:p>
        </w:tc>
        <w:tc>
          <w:tcPr>
            <w:tcW w:type="dxa" w:w="32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Effect on Spike Control</w:t>
            </w:r>
          </w:p>
        </w:tc>
        <w:tc>
          <w:tcPr>
            <w:tcW w:type="dxa" w:w="32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Backend Risk</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HPA adds pods (scale-out)</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Per-pod limit unchanged; effective total TPS to backend increases proportionally to new pod count.</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HIGH — backend may receive traffic above its safe capacity. Spike control is no longer protecting.</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HPA removes pods (scale-in)</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Per-pod limit still sized for more pods; fewer pods means under-utilisation.</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LOW — backend is under-loaded, but latency may rise as fewer pods handle load.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HPA flapping (rapid scale in/out)</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Spike control becomes inconsistent and unpredictable.</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HIGH — intermittent backend overload during scale-out phases.</w:t>
            </w:r>
          </w:p>
        </w:tc>
      </w:tr>
    </w:tbl>
    <w:p>
      <w:pPr>
        <w:spacing w:after="0" w:before="120"/>
      </w:pPr>
      <w:r>
        <w:t xml:space="preserve"/>
      </w:r>
    </w:p>
    <w:p>
      <w:pPr>
        <w:pStyle w:val="Heading2"/>
        <w:spacing w:after="100" w:before="280"/>
      </w:pPr>
      <w:r>
        <w:rPr>
          <w:rFonts w:ascii="Arial" w:cs="Arial" w:eastAsia="Arial" w:hAnsi="Arial"/>
          <w:b/>
          <w:bCs/>
          <w:color w:val="2E75B6"/>
          <w:sz w:val="24"/>
          <w:szCs w:val="24"/>
        </w:rPr>
        <w:t xml:space="preserve">6.2 Mitigation Options</w:t>
      </w:r>
    </w:p>
    <w:p>
      <w:pPr>
        <w:pStyle w:val="Heading3"/>
        <w:spacing w:after="80" w:before="200"/>
      </w:pPr>
      <w:r>
        <w:rPr>
          <w:rFonts w:ascii="Arial" w:cs="Arial" w:eastAsia="Arial" w:hAnsi="Arial"/>
          <w:b/>
          <w:bCs/>
          <w:color w:val="C55A11"/>
          <w:sz w:val="22"/>
          <w:szCs w:val="22"/>
        </w:rPr>
        <w:t xml:space="preserve">Option 1 — Disable HPA for APIs with Strict Backend SLAs (Recommended for PR)</w:t>
      </w:r>
    </w:p>
    <w:p>
      <w:pPr>
        <w:spacing w:after="80" w:before="60"/>
      </w:pPr>
      <w:r>
        <w:rPr>
          <w:rFonts w:ascii="Arial" w:cs="Arial" w:eastAsia="Arial" w:hAnsi="Arial"/>
          <w:sz w:val="20"/>
          <w:szCs w:val="20"/>
        </w:rPr>
        <w:t xml:space="preserve">Fix replica count in the Kubernetes Deployment spec. Remove HPA for the API deployment. Manage pod count manually per the scaling procedures in Section 5. Calculate spike control once per steady state.</w:t>
      </w:r>
    </w:p>
    <w:p>
      <w:pPr>
        <w:spacing w:after="60" w:before="40"/>
        <w:ind w:left="360"/>
      </w:pPr>
      <w:r>
        <w:rPr>
          <w:rFonts w:ascii="Courier New" w:cs="Courier New" w:eastAsia="Courier New" w:hAnsi="Courier New"/>
          <w:color w:val="1F3864"/>
          <w:sz w:val="18"/>
          <w:szCs w:val="18"/>
        </w:rPr>
        <w:t xml:space="preserve">spec.replicas: &lt;fixed-count&gt;  # In the RTF / K8s Deployment manifest</w:t>
      </w:r>
    </w:p>
    <w:p>
      <w:pPr>
        <w:spacing w:after="0" w:before="60"/>
      </w:pPr>
      <w:r>
        <w:t xml:space="preserve"/>
      </w:r>
    </w:p>
    <w:p>
      <w:pPr>
        <w:pStyle w:val="Heading3"/>
        <w:spacing w:after="80" w:before="200"/>
      </w:pPr>
      <w:r>
        <w:rPr>
          <w:rFonts w:ascii="Arial" w:cs="Arial" w:eastAsia="Arial" w:hAnsi="Arial"/>
          <w:b/>
          <w:bCs/>
          <w:color w:val="C55A11"/>
          <w:sz w:val="22"/>
          <w:szCs w:val="22"/>
        </w:rPr>
        <w:t xml:space="preserve">Option 2 — Conservative Static Limit Based on HPA maxReplicas</w:t>
      </w:r>
    </w:p>
    <w:p>
      <w:pPr>
        <w:spacing w:after="80" w:before="60"/>
      </w:pPr>
      <w:r>
        <w:rPr>
          <w:rFonts w:ascii="Arial" w:cs="Arial" w:eastAsia="Arial" w:hAnsi="Arial"/>
          <w:sz w:val="20"/>
          <w:szCs w:val="20"/>
        </w:rPr>
        <w:t xml:space="preserve">Calculate spike control using HPA maxReplicas as the pod count. This means at minimum pod count the backend is under-utilised, but at maximum HPA scale the backend is always protected.</w:t>
      </w:r>
    </w:p>
    <w:p>
      <w:pPr>
        <w:spacing w:after="60" w:before="40"/>
        <w:ind w:left="360"/>
      </w:pPr>
      <w:r>
        <w:rPr>
          <w:rFonts w:ascii="Courier New" w:cs="Courier New" w:eastAsia="Courier New" w:hAnsi="Courier New"/>
          <w:b/>
          <w:bCs/>
          <w:color w:val="1F3864"/>
          <w:sz w:val="19"/>
          <w:szCs w:val="19"/>
        </w:rPr>
        <w:t xml:space="preserve">Per-Pod Limit = FLOOR( Effective Allowed TPS ÷ HPA maxReplicas )</w:t>
      </w:r>
    </w:p>
    <w:p>
      <w:pPr>
        <w:spacing w:after="80" w:before="60"/>
      </w:pPr>
      <w:r>
        <w:rPr>
          <w:rFonts w:ascii="Arial" w:cs="Arial" w:eastAsia="Arial" w:hAnsi="Arial"/>
          <w:sz w:val="20"/>
          <w:szCs w:val="20"/>
        </w:rPr>
        <w:t xml:space="preserve">Trade-off: backend throughput is capped even when running at minimum replicas. Acceptable for most backends. Get HPA maxReplicas from: kubectl get hpa &lt;hpa-name&gt; -n &lt;namespace&gt; -o jsonpath='{.spec.maxReplicas}'</w:t>
      </w:r>
    </w:p>
    <w:p>
      <w:pPr>
        <w:spacing w:after="0" w:before="60"/>
      </w:pPr>
      <w:r>
        <w:t xml:space="preserve"/>
      </w:r>
    </w:p>
    <w:p>
      <w:pPr>
        <w:pStyle w:val="Heading3"/>
        <w:spacing w:after="80" w:before="200"/>
      </w:pPr>
      <w:r>
        <w:rPr>
          <w:rFonts w:ascii="Arial" w:cs="Arial" w:eastAsia="Arial" w:hAnsi="Arial"/>
          <w:b/>
          <w:bCs/>
          <w:color w:val="C55A11"/>
          <w:sz w:val="22"/>
          <w:szCs w:val="22"/>
        </w:rPr>
        <w:t xml:space="preserve">Option 3 — Dynamic Policy Update via Kubernetes Event Webhook (Advanced)</w:t>
      </w:r>
    </w:p>
    <w:p>
      <w:pPr>
        <w:spacing w:after="80" w:before="60"/>
      </w:pPr>
      <w:r>
        <w:rPr>
          <w:rFonts w:ascii="Arial" w:cs="Arial" w:eastAsia="Arial" w:hAnsi="Arial"/>
          <w:sz w:val="20"/>
          <w:szCs w:val="20"/>
        </w:rPr>
        <w:t xml:space="preserve">Deploy a Kubernetes Event Watcher (custom controller or CronJob) that monitors HPA scale events and automatically calls the Anypoint API Manager REST API to update spike control policy whenever pod count changes.</w:t>
      </w:r>
    </w:p>
    <w:p>
      <w:pPr>
        <w:pStyle w:val="ListParagraph"/>
        <w:numPr>
          <w:ilvl w:val="0"/>
          <w:numId w:val="2"/>
        </w:numPr>
        <w:spacing w:after="40" w:before="40"/>
      </w:pPr>
      <w:r>
        <w:rPr>
          <w:rFonts w:ascii="Arial" w:cs="Arial" w:eastAsia="Arial" w:hAnsi="Arial"/>
          <w:sz w:val="20"/>
          <w:szCs w:val="20"/>
        </w:rPr>
        <w:t xml:space="preserve">Monitor: kubectl get events -n &lt;namespace&gt; --field-selector reason=SuccessfulRescale</w:t>
      </w:r>
    </w:p>
    <w:p>
      <w:pPr>
        <w:pStyle w:val="ListParagraph"/>
        <w:numPr>
          <w:ilvl w:val="0"/>
          <w:numId w:val="2"/>
        </w:numPr>
        <w:spacing w:after="40" w:before="40"/>
      </w:pPr>
      <w:r>
        <w:rPr>
          <w:rFonts w:ascii="Arial" w:cs="Arial" w:eastAsia="Arial" w:hAnsi="Arial"/>
          <w:sz w:val="20"/>
          <w:szCs w:val="20"/>
        </w:rPr>
        <w:t xml:space="preserve">Trigger: Anypoint API Manager PATCH /organizations/{orgId}/environments/{envId}/apis/{apiId}/policies/{policyId}</w:t>
      </w:r>
    </w:p>
    <w:p>
      <w:pPr>
        <w:pStyle w:val="ListParagraph"/>
        <w:numPr>
          <w:ilvl w:val="0"/>
          <w:numId w:val="2"/>
        </w:numPr>
        <w:spacing w:after="40" w:before="40"/>
      </w:pPr>
      <w:r>
        <w:rPr>
          <w:rFonts w:ascii="Arial" w:cs="Arial" w:eastAsia="Arial" w:hAnsi="Arial"/>
          <w:sz w:val="20"/>
          <w:szCs w:val="20"/>
        </w:rPr>
        <w:t xml:space="preserve">Policy update window: must complete within HPA stabilisationWindowSeconds (default 300s).</w:t>
      </w:r>
    </w:p>
    <w:p>
      <w:pPr>
        <w:pStyle w:val="ListParagraph"/>
        <w:numPr>
          <w:ilvl w:val="0"/>
          <w:numId w:val="2"/>
        </w:numPr>
        <w:spacing w:after="40" w:before="40"/>
      </w:pPr>
      <w:r>
        <w:rPr>
          <w:rFonts w:ascii="Arial" w:cs="Arial" w:eastAsia="Arial" w:hAnsi="Arial"/>
          <w:sz w:val="20"/>
          <w:szCs w:val="20"/>
        </w:rPr>
        <w:t xml:space="preserve">Safety circuit breaker: if update fails, revert to conservative Option 2 limit until manual resolution.</w:t>
      </w:r>
    </w:p>
    <w:tbl>
      <w:tblPr>
        <w:tblW w:type="dxa" w:w="9360"/>
        <w:tblBorders>
          <w:top w:val="single" w:color="C55A11" w:sz="4"/>
          <w:left w:val="single" w:color="C55A11" w:sz="4"/>
          <w:bottom w:val="single" w:color="C55A11" w:sz="4"/>
          <w:right w:val="single" w:color="C55A11" w:sz="4"/>
          <w:insideH w:val="single" w:color="auto" w:sz="4"/>
          <w:insideV w:val="single" w:color="auto" w:sz="4"/>
        </w:tblBorders>
      </w:tblPr>
      <w:tblGrid>
        <w:gridCol w:w="560"/>
        <w:gridCol w:w="8800"/>
      </w:tblGrid>
      <w:tr>
        <w:tc>
          <w:tcPr>
            <w:tcW w:type="dxa" w:w="560"/>
            <w:tcBorders>
              <w:top w:val="nil" w:color="FFFFFF" w:sz="0"/>
              <w:left w:val="nil" w:color="FFFFFF" w:sz="0"/>
              <w:bottom w:val="nil" w:color="FFFFFF" w:sz="0"/>
              <w:right w:val="nil" w:color="FFFFFF" w:sz="0"/>
            </w:tcBorders>
            <w:shd w:fill="C55A11" w:val="clear"/>
            <w:tcMar>
              <w:top w:type="dxa" w:w="80"/>
              <w:left w:type="dxa" w:w="80"/>
              <w:bottom w:type="dxa" w:w="80"/>
              <w:right w:type="dxa" w:w="80"/>
            </w:tcMar>
          </w:tcPr>
          <w:p>
            <w:pPr>
              <w:jc w:val="center"/>
            </w:pPr>
            <w:r>
              <w:rPr>
                <w:rFonts w:ascii="Arial" w:cs="Arial" w:eastAsia="Arial" w:hAnsi="Arial"/>
                <w:b/>
                <w:bCs/>
                <w:color w:val="FFFFFF"/>
                <w:sz w:val="18"/>
                <w:szCs w:val="18"/>
              </w:rPr>
              <w:t xml:space="preserve">ℹ</w:t>
            </w:r>
          </w:p>
        </w:tc>
        <w:tc>
          <w:tcPr>
            <w:tcW w:type="dxa" w:w="8800"/>
            <w:tcBorders>
              <w:top w:val="nil" w:color="FFFFFF" w:sz="0"/>
              <w:left w:val="nil" w:color="FFFFFF" w:sz="0"/>
              <w:bottom w:val="nil" w:color="FFFFFF" w:sz="0"/>
              <w:right w:val="nil" w:color="FFFFFF" w:sz="0"/>
            </w:tcBorders>
            <w:shd w:fill="D6E4F0" w:val="clear"/>
            <w:tcMar>
              <w:top w:type="dxa" w:w="80"/>
              <w:left w:type="dxa" w:w="160"/>
              <w:bottom w:type="dxa" w:w="80"/>
              <w:right w:type="dxa" w:w="120"/>
            </w:tcMar>
          </w:tcPr>
          <w:p>
            <w:r>
              <w:rPr>
                <w:rFonts w:ascii="Arial" w:cs="Arial" w:eastAsia="Arial" w:hAnsi="Arial"/>
                <w:sz w:val="19"/>
                <w:szCs w:val="19"/>
              </w:rPr>
              <w:t xml:space="preserve">Option 3 is only recommended for teams with Kubernetes operator experience. Incorrect implementation can cause policy misconfiguration. Option 1 or Option 2 are preferred for most deployments.</w:t>
            </w:r>
          </w:p>
        </w:tc>
      </w:tr>
    </w:tbl>
    <w:p>
      <w:pPr>
        <w:pStyle w:val="Heading1"/>
        <w:pBdr>
          <w:bottom w:val="single" w:color="2E75B6" w:sz="6" w:space="4"/>
        </w:pBdr>
        <w:spacing w:after="120" w:before="360"/>
      </w:pPr>
      <w:r>
        <w:rPr>
          <w:rFonts w:ascii="Arial" w:cs="Arial" w:eastAsia="Arial" w:hAnsi="Arial"/>
          <w:b/>
          <w:bCs/>
          <w:color w:val="1F3864"/>
          <w:sz w:val="28"/>
          <w:szCs w:val="28"/>
        </w:rPr>
        <w:t xml:space="preserve">7. Configuration Registry Template</w:t>
      </w:r>
    </w:p>
    <w:p>
      <w:pPr>
        <w:spacing w:after="80" w:before="60"/>
      </w:pPr>
      <w:r>
        <w:rPr>
          <w:rFonts w:ascii="Arial" w:cs="Arial" w:eastAsia="Arial" w:hAnsi="Arial"/>
          <w:sz w:val="20"/>
          <w:szCs w:val="20"/>
        </w:rPr>
        <w:t xml:space="preserve">All spike control configurations must be recorded in the central Spike Control Configuration Registry, maintained in the team's source-of-truth system (Confluence, Git, or equivalent). This template defines the required fields.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200"/>
        <w:gridCol w:w="1200"/>
        <w:gridCol w:w="1200"/>
        <w:gridCol w:w="1160"/>
        <w:gridCol w:w="960"/>
        <w:gridCol w:w="1040"/>
      </w:tblGrid>
      <w:tr>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API Name</w:t>
            </w:r>
          </w:p>
        </w:tc>
        <w:tc>
          <w:tcPr>
            <w:tcW w:type="dxa" w:w="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Env</w:t>
            </w:r>
          </w:p>
        </w:tc>
        <w:tc>
          <w:tcPr>
            <w:tcW w:type="dxa" w:w="1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Backend Safe TPS</w:t>
            </w:r>
          </w:p>
        </w:tc>
        <w:tc>
          <w:tcPr>
            <w:tcW w:type="dxa" w:w="1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K8s Namespace</w:t>
            </w:r>
          </w:p>
        </w:tc>
        <w:tc>
          <w:tcPr>
            <w:tcW w:type="dxa" w:w="1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Total Pods (readyReplicas)</w:t>
            </w:r>
          </w:p>
        </w:tc>
        <w:tc>
          <w:tcPr>
            <w:tcW w:type="dxa" w:w="11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Effective TPS</w:t>
            </w:r>
          </w:p>
        </w:tc>
        <w:tc>
          <w:tcPr>
            <w:tcW w:type="dxa" w:w="9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Per-Pod Limit</w:t>
            </w:r>
          </w:p>
        </w:tc>
        <w:tc>
          <w:tcPr>
            <w:tcW w:type="dxa" w:w="104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Last Updated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customer-api-v2</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600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rtf-prod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6 (2 dep × 3)</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480</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80</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2026-06-01</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customer-api-v2</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DR</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600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rtf-dr</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4 (2 dep × 2)</w:t>
            </w:r>
          </w:p>
        </w:tc>
        <w:tc>
          <w:tcPr>
            <w:tcW w:type="dxa" w:w="1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480</w:t>
            </w:r>
          </w:p>
        </w:tc>
        <w:tc>
          <w:tcPr>
            <w:tcW w:type="dxa" w:w="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120</w:t>
            </w:r>
          </w:p>
        </w:tc>
        <w:tc>
          <w:tcPr>
            <w:tcW w:type="dxa" w:w="10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2026-06-01</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customer-api-v2</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NPR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rtf-nonprod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 (1 dep × 2)</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140</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70</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2026-06-01</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[API Name]</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[Env]</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[TPS]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[ns]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[Count]</w:t>
            </w:r>
          </w:p>
        </w:tc>
        <w:tc>
          <w:tcPr>
            <w:tcW w:type="dxa" w:w="1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[TPS]</w:t>
            </w:r>
          </w:p>
        </w:tc>
        <w:tc>
          <w:tcPr>
            <w:tcW w:type="dxa" w:w="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[Limit]</w:t>
            </w:r>
          </w:p>
        </w:tc>
        <w:tc>
          <w:tcPr>
            <w:tcW w:type="dxa" w:w="10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w:t>
            </w:r>
          </w:p>
        </w:tc>
      </w:tr>
    </w:tbl>
    <w:p>
      <w:pPr>
        <w:spacing w:after="0" w:before="80"/>
      </w:pPr>
      <w:r>
        <w:t xml:space="preserve"/>
      </w:r>
    </w:p>
    <w:tbl>
      <w:tblPr>
        <w:tblW w:type="dxa" w:w="9360"/>
        <w:tblBorders>
          <w:top w:val="single" w:color="C55A11" w:sz="4"/>
          <w:left w:val="single" w:color="C55A11" w:sz="4"/>
          <w:bottom w:val="single" w:color="C55A11" w:sz="4"/>
          <w:right w:val="single" w:color="C55A11" w:sz="4"/>
          <w:insideH w:val="single" w:color="auto" w:sz="4"/>
          <w:insideV w:val="single" w:color="auto" w:sz="4"/>
        </w:tblBorders>
      </w:tblPr>
      <w:tblGrid>
        <w:gridCol w:w="560"/>
        <w:gridCol w:w="8800"/>
      </w:tblGrid>
      <w:tr>
        <w:tc>
          <w:tcPr>
            <w:tcW w:type="dxa" w:w="560"/>
            <w:tcBorders>
              <w:top w:val="nil" w:color="FFFFFF" w:sz="0"/>
              <w:left w:val="nil" w:color="FFFFFF" w:sz="0"/>
              <w:bottom w:val="nil" w:color="FFFFFF" w:sz="0"/>
              <w:right w:val="nil" w:color="FFFFFF" w:sz="0"/>
            </w:tcBorders>
            <w:shd w:fill="C55A11" w:val="clear"/>
            <w:tcMar>
              <w:top w:type="dxa" w:w="80"/>
              <w:left w:type="dxa" w:w="80"/>
              <w:bottom w:type="dxa" w:w="80"/>
              <w:right w:type="dxa" w:w="80"/>
            </w:tcMar>
          </w:tcPr>
          <w:p>
            <w:pPr>
              <w:jc w:val="center"/>
            </w:pPr>
            <w:r>
              <w:rPr>
                <w:rFonts w:ascii="Arial" w:cs="Arial" w:eastAsia="Arial" w:hAnsi="Arial"/>
                <w:b/>
                <w:bCs/>
                <w:color w:val="FFFFFF"/>
                <w:sz w:val="18"/>
                <w:szCs w:val="18"/>
              </w:rPr>
              <w:t xml:space="preserve">ℹ</w:t>
            </w:r>
          </w:p>
        </w:tc>
        <w:tc>
          <w:tcPr>
            <w:tcW w:type="dxa" w:w="8800"/>
            <w:tcBorders>
              <w:top w:val="nil" w:color="FFFFFF" w:sz="0"/>
              <w:left w:val="nil" w:color="FFFFFF" w:sz="0"/>
              <w:bottom w:val="nil" w:color="FFFFFF" w:sz="0"/>
              <w:right w:val="nil" w:color="FFFFFF" w:sz="0"/>
            </w:tcBorders>
            <w:shd w:fill="D6E4F0" w:val="clear"/>
            <w:tcMar>
              <w:top w:type="dxa" w:w="80"/>
              <w:left w:type="dxa" w:w="160"/>
              <w:bottom w:type="dxa" w:w="80"/>
              <w:right w:type="dxa" w:w="120"/>
            </w:tcMar>
          </w:tcPr>
          <w:p>
            <w:r>
              <w:rPr>
                <w:rFonts w:ascii="Arial" w:cs="Arial" w:eastAsia="Arial" w:hAnsi="Arial"/>
                <w:sz w:val="19"/>
                <w:szCs w:val="19"/>
              </w:rPr>
              <w:t xml:space="preserve">The 'Total Pods (readyReplicas)' column must reflect the actual Kubernetes readyReplicas at the time the limit was calculated, not the desired replica count. These can differ during deployments or pod failures.</w:t>
            </w:r>
          </w:p>
        </w:tc>
      </w:tr>
    </w:tbl>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8. Monitoring &amp; Alerting</w:t>
      </w:r>
    </w:p>
    <w:p>
      <w:pPr>
        <w:pStyle w:val="Heading2"/>
        <w:spacing w:after="100" w:before="280"/>
      </w:pPr>
      <w:r>
        <w:rPr>
          <w:rFonts w:ascii="Arial" w:cs="Arial" w:eastAsia="Arial" w:hAnsi="Arial"/>
          <w:b/>
          <w:bCs/>
          <w:color w:val="2E75B6"/>
          <w:sz w:val="24"/>
          <w:szCs w:val="24"/>
        </w:rPr>
        <w:t xml:space="preserve">8.1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4400"/>
      </w:tblGrid>
      <w:tr>
        <w:tc>
          <w:tcPr>
            <w:tcW w:type="dxa" w:w="2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Metric</w:t>
            </w:r>
          </w:p>
        </w:tc>
        <w:tc>
          <w:tcPr>
            <w:tcW w:type="dxa" w:w="2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Threshold</w:t>
            </w:r>
          </w:p>
        </w:tc>
        <w:tc>
          <w:tcPr>
            <w:tcW w:type="dxa" w:w="4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Action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 429 Rate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&gt; 0.5% PR, &gt; 1% NPR</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Investigate traffic spike or miscalculated limit. Check pod count vs registry value first.</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Backend 5xx Rate</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&gt; 0.1% (PR)</w:t>
            </w:r>
          </w:p>
        </w:tc>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Spike control limit may be insufficient. Check backend health first before raising limit.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readyReplicas change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Any change detected</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Alert on-call engineer. Trigger recalculation workflow immediately.</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HPA scale event</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Any SuccessfulRescale event</w:t>
            </w:r>
          </w:p>
        </w:tc>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If Option 2 not in use: immediate recalculation required.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Pod CrashLoopBackOff</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Any pod in namespace</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Effective capacity reduced. Monitor 429 rate. Consider compensating limit increase if sustained.</w:t>
            </w:r>
          </w:p>
        </w:tc>
      </w:tr>
    </w:tbl>
    <w:p>
      <w:pPr>
        <w:spacing w:after="0" w:before="120"/>
      </w:pPr>
      <w:r>
        <w:t xml:space="preserve"/>
      </w:r>
    </w:p>
    <w:p>
      <w:pPr>
        <w:pStyle w:val="Heading2"/>
        <w:spacing w:after="100" w:before="280"/>
      </w:pPr>
      <w:r>
        <w:rPr>
          <w:rFonts w:ascii="Arial" w:cs="Arial" w:eastAsia="Arial" w:hAnsi="Arial"/>
          <w:b/>
          <w:bCs/>
          <w:color w:val="2E75B6"/>
          <w:sz w:val="24"/>
          <w:szCs w:val="24"/>
        </w:rPr>
        <w:t xml:space="preserve">8.2 Runbook — HTTP 429 Spike Alert on PCE RTF</w:t>
      </w:r>
    </w:p>
    <w:p>
      <w:pPr>
        <w:pStyle w:val="ListParagraph"/>
        <w:numPr>
          <w:ilvl w:val="0"/>
          <w:numId w:val="3"/>
        </w:numPr>
        <w:spacing w:after="40" w:before="40"/>
      </w:pPr>
      <w:r>
        <w:rPr>
          <w:rFonts w:ascii="Arial" w:cs="Arial" w:eastAsia="Arial" w:hAnsi="Arial"/>
          <w:sz w:val="20"/>
          <w:szCs w:val="20"/>
        </w:rPr>
        <w:t xml:space="preserve">Acknowledge alert. Identify affected API, environment, and Kubernetes namespace.</w:t>
      </w:r>
    </w:p>
    <w:p>
      <w:pPr>
        <w:pStyle w:val="ListParagraph"/>
        <w:numPr>
          <w:ilvl w:val="0"/>
          <w:numId w:val="3"/>
        </w:numPr>
        <w:spacing w:after="40" w:before="40"/>
      </w:pPr>
      <w:r>
        <w:rPr>
          <w:rFonts w:ascii="Arial" w:cs="Arial" w:eastAsia="Arial" w:hAnsi="Arial"/>
          <w:sz w:val="20"/>
          <w:szCs w:val="20"/>
        </w:rPr>
        <w:t xml:space="preserve">Query current ready pod count: kubectl get deployment &lt;api-name&gt; -n &lt;namespace&gt; -o jsonpath='{.status.readyReplicas}'</w:t>
      </w:r>
    </w:p>
    <w:p>
      <w:pPr>
        <w:pStyle w:val="ListParagraph"/>
        <w:numPr>
          <w:ilvl w:val="0"/>
          <w:numId w:val="3"/>
        </w:numPr>
        <w:spacing w:after="40" w:before="40"/>
      </w:pPr>
      <w:r>
        <w:rPr>
          <w:rFonts w:ascii="Arial" w:cs="Arial" w:eastAsia="Arial" w:hAnsi="Arial"/>
          <w:sz w:val="20"/>
          <w:szCs w:val="20"/>
        </w:rPr>
        <w:t xml:space="preserve">Compare to value in Configuration Registry. If pod count has changed since last calculation — recalculate and update policy immediately (go to step 5).</w:t>
      </w:r>
    </w:p>
    <w:p>
      <w:pPr>
        <w:pStyle w:val="ListParagraph"/>
        <w:numPr>
          <w:ilvl w:val="0"/>
          <w:numId w:val="3"/>
        </w:numPr>
        <w:spacing w:after="40" w:before="40"/>
      </w:pPr>
      <w:r>
        <w:rPr>
          <w:rFonts w:ascii="Arial" w:cs="Arial" w:eastAsia="Arial" w:hAnsi="Arial"/>
          <w:sz w:val="20"/>
          <w:szCs w:val="20"/>
        </w:rPr>
        <w:t xml:space="preserve">If pod count matches registry: check live traffic TPS vs configured limit in Anypoint Monitoring.</w:t>
      </w:r>
    </w:p>
    <w:p>
      <w:pPr>
        <w:pStyle w:val="ListParagraph"/>
        <w:numPr>
          <w:ilvl w:val="1"/>
          <w:numId w:val="2"/>
        </w:numPr>
        <w:spacing w:after="40" w:before="40"/>
      </w:pPr>
      <w:r>
        <w:rPr>
          <w:rFonts w:ascii="Arial" w:cs="Arial" w:eastAsia="Arial" w:hAnsi="Arial"/>
          <w:sz w:val="20"/>
          <w:szCs w:val="20"/>
        </w:rPr>
        <w:t xml:space="preserve">Traffic increase is legitimate: coordinate with backend team to raise Backend Safe TPS (requires load test), then recalculate.</w:t>
      </w:r>
    </w:p>
    <w:p>
      <w:pPr>
        <w:pStyle w:val="ListParagraph"/>
        <w:numPr>
          <w:ilvl w:val="1"/>
          <w:numId w:val="2"/>
        </w:numPr>
        <w:spacing w:after="40" w:before="40"/>
      </w:pPr>
      <w:r>
        <w:rPr>
          <w:rFonts w:ascii="Arial" w:cs="Arial" w:eastAsia="Arial" w:hAnsi="Arial"/>
          <w:sz w:val="20"/>
          <w:szCs w:val="20"/>
        </w:rPr>
        <w:t xml:space="preserve">Traffic increase is unexpected (bot, misconfigured client, test load): do NOT raise spike control. Investigate source and block at edge.</w:t>
      </w:r>
    </w:p>
    <w:p>
      <w:pPr>
        <w:pStyle w:val="ListParagraph"/>
        <w:numPr>
          <w:ilvl w:val="0"/>
          <w:numId w:val="3"/>
        </w:numPr>
        <w:spacing w:after="40" w:before="40"/>
      </w:pPr>
      <w:r>
        <w:rPr>
          <w:rFonts w:ascii="Arial" w:cs="Arial" w:eastAsia="Arial" w:hAnsi="Arial"/>
          <w:sz w:val="20"/>
          <w:szCs w:val="20"/>
        </w:rPr>
        <w:t xml:space="preserve">To update policy: Anypoint API Manager → Environment → APIs → &lt;api-name&gt; → Policies → Spike Control → Edit → set new Maximum Request Count → Apply.</w:t>
      </w:r>
    </w:p>
    <w:p>
      <w:pPr>
        <w:pStyle w:val="ListParagraph"/>
        <w:numPr>
          <w:ilvl w:val="0"/>
          <w:numId w:val="3"/>
        </w:numPr>
        <w:spacing w:after="40" w:before="40"/>
      </w:pPr>
      <w:r>
        <w:rPr>
          <w:rFonts w:ascii="Arial" w:cs="Arial" w:eastAsia="Arial" w:hAnsi="Arial"/>
          <w:sz w:val="20"/>
          <w:szCs w:val="20"/>
        </w:rPr>
        <w:t xml:space="preserve">Verify propagation: wait ~60 seconds. Check pod logs for policy refresh confirmation if needed.</w:t>
      </w:r>
    </w:p>
    <w:p>
      <w:pPr>
        <w:pStyle w:val="ListParagraph"/>
        <w:numPr>
          <w:ilvl w:val="0"/>
          <w:numId w:val="3"/>
        </w:numPr>
        <w:spacing w:after="40" w:before="40"/>
      </w:pPr>
      <w:r>
        <w:rPr>
          <w:rFonts w:ascii="Arial" w:cs="Arial" w:eastAsia="Arial" w:hAnsi="Arial"/>
          <w:sz w:val="20"/>
          <w:szCs w:val="20"/>
        </w:rPr>
        <w:t xml:space="preserve">Monitor 429 rate and backend 5xx rate for 10 minutes post-update.</w:t>
      </w:r>
    </w:p>
    <w:p>
      <w:pPr>
        <w:pStyle w:val="ListParagraph"/>
        <w:numPr>
          <w:ilvl w:val="0"/>
          <w:numId w:val="3"/>
        </w:numPr>
        <w:spacing w:after="40" w:before="40"/>
      </w:pPr>
      <w:r>
        <w:rPr>
          <w:rFonts w:ascii="Arial" w:cs="Arial" w:eastAsia="Arial" w:hAnsi="Arial"/>
          <w:sz w:val="20"/>
          <w:szCs w:val="20"/>
        </w:rPr>
        <w:t xml:space="preserve">Update Configuration Registry with new values and incident reference.</w:t>
      </w:r>
    </w:p>
    <w:p>
      <w:pPr>
        <w:pStyle w:val="ListParagraph"/>
        <w:numPr>
          <w:ilvl w:val="0"/>
          <w:numId w:val="3"/>
        </w:numPr>
        <w:spacing w:after="40" w:before="40"/>
      </w:pPr>
      <w:r>
        <w:rPr>
          <w:rFonts w:ascii="Arial" w:cs="Arial" w:eastAsia="Arial" w:hAnsi="Arial"/>
          <w:sz w:val="20"/>
          <w:szCs w:val="20"/>
        </w:rPr>
        <w:t xml:space="preserve">File post-incident summary within 1 hour in incident management system.</w:t>
      </w:r>
    </w:p>
    <w:p>
      <w:pPr>
        <w:pStyle w:val="Heading1"/>
        <w:pBdr>
          <w:bottom w:val="single" w:color="2E75B6" w:sz="6" w:space="4"/>
        </w:pBdr>
        <w:spacing w:after="120" w:before="360"/>
      </w:pPr>
      <w:r>
        <w:rPr>
          <w:rFonts w:ascii="Arial" w:cs="Arial" w:eastAsia="Arial" w:hAnsi="Arial"/>
          <w:b/>
          <w:bCs/>
          <w:color w:val="1F3864"/>
          <w:sz w:val="28"/>
          <w:szCs w:val="28"/>
        </w:rPr>
        <w:t xml:space="preserve">9.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Role</w:t>
            </w:r>
          </w:p>
        </w:tc>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Team</w:t>
            </w:r>
          </w:p>
        </w:tc>
        <w:tc>
          <w:tcPr>
            <w:tcW w:type="dxa" w:w="49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Responsibility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Integration Architect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Architecture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Owns this SOP. Approves exceptions. Defines Backend Safe TPS with backend system owners. Reviews HPA strategy per API.</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Platform / K8s Engineer</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Platform Eng</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Executes spike control configuration changes in Anypoint API Manager. Maintains Configuration Registry. Recalculates on all pod count change events. Manages RTF namespace scaling.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API Developer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Integration Dev</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Provides API traffic profile. Notifies platform team of deployment changes (rolling deployments, replica changes). Raises backend SLA concerns.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Backend System Owner</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Application / Infra</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Provides and maintains Backend Safe TPS values from load test evidence. Notifies integration team of SLA changes promptly.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On-Call Engineer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Platform / SRE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Responds to spike control and pod count alerts. Executes runbook. Escalates if backend impact detected.</w:t>
            </w:r>
          </w:p>
        </w:tc>
      </w:tr>
    </w:tbl>
    <w:p>
      <w:pPr>
        <w:pStyle w:val="Heading1"/>
        <w:pBdr>
          <w:bottom w:val="single" w:color="2E75B6" w:sz="6" w:space="4"/>
        </w:pBdr>
        <w:spacing w:after="120" w:before="360"/>
      </w:pPr>
      <w:r>
        <w:rPr>
          <w:rFonts w:ascii="Arial" w:cs="Arial" w:eastAsia="Arial" w:hAnsi="Arial"/>
          <w:b/>
          <w:bCs/>
          <w:color w:val="1F3864"/>
          <w:sz w:val="28"/>
          <w:szCs w:val="28"/>
        </w:rPr>
        <w:t xml:space="preserve">10. Change Management &amp; Review</w:t>
      </w:r>
    </w:p>
    <w:p>
      <w:pPr>
        <w:pStyle w:val="Heading2"/>
        <w:spacing w:after="100" w:before="280"/>
      </w:pPr>
      <w:r>
        <w:rPr>
          <w:rFonts w:ascii="Arial" w:cs="Arial" w:eastAsia="Arial" w:hAnsi="Arial"/>
          <w:b/>
          <w:bCs/>
          <w:color w:val="2E75B6"/>
          <w:sz w:val="24"/>
          <w:szCs w:val="24"/>
        </w:rPr>
        <w:t xml:space="preserve">10.1 Change Approval</w:t>
      </w:r>
    </w:p>
    <w:p>
      <w:pPr>
        <w:pStyle w:val="ListParagraph"/>
        <w:numPr>
          <w:ilvl w:val="0"/>
          <w:numId w:val="2"/>
        </w:numPr>
        <w:spacing w:after="40" w:before="40"/>
      </w:pPr>
      <w:r>
        <w:rPr>
          <w:rFonts w:ascii="Arial" w:cs="Arial" w:eastAsia="Arial" w:hAnsi="Arial"/>
          <w:sz w:val="20"/>
          <w:szCs w:val="20"/>
        </w:rPr>
        <w:t xml:space="preserve">All spike control changes in PR require peer review by a second Platform Engineer and approval from the Integration Architect.</w:t>
      </w:r>
    </w:p>
    <w:p>
      <w:pPr>
        <w:pStyle w:val="ListParagraph"/>
        <w:numPr>
          <w:ilvl w:val="0"/>
          <w:numId w:val="2"/>
        </w:numPr>
        <w:spacing w:after="40" w:before="40"/>
      </w:pPr>
      <w:r>
        <w:rPr>
          <w:rFonts w:ascii="Arial" w:cs="Arial" w:eastAsia="Arial" w:hAnsi="Arial"/>
          <w:sz w:val="20"/>
          <w:szCs w:val="20"/>
        </w:rPr>
        <w:t xml:space="preserve">NPR/NDR changes require peer review only.</w:t>
      </w:r>
    </w:p>
    <w:p>
      <w:pPr>
        <w:pStyle w:val="ListParagraph"/>
        <w:numPr>
          <w:ilvl w:val="0"/>
          <w:numId w:val="2"/>
        </w:numPr>
        <w:spacing w:after="40" w:before="40"/>
      </w:pPr>
      <w:r>
        <w:rPr>
          <w:rFonts w:ascii="Arial" w:cs="Arial" w:eastAsia="Arial" w:hAnsi="Arial"/>
          <w:sz w:val="20"/>
          <w:szCs w:val="20"/>
        </w:rPr>
        <w:t xml:space="preserve">Emergency DR failover changes may be made by the on-call engineer without prior approval but must be documented within 1 hour.</w:t>
      </w:r>
    </w:p>
    <w:p>
      <w:pPr>
        <w:pStyle w:val="ListParagraph"/>
        <w:numPr>
          <w:ilvl w:val="0"/>
          <w:numId w:val="2"/>
        </w:numPr>
        <w:spacing w:after="40" w:before="40"/>
      </w:pPr>
      <w:r>
        <w:rPr>
          <w:rFonts w:ascii="Arial" w:cs="Arial" w:eastAsia="Arial" w:hAnsi="Arial"/>
          <w:sz w:val="20"/>
          <w:szCs w:val="20"/>
        </w:rPr>
        <w:t xml:space="preserve">Any change to Backend Safe TPS values must be supported by load test evidence and approved by the Integration Architect.</w:t>
      </w:r>
    </w:p>
    <w:p>
      <w:pPr>
        <w:spacing w:after="0" w:before="80"/>
      </w:pPr>
      <w:r>
        <w:t xml:space="preserve"/>
      </w:r>
    </w:p>
    <w:p>
      <w:pPr>
        <w:pStyle w:val="Heading2"/>
        <w:spacing w:after="100" w:before="280"/>
      </w:pPr>
      <w:r>
        <w:rPr>
          <w:rFonts w:ascii="Arial" w:cs="Arial" w:eastAsia="Arial" w:hAnsi="Arial"/>
          <w:b/>
          <w:bCs/>
          <w:color w:val="2E75B6"/>
          <w:sz w:val="24"/>
          <w:szCs w:val="24"/>
        </w:rPr>
        <w:t xml:space="preserve">10.2 Periodic Review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Review Type</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Frequency</w:t>
            </w:r>
          </w:p>
        </w:tc>
        <w:tc>
          <w:tcPr>
            <w:tcW w:type="dxa" w:w="4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Scope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Configuration Audit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Monthly</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Verify all registry entries match current Kubernetes readyReplicas. Identify any drift.</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Capacity Review</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Quarterly</w:t>
            </w:r>
          </w:p>
        </w:tc>
        <w:tc>
          <w:tcPr>
            <w:tcW w:type="dxa" w:w="4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Re-validate Backend Safe TPS with backend owners. Adjust for traffic growth trends.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SOP Review</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Annually</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Full SOP review. Update for Anypoint PCE version upgrades, Kubernetes platform changes, or new environments.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Post-Incident Review</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After each incident</w:t>
            </w:r>
          </w:p>
        </w:tc>
        <w:tc>
          <w:tcPr>
            <w:tcW w:type="dxa" w:w="4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Review spike control contribution. Update runbook and SOP if gaps identified.</w:t>
            </w:r>
          </w:p>
        </w:tc>
      </w:tr>
    </w:tbl>
    <w:p>
      <w:pPr>
        <w:spacing w:after="0" w:before="120"/>
      </w:pPr>
      <w:r>
        <w:t xml:space="preserve"/>
      </w:r>
    </w:p>
    <w:p>
      <w:pPr>
        <w:pStyle w:val="Heading2"/>
        <w:spacing w:after="100" w:before="280"/>
      </w:pPr>
      <w:r>
        <w:rPr>
          <w:rFonts w:ascii="Arial" w:cs="Arial" w:eastAsia="Arial" w:hAnsi="Arial"/>
          <w:b/>
          <w:bCs/>
          <w:color w:val="2E75B6"/>
          <w:sz w:val="24"/>
          <w:szCs w:val="24"/>
        </w:rPr>
        <w:t xml:space="preserve">10.3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200"/>
        <w:gridCol w:w="3560"/>
      </w:tblGrid>
      <w:tr>
        <w:tc>
          <w:tcPr>
            <w:tcW w:type="dxa" w:w="1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Version</w:t>
            </w:r>
          </w:p>
        </w:tc>
        <w:tc>
          <w:tcPr>
            <w:tcW w:type="dxa" w:w="1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Date</w:t>
            </w:r>
          </w:p>
        </w:tc>
        <w:tc>
          <w:tcPr>
            <w:tcW w:type="dxa" w:w="3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Author</w:t>
            </w:r>
          </w:p>
        </w:tc>
        <w:tc>
          <w:tcPr>
            <w:tcW w:type="dxa" w:w="35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Changes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June 2026</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Integration Architecture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Revised for Anypoint PCE Runtime Fabric on Kubernetes. Replaced worker terminology with Kubernetes pod/replica terminology. Added kubectl commands, HPA guidance, rolling deployment example, and PCE-specific policy propagation notes.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80"/>
    </w:pPr>
    <w:r>
      <w:rPr>
        <w:rFonts w:ascii="Arial" w:cs="Arial" w:eastAsia="Arial" w:hAnsi="Arial"/>
        <w:color w:val="888888"/>
        <w:sz w:val="16"/>
        <w:szCs w:val="16"/>
      </w:rPr>
      <w:t xml:space="preserve">© Integration Architecture  |  June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color w:val="888888"/>
        <w:sz w:val="16"/>
        <w:szCs w:val="16"/>
      </w:rPr>
      <w:t xml:space="preserve">MuleSoft Spike Control SOP  |  Anypoint PCE Runtime Fabric (Kubernetes)  |  MUL-SOP-SPIKE-002  |  v2.0</w:t>
    </w:r>
    <w:r>
      <w:rPr>
        <w:rFonts w:ascii="Arial" w:cs="Arial" w:eastAsia="Arial" w:hAnsi="Arial"/>
        <w:color w:val="C55A11"/>
        <w:sz w:val="16"/>
        <w:szCs w:val="16"/>
      </w:rPr>
      <w:t xml:space="preserve">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2026-06-04T12:43:01.845Z</dcterms:created>
  <dcterms:modified xsi:type="dcterms:W3CDTF">2026-06-04T12:43:01.845Z</dcterms:modified>
</cp:coreProperties>
</file>

<file path=docProps/custom.xml><?xml version="1.0" encoding="utf-8"?>
<Properties xmlns="http://schemas.openxmlformats.org/officeDocument/2006/custom-properties" xmlns:vt="http://schemas.openxmlformats.org/officeDocument/2006/docPropsVTypes"/>
</file>