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0F1E" w:val="clear"/>
        <w:spacing w:after="0" w:before="1400"/>
        <w:ind w:left="240" w:right="240"/>
        <w:jc w:val="center"/>
      </w:pPr>
      <w:r>
        <w:rPr>
          <w:rFonts w:ascii="Arial" w:cs="Arial" w:eastAsia="Arial" w:hAnsi="Arial"/>
          <w:b/>
          <w:bCs/>
          <w:color w:val="FFFFFF"/>
          <w:sz w:val="64"/>
          <w:szCs w:val="64"/>
        </w:rPr>
        <w:t xml:space="preserve">Java Platform Module System</w:t>
      </w:r>
    </w:p>
    <w:p>
      <w:pPr>
        <w:shd w:fill="080F1E" w:val="clear"/>
        <w:spacing w:after="0" w:before="80"/>
        <w:ind w:left="240" w:right="240"/>
        <w:jc w:val="center"/>
      </w:pPr>
      <w:r>
        <w:rPr>
          <w:rFonts w:ascii="Arial" w:cs="Arial" w:eastAsia="Arial" w:hAnsi="Arial"/>
          <w:b/>
          <w:bCs/>
          <w:color w:val="5A9FE8"/>
          <w:sz w:val="44"/>
          <w:szCs w:val="44"/>
        </w:rPr>
        <w:t xml:space="preserve">Module 2: Module Directives</w:t>
      </w:r>
    </w:p>
    <w:p>
      <w:pPr>
        <w:shd w:fill="080F1E" w:val="clear"/>
        <w:spacing w:after="1400" w:before="80"/>
        <w:ind w:left="240" w:right="240"/>
        <w:jc w:val="center"/>
      </w:pPr>
      <w:r>
        <w:rPr>
          <w:rFonts w:ascii="Arial" w:cs="Arial" w:eastAsia="Arial" w:hAnsi="Arial"/>
          <w:i/>
          <w:iCs/>
          <w:color w:val="7BBDE8"/>
          <w:sz w:val="22"/>
          <w:szCs w:val="22"/>
        </w:rPr>
        <w:t xml:space="preserve">requires • exports • opens • uses • provides — complete syntax and semantics</w:t>
      </w:r>
    </w:p>
    <w:p>
      <w:pPr>
        <w:pBdr>
          <w:bottom w:val="single" w:color="5A9FE8" w:sz="4" w:space="1"/>
        </w:pBdr>
        <w:spacing w:after="120" w:before="360"/>
      </w:pPr>
      <w:r>
        <w:rPr>
          <w:rFonts w:ascii="Arial" w:cs="Arial" w:eastAsia="Arial" w:hAnsi="Arial"/>
          <w:b/>
          <w:bCs/>
          <w:color w:val="1455A4"/>
          <w:sz w:val="26"/>
          <w:szCs w:val="26"/>
        </w:rPr>
        <w:t xml:space="preserve">1  </w:t>
      </w:r>
      <w:r>
        <w:rPr>
          <w:rFonts w:ascii="Arial" w:cs="Arial" w:eastAsia="Arial" w:hAnsi="Arial"/>
          <w:b/>
          <w:bCs/>
          <w:color w:val="1455A4"/>
          <w:sz w:val="26"/>
          <w:szCs w:val="26"/>
        </w:rPr>
        <w:t xml:space="preserve">Directives Quick Reference</w:t>
      </w:r>
    </w:p>
    <w:p>
      <w:pPr>
        <w:spacing w:after="80" w:before="80"/>
        <w:jc w:val="both"/>
      </w:pPr>
      <w:r>
        <w:rPr>
          <w:rFonts w:ascii="Arial" w:cs="Arial" w:eastAsia="Arial" w:hAnsi="Arial"/>
          <w:color w:val="1A1A2E"/>
          <w:sz w:val="22"/>
          <w:szCs w:val="22"/>
        </w:rPr>
        <w:t xml:space="preserve">A module-info.java file can contain nine directive forms across five directive types. Each controls a different dimension of the module's relationship with the rest of the module graph.</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tblHeader/>
        </w:trPr>
        <w:tc>
          <w:tcPr>
            <w:tcW w:type="dxa" w:w="2200"/>
            <w:tcBorders>
              <w:top w:val="single" w:color="FFFFFF" w:sz="1"/>
              <w:left w:val="single" w:color="FFFFFF" w:sz="1"/>
              <w:bottom w:val="single" w:color="FFFFFF" w:sz="1"/>
              <w:right w:val="single" w:color="FFFFFF" w:sz="1"/>
            </w:tcBorders>
            <w:shd w:fill="0C23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Directive</w:t>
            </w:r>
          </w:p>
        </w:tc>
        <w:tc>
          <w:tcPr>
            <w:tcW w:type="dxa" w:w="2400"/>
            <w:tcBorders>
              <w:top w:val="single" w:color="FFFFFF" w:sz="1"/>
              <w:left w:val="single" w:color="FFFFFF" w:sz="1"/>
              <w:bottom w:val="single" w:color="FFFFFF" w:sz="1"/>
              <w:right w:val="single" w:color="FFFFFF" w:sz="1"/>
            </w:tcBorders>
            <w:shd w:fill="0C23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Scope</w:t>
            </w:r>
          </w:p>
        </w:tc>
        <w:tc>
          <w:tcPr>
            <w:tcW w:type="dxa" w:w="5000"/>
            <w:tcBorders>
              <w:top w:val="single" w:color="FFFFFF" w:sz="1"/>
              <w:left w:val="single" w:color="FFFFFF" w:sz="1"/>
              <w:bottom w:val="single" w:color="FFFFFF" w:sz="1"/>
              <w:right w:val="single" w:color="FFFFFF" w:sz="1"/>
            </w:tcBorders>
            <w:shd w:fill="0C234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Effect</w:t>
            </w:r>
          </w:p>
        </w:tc>
      </w:tr>
      <w:tr>
        <w:tc>
          <w:tcPr>
            <w:tcW w:type="dxa" w:w="22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1455A4"/>
                <w:sz w:val="17"/>
                <w:szCs w:val="17"/>
              </w:rPr>
              <w:t xml:space="preserve">requires mod</w:t>
            </w:r>
          </w:p>
        </w:tc>
        <w:tc>
          <w:tcPr>
            <w:tcW w:type="dxa" w:w="24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555555"/>
                <w:sz w:val="17"/>
                <w:szCs w:val="17"/>
              </w:rPr>
              <w:t xml:space="preserve">Compile + runtime</w:t>
            </w:r>
          </w:p>
        </w:tc>
        <w:tc>
          <w:tcPr>
            <w:tcW w:type="dxa" w:w="50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1A1A2E"/>
                <w:sz w:val="17"/>
                <w:szCs w:val="17"/>
              </w:rPr>
              <w:t xml:space="preserve">Depend on another module. Its exported packages become visible.</w:t>
            </w:r>
          </w:p>
        </w:tc>
      </w:tr>
      <w:tr>
        <w:tc>
          <w:tcPr>
            <w:tcW w:type="dxa" w:w="22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Courier New" w:cs="Courier New" w:eastAsia="Courier New" w:hAnsi="Courier New"/>
                <w:b/>
                <w:bCs/>
                <w:color w:val="1455A4"/>
                <w:sz w:val="17"/>
                <w:szCs w:val="17"/>
              </w:rPr>
              <w:t xml:space="preserve">requires transitive mod</w:t>
            </w:r>
          </w:p>
        </w:tc>
        <w:tc>
          <w:tcPr>
            <w:tcW w:type="dxa" w:w="24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Arial" w:cs="Arial" w:eastAsia="Arial" w:hAnsi="Arial"/>
                <w:color w:val="555555"/>
                <w:sz w:val="17"/>
                <w:szCs w:val="17"/>
              </w:rPr>
              <w:t xml:space="preserve">Compile + runtime</w:t>
            </w:r>
          </w:p>
        </w:tc>
        <w:tc>
          <w:tcPr>
            <w:tcW w:type="dxa" w:w="50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Arial" w:cs="Arial" w:eastAsia="Arial" w:hAnsi="Arial"/>
                <w:color w:val="1A1A2E"/>
                <w:sz w:val="17"/>
                <w:szCs w:val="17"/>
              </w:rPr>
              <w:t xml:space="preserve">Depend and re-export: callers of this module also read mod automatically.</w:t>
            </w:r>
          </w:p>
        </w:tc>
      </w:tr>
      <w:tr>
        <w:tc>
          <w:tcPr>
            <w:tcW w:type="dxa" w:w="22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1455A4"/>
                <w:sz w:val="17"/>
                <w:szCs w:val="17"/>
              </w:rPr>
              <w:t xml:space="preserve">requires static mod</w:t>
            </w:r>
          </w:p>
        </w:tc>
        <w:tc>
          <w:tcPr>
            <w:tcW w:type="dxa" w:w="24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555555"/>
                <w:sz w:val="17"/>
                <w:szCs w:val="17"/>
              </w:rPr>
              <w:t xml:space="preserve">Compile only</w:t>
            </w:r>
          </w:p>
        </w:tc>
        <w:tc>
          <w:tcPr>
            <w:tcW w:type="dxa" w:w="50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1A1A2E"/>
                <w:sz w:val="17"/>
                <w:szCs w:val="17"/>
              </w:rPr>
              <w:t xml:space="preserve">Compile-time dep; absent at runtime is OK. Annotation processors, optional features.</w:t>
            </w:r>
          </w:p>
        </w:tc>
      </w:tr>
      <w:tr>
        <w:tc>
          <w:tcPr>
            <w:tcW w:type="dxa" w:w="22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Courier New" w:cs="Courier New" w:eastAsia="Courier New" w:hAnsi="Courier New"/>
                <w:b/>
                <w:bCs/>
                <w:color w:val="1455A4"/>
                <w:sz w:val="17"/>
                <w:szCs w:val="17"/>
              </w:rPr>
              <w:t xml:space="preserve">exports pkg</w:t>
            </w:r>
          </w:p>
        </w:tc>
        <w:tc>
          <w:tcPr>
            <w:tcW w:type="dxa" w:w="24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Arial" w:cs="Arial" w:eastAsia="Arial" w:hAnsi="Arial"/>
                <w:color w:val="555555"/>
                <w:sz w:val="17"/>
                <w:szCs w:val="17"/>
              </w:rPr>
              <w:t xml:space="preserve">All modules</w:t>
            </w:r>
          </w:p>
        </w:tc>
        <w:tc>
          <w:tcPr>
            <w:tcW w:type="dxa" w:w="50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Arial" w:cs="Arial" w:eastAsia="Arial" w:hAnsi="Arial"/>
                <w:color w:val="1A1A2E"/>
                <w:sz w:val="17"/>
                <w:szCs w:val="17"/>
              </w:rPr>
              <w:t xml:space="preserve">Make pkg's public types accessible via normal code to every reading module.</w:t>
            </w:r>
          </w:p>
        </w:tc>
      </w:tr>
      <w:tr>
        <w:tc>
          <w:tcPr>
            <w:tcW w:type="dxa" w:w="22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1455A4"/>
                <w:sz w:val="17"/>
                <w:szCs w:val="17"/>
              </w:rPr>
              <w:t xml:space="preserve">exports pkg to m1,m2</w:t>
            </w:r>
          </w:p>
        </w:tc>
        <w:tc>
          <w:tcPr>
            <w:tcW w:type="dxa" w:w="24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555555"/>
                <w:sz w:val="17"/>
                <w:szCs w:val="17"/>
              </w:rPr>
              <w:t xml:space="preserve">m1 and m2 only</w:t>
            </w:r>
          </w:p>
        </w:tc>
        <w:tc>
          <w:tcPr>
            <w:tcW w:type="dxa" w:w="50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1A1A2E"/>
                <w:sz w:val="17"/>
                <w:szCs w:val="17"/>
              </w:rPr>
              <w:t xml:space="preserve">Qualified export: only named modules can see pkg. All others: compile error.</w:t>
            </w:r>
          </w:p>
        </w:tc>
      </w:tr>
      <w:tr>
        <w:tc>
          <w:tcPr>
            <w:tcW w:type="dxa" w:w="22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Courier New" w:cs="Courier New" w:eastAsia="Courier New" w:hAnsi="Courier New"/>
                <w:b/>
                <w:bCs/>
                <w:color w:val="1455A4"/>
                <w:sz w:val="17"/>
                <w:szCs w:val="17"/>
              </w:rPr>
              <w:t xml:space="preserve">opens pkg</w:t>
            </w:r>
          </w:p>
        </w:tc>
        <w:tc>
          <w:tcPr>
            <w:tcW w:type="dxa" w:w="24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Arial" w:cs="Arial" w:eastAsia="Arial" w:hAnsi="Arial"/>
                <w:color w:val="555555"/>
                <w:sz w:val="17"/>
                <w:szCs w:val="17"/>
              </w:rPr>
              <w:t xml:space="preserve">All modules</w:t>
            </w:r>
          </w:p>
        </w:tc>
        <w:tc>
          <w:tcPr>
            <w:tcW w:type="dxa" w:w="50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Arial" w:cs="Arial" w:eastAsia="Arial" w:hAnsi="Arial"/>
                <w:color w:val="1A1A2E"/>
                <w:sz w:val="17"/>
                <w:szCs w:val="17"/>
              </w:rPr>
              <w:t xml:space="preserve">Allow setAccessible(true) on pkg from any module. Required by most frameworks.</w:t>
            </w:r>
          </w:p>
        </w:tc>
      </w:tr>
      <w:tr>
        <w:tc>
          <w:tcPr>
            <w:tcW w:type="dxa" w:w="22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1455A4"/>
                <w:sz w:val="17"/>
                <w:szCs w:val="17"/>
              </w:rPr>
              <w:t xml:space="preserve">opens pkg to m1,m2</w:t>
            </w:r>
          </w:p>
        </w:tc>
        <w:tc>
          <w:tcPr>
            <w:tcW w:type="dxa" w:w="24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555555"/>
                <w:sz w:val="17"/>
                <w:szCs w:val="17"/>
              </w:rPr>
              <w:t xml:space="preserve">m1 and m2 only</w:t>
            </w:r>
          </w:p>
        </w:tc>
        <w:tc>
          <w:tcPr>
            <w:tcW w:type="dxa" w:w="50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1A1A2E"/>
                <w:sz w:val="17"/>
                <w:szCs w:val="17"/>
              </w:rPr>
              <w:t xml:space="preserve">Qualified open: only named modules get deep reflection access to pkg.</w:t>
            </w:r>
          </w:p>
        </w:tc>
      </w:tr>
      <w:tr>
        <w:tc>
          <w:tcPr>
            <w:tcW w:type="dxa" w:w="22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Courier New" w:cs="Courier New" w:eastAsia="Courier New" w:hAnsi="Courier New"/>
                <w:b/>
                <w:bCs/>
                <w:color w:val="1455A4"/>
                <w:sz w:val="17"/>
                <w:szCs w:val="17"/>
              </w:rPr>
              <w:t xml:space="preserve">uses svc</w:t>
            </w:r>
          </w:p>
        </w:tc>
        <w:tc>
          <w:tcPr>
            <w:tcW w:type="dxa" w:w="24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Arial" w:cs="Arial" w:eastAsia="Arial" w:hAnsi="Arial"/>
                <w:color w:val="555555"/>
                <w:sz w:val="17"/>
                <w:szCs w:val="17"/>
              </w:rPr>
              <w:t xml:space="preserve">Declares consumption</w:t>
            </w:r>
          </w:p>
        </w:tc>
        <w:tc>
          <w:tcPr>
            <w:tcW w:type="dxa" w:w="5000"/>
            <w:tcBorders>
              <w:top w:val="single" w:color="5A9FE8" w:sz="1"/>
              <w:left w:val="single" w:color="5A9FE8" w:sz="1"/>
              <w:bottom w:val="single" w:color="5A9FE8" w:sz="1"/>
              <w:right w:val="single" w:color="5A9FE8" w:sz="1"/>
            </w:tcBorders>
            <w:shd w:fill="E9F2FC" w:val="clear"/>
            <w:tcMar>
              <w:top w:type="dxa" w:w="80"/>
              <w:left w:type="dxa" w:w="140"/>
              <w:bottom w:type="dxa" w:w="80"/>
              <w:right w:type="dxa" w:w="140"/>
            </w:tcMar>
          </w:tcPr>
          <w:p>
            <w:pPr>
              <w:spacing w:after="0" w:before="0"/>
            </w:pPr>
            <w:r>
              <w:rPr>
                <w:rFonts w:ascii="Arial" w:cs="Arial" w:eastAsia="Arial" w:hAnsi="Arial"/>
                <w:color w:val="1A1A2E"/>
                <w:sz w:val="17"/>
                <w:szCs w:val="17"/>
              </w:rPr>
              <w:t xml:space="preserve">This module calls ServiceLoader.load(svc). Without it, JPMS returns empty iterator.</w:t>
            </w:r>
          </w:p>
        </w:tc>
      </w:tr>
      <w:tr>
        <w:tc>
          <w:tcPr>
            <w:tcW w:type="dxa" w:w="22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1455A4"/>
                <w:sz w:val="17"/>
                <w:szCs w:val="17"/>
              </w:rPr>
              <w:t xml:space="preserve">provides svc with impl</w:t>
            </w:r>
          </w:p>
        </w:tc>
        <w:tc>
          <w:tcPr>
            <w:tcW w:type="dxa" w:w="24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555555"/>
                <w:sz w:val="17"/>
                <w:szCs w:val="17"/>
              </w:rPr>
              <w:t xml:space="preserve">Declares provision</w:t>
            </w:r>
          </w:p>
        </w:tc>
        <w:tc>
          <w:tcPr>
            <w:tcW w:type="dxa" w:w="5000"/>
            <w:tcBorders>
              <w:top w:val="single" w:color="5A9FE8" w:sz="1"/>
              <w:left w:val="single" w:color="5A9FE8" w:sz="1"/>
              <w:bottom w:val="single" w:color="5A9FE8" w:sz="1"/>
              <w:right w:val="single" w:color="5A9FE8" w:sz="1"/>
            </w:tcBorders>
            <w:shd w:fill="FFFFFF" w:val="clear"/>
            <w:tcMar>
              <w:top w:type="dxa" w:w="80"/>
              <w:left w:type="dxa" w:w="140"/>
              <w:bottom w:type="dxa" w:w="80"/>
              <w:right w:type="dxa" w:w="140"/>
            </w:tcMar>
          </w:tcPr>
          <w:p>
            <w:pPr>
              <w:spacing w:after="0" w:before="0"/>
            </w:pPr>
            <w:r>
              <w:rPr>
                <w:rFonts w:ascii="Arial" w:cs="Arial" w:eastAsia="Arial" w:hAnsi="Arial"/>
                <w:color w:val="1A1A2E"/>
                <w:sz w:val="17"/>
                <w:szCs w:val="17"/>
              </w:rPr>
              <w:t xml:space="preserve">This module provides impl for svc. impl need not be exported.</w:t>
            </w:r>
          </w:p>
        </w:tc>
      </w:tr>
    </w:tbl>
    <w:p>
      <w:pPr>
        <w:spacing w:after="0" w:before="0"/>
      </w:pPr>
      <w:r>
        <w:t xml:space="preserve"/>
      </w:r>
    </w:p>
    <w:p>
      <w:pPr>
        <w:pBdr>
          <w:bottom w:val="single" w:color="5A9FE8" w:sz="4" w:space="1"/>
        </w:pBdr>
        <w:spacing w:after="120" w:before="360"/>
      </w:pPr>
      <w:r>
        <w:rPr>
          <w:rFonts w:ascii="Arial" w:cs="Arial" w:eastAsia="Arial" w:hAnsi="Arial"/>
          <w:b/>
          <w:bCs/>
          <w:color w:val="1455A4"/>
          <w:sz w:val="26"/>
          <w:szCs w:val="26"/>
        </w:rPr>
        <w:t xml:space="preserve">2  </w:t>
      </w:r>
      <w:r>
        <w:rPr>
          <w:rFonts w:ascii="Arial" w:cs="Arial" w:eastAsia="Arial" w:hAnsi="Arial"/>
          <w:b/>
          <w:bCs/>
          <w:color w:val="1455A4"/>
          <w:sz w:val="26"/>
          <w:szCs w:val="26"/>
        </w:rPr>
        <w:t xml:space="preserve">requires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A9FE8" w:sz="4"/>
              <w:left w:val="single" w:color="5A9FE8" w:sz="4"/>
              <w:bottom w:val="single" w:color="5A9FE8" w:sz="2"/>
              <w:right w:val="single" w:color="5A9FE8" w:sz="4"/>
            </w:tcBorders>
            <w:shd w:fill="0D1E33" w:val="clear"/>
            <w:tcMar>
              <w:top w:type="dxa" w:w="100"/>
              <w:left w:type="dxa" w:w="220"/>
              <w:bottom w:type="dxa" w:w="80"/>
              <w:right w:type="dxa" w:w="220"/>
            </w:tcMar>
          </w:tcPr>
          <w:p>
            <w:pPr>
              <w:spacing w:after="10" w:before="0"/>
            </w:pPr>
            <w:r>
              <w:rPr>
                <w:rFonts w:ascii="Courier New" w:cs="Courier New" w:eastAsia="Courier New" w:hAnsi="Courier New"/>
                <w:b/>
                <w:bCs/>
                <w:color w:val="5A9FE8"/>
                <w:sz w:val="26"/>
                <w:szCs w:val="26"/>
              </w:rPr>
              <w:t xml:space="preserve">requires</w:t>
            </w:r>
            <w:r>
              <w:rPr>
                <w:rFonts w:ascii="Courier New" w:cs="Courier New" w:eastAsia="Courier New" w:hAnsi="Courier New"/>
                <w:color w:val="D4D4D4"/>
                <w:sz w:val="20"/>
                <w:szCs w:val="20"/>
              </w:rPr>
              <w:t xml:space="preserve">  module-name ;</w:t>
            </w:r>
          </w:p>
          <w:p>
            <w:pPr>
              <w:spacing w:after="0" w:before="0"/>
            </w:pPr>
            <w:r>
              <w:rPr>
                <w:rFonts w:ascii="Arial" w:cs="Arial" w:eastAsia="Arial" w:hAnsi="Arial"/>
                <w:color w:val="B8D4F0"/>
                <w:sz w:val="20"/>
                <w:szCs w:val="20"/>
              </w:rPr>
              <w:t xml:space="preserve">Declares a compile-time and runtime dependency on another module. Without requires, none of that module's exported packages are visible — not even java.sql or java.logging unless declared.</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java.base is always required implicitly. Every other JDK 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must be listed explicitly, including: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java.sql;           // JDBC 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java.logging;       // java.util.logging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java.net.http;      // HttpClient (Java 11+)</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    // application 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If java.sql is NOT listed and you reference java.sql.Connection: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error: package java.sql is not visible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(package java.sql is declared in module java.sql,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but module com.example.service does not read 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Readability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establishes a readability edge in the module graph.</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 A 'reads' module B when A requires 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Readability is directed: A reads B does not mean B reads 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JVM checks readability on every type access at runtime.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455A4" w:sz="1"/>
              <w:left w:val="thick" w:color="1455A4" w:sz="12"/>
              <w:bottom w:val="single" w:color="1455A4" w:sz="1"/>
              <w:right w:val="single" w:color="1455A4" w:sz="1"/>
            </w:tcBorders>
            <w:shd w:fill="E9F2FC" w:val="clear"/>
            <w:tcMar>
              <w:top w:type="dxa" w:w="100"/>
              <w:left w:type="dxa" w:w="220"/>
              <w:bottom w:type="dxa" w:w="100"/>
              <w:right w:type="dxa" w:w="220"/>
            </w:tcMar>
          </w:tcPr>
          <w:p>
            <w:pPr>
              <w:spacing w:after="0" w:before="0"/>
            </w:pPr>
            <w:r>
              <w:rPr>
                <w:rFonts w:ascii="Arial" w:cs="Arial" w:eastAsia="Arial" w:hAnsi="Arial"/>
                <w:b/>
                <w:bCs/>
                <w:color w:val="1455A4"/>
                <w:sz w:val="20"/>
                <w:szCs w:val="20"/>
              </w:rPr>
              <w:t xml:space="preserve">Rule:  </w:t>
            </w:r>
            <w:r>
              <w:rPr>
                <w:rFonts w:ascii="Arial" w:cs="Arial" w:eastAsia="Arial" w:hAnsi="Arial"/>
                <w:color w:val="0C2340"/>
                <w:sz w:val="20"/>
                <w:szCs w:val="20"/>
              </w:rPr>
              <w:t xml:space="preserve">java.base is the only implicitly required module. All other modules — including other JDK modules like java.sql, java.net.http, java.xml — must be explicitly declared with requires.</w:t>
            </w:r>
          </w:p>
        </w:tc>
      </w:tr>
    </w:tbl>
    <w:p>
      <w:pPr>
        <w:spacing w:after="0" w:before="0"/>
      </w:pPr>
      <w:r>
        <w:t xml:space="preserve"/>
      </w:r>
    </w:p>
    <w:p>
      <w:pPr>
        <w:pBdr>
          <w:bottom w:val="single" w:color="5A9FE8" w:sz="4" w:space="1"/>
        </w:pBdr>
        <w:spacing w:after="120" w:before="360"/>
      </w:pPr>
      <w:r>
        <w:rPr>
          <w:rFonts w:ascii="Arial" w:cs="Arial" w:eastAsia="Arial" w:hAnsi="Arial"/>
          <w:b/>
          <w:bCs/>
          <w:color w:val="1455A4"/>
          <w:sz w:val="26"/>
          <w:szCs w:val="26"/>
        </w:rPr>
        <w:t xml:space="preserve">3  </w:t>
      </w:r>
      <w:r>
        <w:rPr>
          <w:rFonts w:ascii="Arial" w:cs="Arial" w:eastAsia="Arial" w:hAnsi="Arial"/>
          <w:b/>
          <w:bCs/>
          <w:color w:val="1455A4"/>
          <w:sz w:val="26"/>
          <w:szCs w:val="26"/>
        </w:rPr>
        <w:t xml:space="preserve">requires transitive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A9FE8" w:sz="4"/>
              <w:left w:val="single" w:color="5A9FE8" w:sz="4"/>
              <w:bottom w:val="single" w:color="5A9FE8" w:sz="2"/>
              <w:right w:val="single" w:color="5A9FE8" w:sz="4"/>
            </w:tcBorders>
            <w:shd w:fill="0D1E33" w:val="clear"/>
            <w:tcMar>
              <w:top w:type="dxa" w:w="100"/>
              <w:left w:type="dxa" w:w="220"/>
              <w:bottom w:type="dxa" w:w="80"/>
              <w:right w:type="dxa" w:w="220"/>
            </w:tcMar>
          </w:tcPr>
          <w:p>
            <w:pPr>
              <w:spacing w:after="10" w:before="0"/>
            </w:pPr>
            <w:r>
              <w:rPr>
                <w:rFonts w:ascii="Courier New" w:cs="Courier New" w:eastAsia="Courier New" w:hAnsi="Courier New"/>
                <w:b/>
                <w:bCs/>
                <w:color w:val="5A9FE8"/>
                <w:sz w:val="26"/>
                <w:szCs w:val="26"/>
              </w:rPr>
              <w:t xml:space="preserve">requires transitive</w:t>
            </w:r>
            <w:r>
              <w:rPr>
                <w:rFonts w:ascii="Courier New" w:cs="Courier New" w:eastAsia="Courier New" w:hAnsi="Courier New"/>
                <w:color w:val="D4D4D4"/>
                <w:sz w:val="20"/>
                <w:szCs w:val="20"/>
              </w:rPr>
              <w:t xml:space="preserve">  module-name ;</w:t>
            </w:r>
          </w:p>
          <w:p>
            <w:pPr>
              <w:spacing w:after="0" w:before="0"/>
            </w:pPr>
            <w:r>
              <w:rPr>
                <w:rFonts w:ascii="Arial" w:cs="Arial" w:eastAsia="Arial" w:hAnsi="Arial"/>
                <w:color w:val="B8D4F0"/>
                <w:sz w:val="20"/>
                <w:szCs w:val="20"/>
              </w:rPr>
              <w:t xml:space="preserve">Declares a dependency AND re-exports it to callers. Any module that reads this module automatically also reads the transitive dependency, without needing to declare requires itself. Use when your exported API returns or accepts types from the dependency.</w:t>
            </w:r>
          </w:p>
        </w:tc>
      </w:tr>
    </w:tbl>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Without transitive</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With transitive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com.example.service declares: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com.example.service declares: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requires com.example.api; // NOT transitive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requires transitive com.example.api;</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Caller: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Caller: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module com.example.app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module com.example.app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requires com.example.service;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requires com.example.service;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automatically also reads api</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UserDTO comes from com.example.api.</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App tries to use it: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UserDTO is now visible to app.</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UserDTO dto = svc.findUser(id);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No extra requires needed.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The transitive clause adds a</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Compile error: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readability edge through the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'com.example.api' not in the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module graph.</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module graph of com.example.app</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Fix: app must also declare: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requires com.example.api;</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When to use requires transitive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 transitive: exported API mentions types from the dependency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transitive com.example.api;   // UserDTO in return types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           // findUser() returns UserDTO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DO NOT use transitive: dependency is an internal detail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com.fasterxml.jackson.databind;  // used internally only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Forcing Jackson on every caller of com.example.service is unnecessary.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Real-world example: java.se aggregate module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java.se uses requires transitive for every standard 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transitive java.sql;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transitive java.xml;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etc.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java.se' grants access to the whole standard library.</w:t>
            </w:r>
          </w:p>
        </w:tc>
      </w:tr>
    </w:tbl>
    <w:p>
      <w:pPr>
        <w:spacing w:after="0" w:before="0"/>
      </w:pPr>
      <w:r>
        <w:t xml:space="preserve"/>
      </w:r>
    </w:p>
    <w:p>
      <w:pPr>
        <w:pBdr>
          <w:bottom w:val="single" w:color="5A9FE8" w:sz="4" w:space="1"/>
        </w:pBdr>
        <w:spacing w:after="120" w:before="360"/>
      </w:pPr>
      <w:r>
        <w:rPr>
          <w:rFonts w:ascii="Arial" w:cs="Arial" w:eastAsia="Arial" w:hAnsi="Arial"/>
          <w:b/>
          <w:bCs/>
          <w:color w:val="1455A4"/>
          <w:sz w:val="26"/>
          <w:szCs w:val="26"/>
        </w:rPr>
        <w:t xml:space="preserve">4  </w:t>
      </w:r>
      <w:r>
        <w:rPr>
          <w:rFonts w:ascii="Arial" w:cs="Arial" w:eastAsia="Arial" w:hAnsi="Arial"/>
          <w:b/>
          <w:bCs/>
          <w:color w:val="1455A4"/>
          <w:sz w:val="26"/>
          <w:szCs w:val="26"/>
        </w:rPr>
        <w:t xml:space="preserve">requires static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A9FE8" w:sz="4"/>
              <w:left w:val="single" w:color="5A9FE8" w:sz="4"/>
              <w:bottom w:val="single" w:color="5A9FE8" w:sz="2"/>
              <w:right w:val="single" w:color="5A9FE8" w:sz="4"/>
            </w:tcBorders>
            <w:shd w:fill="0D1E33" w:val="clear"/>
            <w:tcMar>
              <w:top w:type="dxa" w:w="100"/>
              <w:left w:type="dxa" w:w="220"/>
              <w:bottom w:type="dxa" w:w="80"/>
              <w:right w:type="dxa" w:w="220"/>
            </w:tcMar>
          </w:tcPr>
          <w:p>
            <w:pPr>
              <w:spacing w:after="10" w:before="0"/>
            </w:pPr>
            <w:r>
              <w:rPr>
                <w:rFonts w:ascii="Courier New" w:cs="Courier New" w:eastAsia="Courier New" w:hAnsi="Courier New"/>
                <w:b/>
                <w:bCs/>
                <w:color w:val="5A9FE8"/>
                <w:sz w:val="26"/>
                <w:szCs w:val="26"/>
              </w:rPr>
              <w:t xml:space="preserve">requires static</w:t>
            </w:r>
            <w:r>
              <w:rPr>
                <w:rFonts w:ascii="Courier New" w:cs="Courier New" w:eastAsia="Courier New" w:hAnsi="Courier New"/>
                <w:color w:val="D4D4D4"/>
                <w:sz w:val="20"/>
                <w:szCs w:val="20"/>
              </w:rPr>
              <w:t xml:space="preserve">  module-name ;</w:t>
            </w:r>
          </w:p>
          <w:p>
            <w:pPr>
              <w:spacing w:after="0" w:before="0"/>
            </w:pPr>
            <w:r>
              <w:rPr>
                <w:rFonts w:ascii="Arial" w:cs="Arial" w:eastAsia="Arial" w:hAnsi="Arial"/>
                <w:color w:val="B8D4F0"/>
                <w:sz w:val="20"/>
                <w:szCs w:val="20"/>
              </w:rPr>
              <w:t xml:space="preserve">Compile-time only dependency. The module must be present at compile time but its absence at runtime does not cause an error. Used for annotation processors, IDE annotation libraries, and optional features that may or may not be deployed.</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Annotation processors: run at compile time only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static com.google.auto.service;    // @AutoService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static lombok;                     // @Data, @Slf4j etc.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IDE / static analysis annotations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static org.jetbrains.annotations;  // @Nullable, @NotNull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These annotations are only meaningful at compile 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The JARs should never be in a production runtime.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Optional runtime feature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static com.example.metrics;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If this JAR is absent at runtime: no error.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If code tries to USE a class from it at runtime: NoClassDefFoundError.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Guard optional module usage at runtime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boolean metricsAvailable = ModuleLayer.boot()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.findModule("com.example.metrics")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.isPresent();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if (metricsAvailable)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safe: module is present, class exists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MetricsCollector.register("service");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Bdr>
          <w:bottom w:val="single" w:color="5A9FE8" w:sz="4" w:space="1"/>
        </w:pBdr>
        <w:spacing w:after="120" w:before="360"/>
      </w:pPr>
      <w:r>
        <w:rPr>
          <w:rFonts w:ascii="Arial" w:cs="Arial" w:eastAsia="Arial" w:hAnsi="Arial"/>
          <w:b/>
          <w:bCs/>
          <w:color w:val="1455A4"/>
          <w:sz w:val="26"/>
          <w:szCs w:val="26"/>
        </w:rPr>
        <w:t xml:space="preserve">5  </w:t>
      </w:r>
      <w:r>
        <w:rPr>
          <w:rFonts w:ascii="Arial" w:cs="Arial" w:eastAsia="Arial" w:hAnsi="Arial"/>
          <w:b/>
          <w:bCs/>
          <w:color w:val="1455A4"/>
          <w:sz w:val="26"/>
          <w:szCs w:val="26"/>
        </w:rPr>
        <w:t xml:space="preserve">exports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A9FE8" w:sz="4"/>
              <w:left w:val="single" w:color="5A9FE8" w:sz="4"/>
              <w:bottom w:val="single" w:color="5A9FE8" w:sz="2"/>
              <w:right w:val="single" w:color="5A9FE8" w:sz="4"/>
            </w:tcBorders>
            <w:shd w:fill="0D1E33" w:val="clear"/>
            <w:tcMar>
              <w:top w:type="dxa" w:w="100"/>
              <w:left w:type="dxa" w:w="220"/>
              <w:bottom w:type="dxa" w:w="80"/>
              <w:right w:type="dxa" w:w="220"/>
            </w:tcMar>
          </w:tcPr>
          <w:p>
            <w:pPr>
              <w:spacing w:after="10" w:before="0"/>
            </w:pPr>
            <w:r>
              <w:rPr>
                <w:rFonts w:ascii="Courier New" w:cs="Courier New" w:eastAsia="Courier New" w:hAnsi="Courier New"/>
                <w:b/>
                <w:bCs/>
                <w:color w:val="5A9FE8"/>
                <w:sz w:val="26"/>
                <w:szCs w:val="26"/>
              </w:rPr>
              <w:t xml:space="preserve">exports</w:t>
            </w:r>
            <w:r>
              <w:rPr>
                <w:rFonts w:ascii="Courier New" w:cs="Courier New" w:eastAsia="Courier New" w:hAnsi="Courier New"/>
                <w:color w:val="D4D4D4"/>
                <w:sz w:val="20"/>
                <w:szCs w:val="20"/>
              </w:rPr>
              <w:t xml:space="preserve">  package.name ;</w:t>
            </w:r>
          </w:p>
          <w:p>
            <w:pPr>
              <w:spacing w:after="0" w:before="0"/>
            </w:pPr>
            <w:r>
              <w:rPr>
                <w:rFonts w:ascii="Arial" w:cs="Arial" w:eastAsia="Arial" w:hAnsi="Arial"/>
                <w:color w:val="B8D4F0"/>
                <w:sz w:val="20"/>
                <w:szCs w:val="20"/>
              </w:rPr>
              <w:t xml:space="preserve">Makes all public types in the package accessible to any module that reads this one. Without exports, a package is completely invisible — even public classes cannot be named from other modules. exports provides compile-time visibility AND normal runtime access, but NOT deep reflection.</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Exported: public API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        // UserService, OrderService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com.example.service.dto;    // UserDTO, OrderDTO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com.example.service.event;  // PaymentCompletedEvent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NOT exported: invisible to all other modules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com.example.service.impl    &lt;- implementation details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com.example.service.db      &lt;- database access layer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com.example.service.cache   &lt;- cache internals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Even though classes in these packages are declared 'public',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no other module can reference them at compile 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At runtime: IllegalAccessException if reached via reflection.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exports vs opens: the key distinction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pkg:  compile-time + runtime normal code access to public types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 setAccessible(true) across module boundaries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pkg:    runtime only: deep reflection (setAccessible, getDeclaredFields)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 compile-time visible (can't name the types in source)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 opens: public API *and* deep reflection (Spring beans, Jackson DTOs)</w:t>
            </w:r>
          </w:p>
        </w:tc>
      </w:tr>
    </w:tbl>
    <w:p>
      <w:pPr>
        <w:spacing w:after="0" w:before="0"/>
      </w:pPr>
      <w:r>
        <w:t xml:space="preserve"/>
      </w:r>
    </w:p>
    <w:p>
      <w:pPr>
        <w:pBdr>
          <w:bottom w:val="single" w:color="5A9FE8" w:sz="4" w:space="1"/>
        </w:pBdr>
        <w:spacing w:after="120" w:before="360"/>
      </w:pPr>
      <w:r>
        <w:rPr>
          <w:rFonts w:ascii="Arial" w:cs="Arial" w:eastAsia="Arial" w:hAnsi="Arial"/>
          <w:b/>
          <w:bCs/>
          <w:color w:val="1455A4"/>
          <w:sz w:val="26"/>
          <w:szCs w:val="26"/>
        </w:rPr>
        <w:t xml:space="preserve">6  </w:t>
      </w:r>
      <w:r>
        <w:rPr>
          <w:rFonts w:ascii="Arial" w:cs="Arial" w:eastAsia="Arial" w:hAnsi="Arial"/>
          <w:b/>
          <w:bCs/>
          <w:color w:val="1455A4"/>
          <w:sz w:val="26"/>
          <w:szCs w:val="26"/>
        </w:rPr>
        <w:t xml:space="preserve">exports … 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A9FE8" w:sz="4"/>
              <w:left w:val="single" w:color="5A9FE8" w:sz="4"/>
              <w:bottom w:val="single" w:color="5A9FE8" w:sz="2"/>
              <w:right w:val="single" w:color="5A9FE8" w:sz="4"/>
            </w:tcBorders>
            <w:shd w:fill="0D1E33" w:val="clear"/>
            <w:tcMar>
              <w:top w:type="dxa" w:w="100"/>
              <w:left w:type="dxa" w:w="220"/>
              <w:bottom w:type="dxa" w:w="80"/>
              <w:right w:type="dxa" w:w="220"/>
            </w:tcMar>
          </w:tcPr>
          <w:p>
            <w:pPr>
              <w:spacing w:after="10" w:before="0"/>
            </w:pPr>
            <w:r>
              <w:rPr>
                <w:rFonts w:ascii="Courier New" w:cs="Courier New" w:eastAsia="Courier New" w:hAnsi="Courier New"/>
                <w:b/>
                <w:bCs/>
                <w:color w:val="5A9FE8"/>
                <w:sz w:val="26"/>
                <w:szCs w:val="26"/>
              </w:rPr>
              <w:t xml:space="preserve">exports pkg to</w:t>
            </w:r>
            <w:r>
              <w:rPr>
                <w:rFonts w:ascii="Courier New" w:cs="Courier New" w:eastAsia="Courier New" w:hAnsi="Courier New"/>
                <w:color w:val="D4D4D4"/>
                <w:sz w:val="20"/>
                <w:szCs w:val="20"/>
              </w:rPr>
              <w:t xml:space="preserve">  module1, module2 ;</w:t>
            </w:r>
          </w:p>
          <w:p>
            <w:pPr>
              <w:spacing w:after="0" w:before="0"/>
            </w:pPr>
            <w:r>
              <w:rPr>
                <w:rFonts w:ascii="Arial" w:cs="Arial" w:eastAsia="Arial" w:hAnsi="Arial"/>
                <w:color w:val="B8D4F0"/>
                <w:sz w:val="20"/>
                <w:szCs w:val="20"/>
              </w:rPr>
              <w:t xml:space="preserve">Qualified export: the package is visible ONLY to the named modules. All other modules cannot see it at compile time or runtime. Used to expose internals to a sibling module, test module, or operational tool without making them part of the public API.</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Public: visible to all modules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com.example.service.dto;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Qualified: sibling admin module only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com.example.service.admin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com.example.admin,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com.example.monitoring;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Any other module: compile error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'package com.example.service.admin is not visible'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Qualified: white-box test access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com.example.service.impl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com.example.service.test;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Test module can access impl classes directly.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Production modules cannot.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JDK internals use this pattern extensively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 example in java.base: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sun.misc to jdk.unsupported;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sun.reflect to jdk.unsupported;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These internal packages are invisible to application code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but visible to the jdk.unsupported bridge module.</w:t>
            </w:r>
          </w:p>
        </w:tc>
      </w:tr>
    </w:tbl>
    <w:p>
      <w:pPr>
        <w:spacing w:after="0" w:before="0"/>
      </w:pPr>
      <w:r>
        <w:t xml:space="preserve"/>
      </w:r>
    </w:p>
    <w:p>
      <w:pPr>
        <w:pBdr>
          <w:bottom w:val="single" w:color="5A9FE8" w:sz="4" w:space="1"/>
        </w:pBdr>
        <w:spacing w:after="120" w:before="360"/>
      </w:pPr>
      <w:r>
        <w:rPr>
          <w:rFonts w:ascii="Arial" w:cs="Arial" w:eastAsia="Arial" w:hAnsi="Arial"/>
          <w:b/>
          <w:bCs/>
          <w:color w:val="1455A4"/>
          <w:sz w:val="26"/>
          <w:szCs w:val="26"/>
        </w:rPr>
        <w:t xml:space="preserve">7  </w:t>
      </w:r>
      <w:r>
        <w:rPr>
          <w:rFonts w:ascii="Arial" w:cs="Arial" w:eastAsia="Arial" w:hAnsi="Arial"/>
          <w:b/>
          <w:bCs/>
          <w:color w:val="1455A4"/>
          <w:sz w:val="26"/>
          <w:szCs w:val="26"/>
        </w:rPr>
        <w:t xml:space="preserve">opens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A9FE8" w:sz="4"/>
              <w:left w:val="single" w:color="5A9FE8" w:sz="4"/>
              <w:bottom w:val="single" w:color="5A9FE8" w:sz="2"/>
              <w:right w:val="single" w:color="5A9FE8" w:sz="4"/>
            </w:tcBorders>
            <w:shd w:fill="0D1E33" w:val="clear"/>
            <w:tcMar>
              <w:top w:type="dxa" w:w="100"/>
              <w:left w:type="dxa" w:w="220"/>
              <w:bottom w:type="dxa" w:w="80"/>
              <w:right w:type="dxa" w:w="220"/>
            </w:tcMar>
          </w:tcPr>
          <w:p>
            <w:pPr>
              <w:spacing w:after="10" w:before="0"/>
            </w:pPr>
            <w:r>
              <w:rPr>
                <w:rFonts w:ascii="Courier New" w:cs="Courier New" w:eastAsia="Courier New" w:hAnsi="Courier New"/>
                <w:b/>
                <w:bCs/>
                <w:color w:val="5A9FE8"/>
                <w:sz w:val="26"/>
                <w:szCs w:val="26"/>
              </w:rPr>
              <w:t xml:space="preserve">opens</w:t>
            </w:r>
            <w:r>
              <w:rPr>
                <w:rFonts w:ascii="Courier New" w:cs="Courier New" w:eastAsia="Courier New" w:hAnsi="Courier New"/>
                <w:color w:val="D4D4D4"/>
                <w:sz w:val="20"/>
                <w:szCs w:val="20"/>
              </w:rPr>
              <w:t xml:space="preserve">  package.name ;</w:t>
            </w:r>
          </w:p>
          <w:p>
            <w:pPr>
              <w:spacing w:after="0" w:before="0"/>
            </w:pPr>
            <w:r>
              <w:rPr>
                <w:rFonts w:ascii="Arial" w:cs="Arial" w:eastAsia="Arial" w:hAnsi="Arial"/>
                <w:color w:val="B8D4F0"/>
                <w:sz w:val="20"/>
                <w:szCs w:val="20"/>
              </w:rPr>
              <w:t xml:space="preserve">Allows deep reflection on all types in the package from any module. Callers can use getDeclaredFields(), setAccessible(true), and invoke private members. Required by Spring, Hibernate, Jackson, JUnit 5, and Mockito. Without opens, setAccessible() throws InaccessibleObjectException.</w:t>
            </w:r>
          </w:p>
        </w:tc>
      </w:tr>
    </w:tbl>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Without opens</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With opens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module com.example.service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exports com.example.service.model;</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exports com.example.service.model;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No opens declaration.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Hibernate can now reflect 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all types in model package.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Hibernate tries to map User entity:</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opens com.example.service.model;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field.setAccessible(true);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InaccessibleObjectException: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 targeted (strongly preferred):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Unable to make field private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String User.name accessible: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exports com.example.service.model;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module com.example.service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opens com.example.service.model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does not 'opens'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to org.hibernate.orm.core;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com.example.service.model</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to org.hibernate.orm.core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Only Hibernate gets reflection.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All other modules: denied.</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open module: opens ALL packages (migration shortcut)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Placing 'open' before 'module' makes every package open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 reflection from any module. Equivalent to pre-Java-9 behavior.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 only during initial migration; replace with targeted opens.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open module com.example.legacy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java.base;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com.example.legacy.api;  // still need explicit exports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No opens needed: all packages are open automatically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Verify opens at runtime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svcModule = SomeClass.class.getModule();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hibernateModule = ModuleLayer.boot()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.findModule("org.hibernate.orm.core").orElseThrow();</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boolean open = svcModule.isOpen("com.example.service.model",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hibernateModule);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System.out.println("Hibernate can reflect: " + open);</w:t>
            </w:r>
          </w:p>
        </w:tc>
      </w:tr>
    </w:tbl>
    <w:p>
      <w:pPr>
        <w:spacing w:after="0" w:before="0"/>
      </w:pPr>
      <w:r>
        <w:t xml:space="preserve"/>
      </w:r>
    </w:p>
    <w:p>
      <w:pPr>
        <w:pBdr>
          <w:bottom w:val="single" w:color="5A9FE8" w:sz="4" w:space="1"/>
        </w:pBdr>
        <w:spacing w:after="120" w:before="360"/>
      </w:pPr>
      <w:r>
        <w:rPr>
          <w:rFonts w:ascii="Arial" w:cs="Arial" w:eastAsia="Arial" w:hAnsi="Arial"/>
          <w:b/>
          <w:bCs/>
          <w:color w:val="1455A4"/>
          <w:sz w:val="26"/>
          <w:szCs w:val="26"/>
        </w:rPr>
        <w:t xml:space="preserve">8  </w:t>
      </w:r>
      <w:r>
        <w:rPr>
          <w:rFonts w:ascii="Arial" w:cs="Arial" w:eastAsia="Arial" w:hAnsi="Arial"/>
          <w:b/>
          <w:bCs/>
          <w:color w:val="1455A4"/>
          <w:sz w:val="26"/>
          <w:szCs w:val="26"/>
        </w:rPr>
        <w:t xml:space="preserve">opens … 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A9FE8" w:sz="4"/>
              <w:left w:val="single" w:color="5A9FE8" w:sz="4"/>
              <w:bottom w:val="single" w:color="5A9FE8" w:sz="2"/>
              <w:right w:val="single" w:color="5A9FE8" w:sz="4"/>
            </w:tcBorders>
            <w:shd w:fill="0D1E33" w:val="clear"/>
            <w:tcMar>
              <w:top w:type="dxa" w:w="100"/>
              <w:left w:type="dxa" w:w="220"/>
              <w:bottom w:type="dxa" w:w="80"/>
              <w:right w:type="dxa" w:w="220"/>
            </w:tcMar>
          </w:tcPr>
          <w:p>
            <w:pPr>
              <w:spacing w:after="10" w:before="0"/>
            </w:pPr>
            <w:r>
              <w:rPr>
                <w:rFonts w:ascii="Courier New" w:cs="Courier New" w:eastAsia="Courier New" w:hAnsi="Courier New"/>
                <w:b/>
                <w:bCs/>
                <w:color w:val="5A9FE8"/>
                <w:sz w:val="26"/>
                <w:szCs w:val="26"/>
              </w:rPr>
              <w:t xml:space="preserve">opens pkg to</w:t>
            </w:r>
            <w:r>
              <w:rPr>
                <w:rFonts w:ascii="Courier New" w:cs="Courier New" w:eastAsia="Courier New" w:hAnsi="Courier New"/>
                <w:color w:val="D4D4D4"/>
                <w:sz w:val="20"/>
                <w:szCs w:val="20"/>
              </w:rPr>
              <w:t xml:space="preserve">  module1, module2 ;</w:t>
            </w:r>
          </w:p>
          <w:p>
            <w:pPr>
              <w:spacing w:after="0" w:before="0"/>
            </w:pPr>
            <w:r>
              <w:rPr>
                <w:rFonts w:ascii="Arial" w:cs="Arial" w:eastAsia="Arial" w:hAnsi="Arial"/>
                <w:color w:val="B8D4F0"/>
                <w:sz w:val="20"/>
                <w:szCs w:val="20"/>
              </w:rPr>
              <w:t xml:space="preserve">Qualified open: grants deep reflection access ONLY to the named modules. All other modules are denied setAccessible(). This is the preferred form — it gives each framework exactly the access it needs and makes the reflection surface auditable from the module-info.java file.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spring.context;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spring.beans;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org.hibernate.orm.core;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org.junit.jupiter.api;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Compile-time public API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com.example.service.dto;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Qualified opens: each framework gets exactly what it needs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Spring needs to scan @Component, @Service, process @Autowired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org.springframework.core,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org.springframework.beans,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org.springframework.context;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Hibernate maps @Entity fields and relationships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com.example.service.entity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org.hibernate.orm.core;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Jackson serializes/deserializes DTO fields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com.example.service.dto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JUnit 5 discovers @Test methods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com.example.service.test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org.junit.platform.commons;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Mockito generates proxy subclasses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com.example.service.impl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org.mockito;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8449" w:sz="1"/>
              <w:left w:val="thick" w:color="1E8449" w:sz="12"/>
              <w:bottom w:val="single" w:color="1E8449" w:sz="1"/>
              <w:right w:val="single" w:color="1E8449" w:sz="1"/>
            </w:tcBorders>
            <w:shd w:fill="EAFAF1" w:val="clear"/>
            <w:tcMar>
              <w:top w:type="dxa" w:w="100"/>
              <w:left w:type="dxa" w:w="220"/>
              <w:bottom w:type="dxa" w:w="100"/>
              <w:right w:type="dxa" w:w="220"/>
            </w:tcMar>
          </w:tcPr>
          <w:p>
            <w:pPr>
              <w:spacing w:after="0" w:before="0"/>
            </w:pPr>
            <w:r>
              <w:rPr>
                <w:rFonts w:ascii="Arial" w:cs="Arial" w:eastAsia="Arial" w:hAnsi="Arial"/>
                <w:b/>
                <w:bCs/>
                <w:color w:val="1E8449"/>
                <w:sz w:val="20"/>
                <w:szCs w:val="20"/>
              </w:rPr>
              <w:t xml:space="preserve">Best practice:  </w:t>
            </w:r>
            <w:r>
              <w:rPr>
                <w:rFonts w:ascii="Arial" w:cs="Arial" w:eastAsia="Arial" w:hAnsi="Arial"/>
                <w:color w:val="145A32"/>
                <w:sz w:val="20"/>
                <w:szCs w:val="20"/>
              </w:rPr>
              <w:t xml:space="preserve">Prefer opens ... to over open module or unqualified opens. Each qualified open documents exactly which framework needs what access, making security audits trivial: review the to-list to understand the full reflection surface.</w:t>
            </w:r>
          </w:p>
        </w:tc>
      </w:tr>
    </w:tbl>
    <w:p>
      <w:pPr>
        <w:spacing w:after="0" w:before="0"/>
      </w:pPr>
      <w:r>
        <w:t xml:space="preserve"/>
      </w:r>
    </w:p>
    <w:p>
      <w:pPr>
        <w:pBdr>
          <w:bottom w:val="single" w:color="5A9FE8" w:sz="4" w:space="1"/>
        </w:pBdr>
        <w:spacing w:after="120" w:before="360"/>
      </w:pPr>
      <w:r>
        <w:rPr>
          <w:rFonts w:ascii="Arial" w:cs="Arial" w:eastAsia="Arial" w:hAnsi="Arial"/>
          <w:b/>
          <w:bCs/>
          <w:color w:val="1455A4"/>
          <w:sz w:val="26"/>
          <w:szCs w:val="26"/>
        </w:rPr>
        <w:t xml:space="preserve">9  </w:t>
      </w:r>
      <w:r>
        <w:rPr>
          <w:rFonts w:ascii="Arial" w:cs="Arial" w:eastAsia="Arial" w:hAnsi="Arial"/>
          <w:b/>
          <w:bCs/>
          <w:color w:val="1455A4"/>
          <w:sz w:val="26"/>
          <w:szCs w:val="26"/>
        </w:rPr>
        <w:t xml:space="preserve">uses and provides … with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A9FE8" w:sz="4"/>
              <w:left w:val="single" w:color="5A9FE8" w:sz="4"/>
              <w:bottom w:val="single" w:color="5A9FE8" w:sz="2"/>
              <w:right w:val="single" w:color="5A9FE8" w:sz="4"/>
            </w:tcBorders>
            <w:shd w:fill="0D1E33" w:val="clear"/>
            <w:tcMar>
              <w:top w:type="dxa" w:w="100"/>
              <w:left w:type="dxa" w:w="220"/>
              <w:bottom w:type="dxa" w:w="80"/>
              <w:right w:type="dxa" w:w="220"/>
            </w:tcMar>
          </w:tcPr>
          <w:p>
            <w:pPr>
              <w:spacing w:after="10" w:before="0"/>
            </w:pPr>
            <w:r>
              <w:rPr>
                <w:rFonts w:ascii="Courier New" w:cs="Courier New" w:eastAsia="Courier New" w:hAnsi="Courier New"/>
                <w:b/>
                <w:bCs/>
                <w:color w:val="5A9FE8"/>
                <w:sz w:val="26"/>
                <w:szCs w:val="26"/>
              </w:rPr>
              <w:t xml:space="preserve">uses</w:t>
            </w:r>
            <w:r>
              <w:rPr>
                <w:rFonts w:ascii="Courier New" w:cs="Courier New" w:eastAsia="Courier New" w:hAnsi="Courier New"/>
                <w:color w:val="D4D4D4"/>
                <w:sz w:val="20"/>
                <w:szCs w:val="20"/>
              </w:rPr>
              <w:t xml:space="preserve">  service.Interface ;</w:t>
            </w:r>
          </w:p>
          <w:p>
            <w:pPr>
              <w:spacing w:after="0" w:before="0"/>
            </w:pPr>
            <w:r>
              <w:rPr>
                <w:rFonts w:ascii="Arial" w:cs="Arial" w:eastAsia="Arial" w:hAnsi="Arial"/>
                <w:color w:val="B8D4F0"/>
                <w:sz w:val="20"/>
                <w:szCs w:val="20"/>
              </w:rPr>
              <w:t xml:space="preserve">Declares that this module calls ServiceLoader.load(ServiceInterface.class). Required in JPMS — without uses, ServiceLoader returns a silently empty iterator with no error or warning.</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A9FE8" w:sz="4"/>
              <w:left w:val="single" w:color="5A9FE8" w:sz="4"/>
              <w:bottom w:val="single" w:color="5A9FE8" w:sz="2"/>
              <w:right w:val="single" w:color="5A9FE8" w:sz="4"/>
            </w:tcBorders>
            <w:shd w:fill="0D1E33" w:val="clear"/>
            <w:tcMar>
              <w:top w:type="dxa" w:w="100"/>
              <w:left w:type="dxa" w:w="220"/>
              <w:bottom w:type="dxa" w:w="80"/>
              <w:right w:type="dxa" w:w="220"/>
            </w:tcMar>
          </w:tcPr>
          <w:p>
            <w:pPr>
              <w:spacing w:after="10" w:before="0"/>
            </w:pPr>
            <w:r>
              <w:rPr>
                <w:rFonts w:ascii="Courier New" w:cs="Courier New" w:eastAsia="Courier New" w:hAnsi="Courier New"/>
                <w:b/>
                <w:bCs/>
                <w:color w:val="5A9FE8"/>
                <w:sz w:val="26"/>
                <w:szCs w:val="26"/>
              </w:rPr>
              <w:t xml:space="preserve">provides Svc with</w:t>
            </w:r>
            <w:r>
              <w:rPr>
                <w:rFonts w:ascii="Courier New" w:cs="Courier New" w:eastAsia="Courier New" w:hAnsi="Courier New"/>
                <w:color w:val="D4D4D4"/>
                <w:sz w:val="20"/>
                <w:szCs w:val="20"/>
              </w:rPr>
              <w:t xml:space="preserve">  ImplClass, ImplClass2 ;</w:t>
            </w:r>
          </w:p>
          <w:p>
            <w:pPr>
              <w:spacing w:after="0" w:before="0"/>
            </w:pPr>
            <w:r>
              <w:rPr>
                <w:rFonts w:ascii="Arial" w:cs="Arial" w:eastAsia="Arial" w:hAnsi="Arial"/>
                <w:color w:val="B8D4F0"/>
                <w:sz w:val="20"/>
                <w:szCs w:val="20"/>
              </w:rPr>
              <w:t xml:space="preserve">Registers one or more implementations of a service interface with the module system. The implementing classes do not need to be in an exported package — ServiceLoader creates instances without importing the provider class.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Three-module SPI setup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1. API module: defines the contract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com.example.api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com.example.api;   // PaymentProcessor interface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2. Provider module: implements the 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com.example.stripe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Registers the implementation.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StripeProcessor is NOT exported — it's an internal detail.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ServiceLoader gets exclusive access via the module system.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provides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with com.example.stripe.StripeProcessor;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Multiple implementations from one 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provides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with com.example.stripe.StripeProcessor,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com.example.stripe.StripeSandboxProcessor;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3. Consumer module: discovers via ServiceLoader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MANDATORY in JPMS.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Omitting this: ServiceLoader.load() returns empty iterator,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silently, with no error thrown.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Consumer code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ServiceLoader&lt;PaymentProcessor&gt; loader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ServiceLoader.load(PaymentProcessor.class);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Iterate all providers: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loader.forEach(p -&gt; System.out.println(p.name()));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Select one by 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PaymentProcessor stripe = loader.stream()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.map(ServiceLoader.Provider::get)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.filter(p -&gt; "stripe".equals(p.name()))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.findFirst()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.orElseThrow(() -&gt; new IllegalStateException("Stripe not found"));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Run with provider on module path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java --module-path mods:stripe-provider.jar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 com.example.app/com.example.app.Main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 code change needed to add a second provider — just add its JAR.</w:t>
            </w:r>
          </w:p>
        </w:tc>
      </w:tr>
    </w:tbl>
    <w:p>
      <w:pPr>
        <w:spacing w:after="0" w:before="0"/>
      </w:pPr>
      <w:r>
        <w:t xml:space="preserve"/>
      </w:r>
    </w:p>
    <w:p>
      <w:pPr>
        <w:pBdr>
          <w:bottom w:val="single" w:color="5A9FE8" w:sz="4" w:space="1"/>
        </w:pBdr>
        <w:spacing w:after="120" w:before="360"/>
      </w:pPr>
      <w:r>
        <w:rPr>
          <w:rFonts w:ascii="Arial" w:cs="Arial" w:eastAsia="Arial" w:hAnsi="Arial"/>
          <w:b/>
          <w:bCs/>
          <w:color w:val="1455A4"/>
          <w:sz w:val="26"/>
          <w:szCs w:val="26"/>
        </w:rPr>
        <w:t xml:space="preserve">10  </w:t>
      </w:r>
      <w:r>
        <w:rPr>
          <w:rFonts w:ascii="Arial" w:cs="Arial" w:eastAsia="Arial" w:hAnsi="Arial"/>
          <w:b/>
          <w:bCs/>
          <w:color w:val="1455A4"/>
          <w:sz w:val="26"/>
          <w:szCs w:val="26"/>
        </w:rPr>
        <w:t xml:space="preserve">Complete module-info.java</w:t>
      </w:r>
    </w:p>
    <w:p>
      <w:pPr>
        <w:spacing w:after="80" w:before="80"/>
        <w:jc w:val="both"/>
      </w:pPr>
      <w:r>
        <w:rPr>
          <w:rFonts w:ascii="Arial" w:cs="Arial" w:eastAsia="Arial" w:hAnsi="Arial"/>
          <w:color w:val="1A1A2E"/>
          <w:sz w:val="22"/>
          <w:szCs w:val="22"/>
        </w:rPr>
        <w:t xml:space="preserve">The following module-info.java demonstrates every directive in a realistic production Spring Boot service module. Each directive is annotated with its purpose.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com.example.payment.service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requires: runtime + compile dependencies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java.sql;                          // JDBC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java.logging;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                   // domain interfaces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com.example.shared;                // shared utilities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requires transitive: api types appear in our return values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transitive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requires static: compile-only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static com.google.auto.service;    // annotation 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static org.jetbrains.annotations;  // @Nullable etc.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framework dependencies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spring.context;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spring.tx;</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spring.data.jpa;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org.hibernate.orm.core;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exports: public API (all modules)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com.example.payment.service;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com.example.payment.service.dto;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com.example.payment.service.event;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exports ... to: admin/monitoring only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com.example.payment.service.admin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com.example.payment.admin,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com.example.payment.monitoring;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opens ... to: framework reflection access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com.example.payment.service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org.springframework.core,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org.springframework.beans;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com.example.payment.service.entity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org.hibernate.orm.core;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com.example.payment.service.dto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com.example.payment.service.test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org.junit.platform.commons;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uses: SPI consumption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uses com.example.api.FraudDetectionProvider;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 provides: SPI provision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provides com.example.api.PaymentProcessor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with com.example.payment.service.impl.StripePaymentProcessor,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com.example.payment.service.impl.SandboxPaymentProcessor;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Migration tip: add --add-opens module/pkg=ALL-UNNAMED on the JVM command line to temporarily bypass opens requirements for legacy classpath code. Use this as a short-term workaround only; replace with proper opens ... to declarations as soon as possible.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2026-04-05T04:50:34.761Z</dcterms:created>
  <dcterms:modified xsi:type="dcterms:W3CDTF">2026-04-05T04:50:34.762Z</dcterms:modified>
</cp:coreProperties>
</file>

<file path=docProps/custom.xml><?xml version="1.0" encoding="utf-8"?>
<Properties xmlns="http://schemas.openxmlformats.org/officeDocument/2006/custom-properties" xmlns:vt="http://schemas.openxmlformats.org/officeDocument/2006/docPropsVTypes"/>
</file>