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E0E18" w:val="clear"/>
        <w:spacing w:after="0" w:before="1400"/>
        <w:ind w:left="240" w:right="240"/>
        <w:jc w:val="center"/>
      </w:pPr>
      <w:r>
        <w:rPr>
          <w:rFonts w:ascii="Arial" w:cs="Arial" w:eastAsia="Arial" w:hAnsi="Arial"/>
          <w:b/>
          <w:bCs/>
          <w:color w:val="FFFFFF"/>
          <w:sz w:val="64"/>
          <w:szCs w:val="64"/>
        </w:rPr>
        <w:t xml:space="preserve">Java Platform Module System</w:t>
      </w:r>
    </w:p>
    <w:p>
      <w:pPr>
        <w:shd w:fill="0E0E18" w:val="clear"/>
        <w:spacing w:after="0" w:before="80"/>
        <w:ind w:left="240" w:right="240"/>
        <w:jc w:val="center"/>
      </w:pPr>
      <w:r>
        <w:rPr>
          <w:rFonts w:ascii="Arial" w:cs="Arial" w:eastAsia="Arial" w:hAnsi="Arial"/>
          <w:b/>
          <w:bCs/>
          <w:color w:val="E8A800"/>
          <w:sz w:val="40"/>
          <w:szCs w:val="40"/>
        </w:rPr>
        <w:t xml:space="preserve">Module 4: Migration &amp; Compatibility</w:t>
      </w:r>
    </w:p>
    <w:p>
      <w:pPr>
        <w:shd w:fill="0E0E18" w:val="clear"/>
        <w:spacing w:after="1400" w:before="80"/>
        <w:ind w:left="240" w:right="240"/>
        <w:jc w:val="center"/>
      </w:pPr>
      <w:r>
        <w:rPr>
          <w:rFonts w:ascii="Arial" w:cs="Arial" w:eastAsia="Arial" w:hAnsi="Arial"/>
          <w:i/>
          <w:iCs/>
          <w:color w:val="C8A84A"/>
          <w:sz w:val="20"/>
          <w:szCs w:val="20"/>
        </w:rPr>
        <w:t xml:space="preserve">Classpath to Module Path • Automatic Modules • Unnamed Module • Split Packages • --add-opens • Frameworks</w:t>
      </w:r>
    </w:p>
    <w:p>
      <w:pPr>
        <w:pBdr>
          <w:bottom w:val="single" w:color="E8A800" w:sz="4" w:space="1"/>
        </w:pBdr>
        <w:spacing w:after="120" w:before="360"/>
      </w:pPr>
      <w:r>
        <w:rPr>
          <w:rFonts w:ascii="Arial" w:cs="Arial" w:eastAsia="Arial" w:hAnsi="Arial"/>
          <w:b/>
          <w:bCs/>
          <w:color w:val="8B5A00"/>
          <w:sz w:val="26"/>
          <w:szCs w:val="26"/>
        </w:rPr>
        <w:t xml:space="preserve">1  </w:t>
      </w:r>
      <w:r>
        <w:rPr>
          <w:rFonts w:ascii="Arial" w:cs="Arial" w:eastAsia="Arial" w:hAnsi="Arial"/>
          <w:b/>
          <w:bCs/>
          <w:color w:val="8B5A00"/>
          <w:sz w:val="26"/>
          <w:szCs w:val="26"/>
        </w:rPr>
        <w:t xml:space="preserve">Migration Strategy: Classpath to Module Path</w:t>
      </w:r>
    </w:p>
    <w:p>
      <w:pPr>
        <w:spacing w:after="80" w:before="80"/>
        <w:jc w:val="both"/>
      </w:pPr>
      <w:r>
        <w:rPr>
          <w:rFonts w:ascii="Arial" w:cs="Arial" w:eastAsia="Arial" w:hAnsi="Arial"/>
          <w:color w:val="1A1A2E"/>
          <w:sz w:val="22"/>
          <w:szCs w:val="22"/>
        </w:rPr>
        <w:t xml:space="preserve">Migrating a Java application to JPMS is a spectrum, not a binary switch. Most projects adopt JPMS gradually, starting with classpath-compatible changes and adding module-info.java files incrementally. The key insight is that classpath code and module-path code can coexist in the same JVM process.</w:t>
      </w:r>
    </w:p>
    <w:p>
      <w:pPr>
        <w:spacing w:after="0" w:before="0"/>
      </w:pPr>
      <w: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6000"/>
      </w:tblGrid>
      <w:tr>
        <w:trPr>
          <w:tblHeader/>
        </w:trPr>
        <w:tc>
          <w:tcPr>
            <w:tcW w:type="dxa" w:w="1200"/>
            <w:tcBorders>
              <w:top w:val="single" w:color="FFFFFF" w:sz="1"/>
              <w:left w:val="single" w:color="FFFFFF" w:sz="1"/>
              <w:bottom w:val="single" w:color="FFFFFF" w:sz="1"/>
              <w:right w:val="single" w:color="FFFFFF" w:sz="1"/>
            </w:tcBorders>
            <w:shd w:fill="3B2800"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Step</w:t>
            </w:r>
          </w:p>
        </w:tc>
        <w:tc>
          <w:tcPr>
            <w:tcW w:type="dxa" w:w="2400"/>
            <w:tcBorders>
              <w:top w:val="single" w:color="FFFFFF" w:sz="1"/>
              <w:left w:val="single" w:color="FFFFFF" w:sz="1"/>
              <w:bottom w:val="single" w:color="FFFFFF" w:sz="1"/>
              <w:right w:val="single" w:color="FFFFFF" w:sz="1"/>
            </w:tcBorders>
            <w:shd w:fill="3B2800"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Action</w:t>
            </w:r>
          </w:p>
        </w:tc>
        <w:tc>
          <w:tcPr>
            <w:tcW w:type="dxa" w:w="6000"/>
            <w:tcBorders>
              <w:top w:val="single" w:color="FFFFFF" w:sz="1"/>
              <w:left w:val="single" w:color="FFFFFF" w:sz="1"/>
              <w:bottom w:val="single" w:color="FFFFFF" w:sz="1"/>
              <w:right w:val="single" w:color="FFFFFF" w:sz="1"/>
            </w:tcBorders>
            <w:shd w:fill="3B2800"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Detail</w:t>
            </w:r>
          </w:p>
        </w:tc>
      </w:tr>
      <w:tr>
        <w:tc>
          <w:tcPr>
            <w:tcW w:type="dxa" w:w="1200"/>
            <w:tcBorders>
              <w:top w:val="single" w:color="E8A800" w:sz="1"/>
              <w:left w:val="single" w:color="E8A800" w:sz="1"/>
              <w:bottom w:val="single" w:color="E8A800" w:sz="1"/>
              <w:right w:val="single" w:color="E8A800" w:sz="1"/>
            </w:tcBorders>
            <w:shd w:fill="FFFFFF" w:val="clear"/>
            <w:tcMar>
              <w:top w:type="dxa" w:w="80"/>
              <w:left w:type="dxa" w:w="140"/>
              <w:bottom w:type="dxa" w:w="80"/>
              <w:right w:type="dxa" w:w="140"/>
            </w:tcMar>
          </w:tcPr>
          <w:p>
            <w:pPr>
              <w:spacing w:after="0" w:before="0"/>
              <w:jc w:val="center"/>
            </w:pPr>
            <w:r>
              <w:rPr>
                <w:rFonts w:ascii="Arial" w:cs="Arial" w:eastAsia="Arial" w:hAnsi="Arial"/>
                <w:b/>
                <w:bCs/>
                <w:color w:val="E8A800"/>
                <w:sz w:val="20"/>
                <w:szCs w:val="20"/>
              </w:rPr>
              <w:t xml:space="preserve">1</w:t>
            </w:r>
          </w:p>
        </w:tc>
        <w:tc>
          <w:tcPr>
            <w:tcW w:type="dxa" w:w="2400"/>
            <w:tcBorders>
              <w:top w:val="single" w:color="E8A800" w:sz="1"/>
              <w:left w:val="single" w:color="E8A800" w:sz="1"/>
              <w:bottom w:val="single" w:color="E8A800" w:sz="1"/>
              <w:right w:val="single" w:color="E8A800" w:sz="1"/>
            </w:tcBorders>
            <w:shd w:fill="FFFFFF" w:val="clear"/>
            <w:tcMar>
              <w:top w:type="dxa" w:w="80"/>
              <w:left w:type="dxa" w:w="140"/>
              <w:bottom w:type="dxa" w:w="80"/>
              <w:right w:type="dxa" w:w="140"/>
            </w:tcMar>
          </w:tcPr>
          <w:p>
            <w:pPr>
              <w:spacing w:after="0" w:before="0"/>
            </w:pPr>
            <w:r>
              <w:rPr>
                <w:rFonts w:ascii="Arial" w:cs="Arial" w:eastAsia="Arial" w:hAnsi="Arial"/>
                <w:b/>
                <w:bCs/>
                <w:color w:val="3B2800"/>
                <w:sz w:val="19"/>
                <w:szCs w:val="19"/>
              </w:rPr>
              <w:t xml:space="preserve">Audit with jdeps</w:t>
            </w:r>
          </w:p>
        </w:tc>
        <w:tc>
          <w:tcPr>
            <w:tcW w:type="dxa" w:w="6000"/>
            <w:tcBorders>
              <w:top w:val="single" w:color="E8A800" w:sz="1"/>
              <w:left w:val="single" w:color="E8A800" w:sz="1"/>
              <w:bottom w:val="single" w:color="E8A800" w:sz="1"/>
              <w:right w:val="single" w:color="E8A800" w:sz="1"/>
            </w:tcBorders>
            <w:shd w:fill="FFFFFF" w:val="clear"/>
            <w:tcMar>
              <w:top w:type="dxa" w:w="80"/>
              <w:left w:type="dxa" w:w="140"/>
              <w:bottom w:type="dxa" w:w="80"/>
              <w:right w:type="dxa" w:w="140"/>
            </w:tcMar>
          </w:tcPr>
          <w:p>
            <w:pPr>
              <w:spacing w:after="0" w:before="0"/>
            </w:pPr>
            <w:r>
              <w:rPr>
                <w:rFonts w:ascii="Arial" w:cs="Arial" w:eastAsia="Arial" w:hAnsi="Arial"/>
                <w:color w:val="1A1A2E"/>
                <w:sz w:val="19"/>
                <w:szCs w:val="19"/>
              </w:rPr>
              <w:t xml:space="preserve">Run jdeps --multi-release 17 -cp 'lib/*' myapp.jar to find split packages, internal API usage, and missing dependencies before writing a single module-info.java.</w:t>
            </w:r>
          </w:p>
        </w:tc>
      </w:tr>
      <w:tr>
        <w:tc>
          <w:tcPr>
            <w:tcW w:type="dxa" w:w="1200"/>
            <w:tcBorders>
              <w:top w:val="single" w:color="E8A800" w:sz="1"/>
              <w:left w:val="single" w:color="E8A800" w:sz="1"/>
              <w:bottom w:val="single" w:color="E8A800" w:sz="1"/>
              <w:right w:val="single" w:color="E8A800" w:sz="1"/>
            </w:tcBorders>
            <w:shd w:fill="FFF8EE" w:val="clear"/>
            <w:tcMar>
              <w:top w:type="dxa" w:w="80"/>
              <w:left w:type="dxa" w:w="140"/>
              <w:bottom w:type="dxa" w:w="80"/>
              <w:right w:type="dxa" w:w="140"/>
            </w:tcMar>
          </w:tcPr>
          <w:p>
            <w:pPr>
              <w:spacing w:after="0" w:before="0"/>
              <w:jc w:val="center"/>
            </w:pPr>
            <w:r>
              <w:rPr>
                <w:rFonts w:ascii="Arial" w:cs="Arial" w:eastAsia="Arial" w:hAnsi="Arial"/>
                <w:b/>
                <w:bCs/>
                <w:color w:val="E8A800"/>
                <w:sz w:val="20"/>
                <w:szCs w:val="20"/>
              </w:rPr>
              <w:t xml:space="preserve">2</w:t>
            </w:r>
          </w:p>
        </w:tc>
        <w:tc>
          <w:tcPr>
            <w:tcW w:type="dxa" w:w="2400"/>
            <w:tcBorders>
              <w:top w:val="single" w:color="E8A800" w:sz="1"/>
              <w:left w:val="single" w:color="E8A800" w:sz="1"/>
              <w:bottom w:val="single" w:color="E8A800" w:sz="1"/>
              <w:right w:val="single" w:color="E8A800" w:sz="1"/>
            </w:tcBorders>
            <w:shd w:fill="FFF8EE" w:val="clear"/>
            <w:tcMar>
              <w:top w:type="dxa" w:w="80"/>
              <w:left w:type="dxa" w:w="140"/>
              <w:bottom w:type="dxa" w:w="80"/>
              <w:right w:type="dxa" w:w="140"/>
            </w:tcMar>
          </w:tcPr>
          <w:p>
            <w:pPr>
              <w:spacing w:after="0" w:before="0"/>
            </w:pPr>
            <w:r>
              <w:rPr>
                <w:rFonts w:ascii="Arial" w:cs="Arial" w:eastAsia="Arial" w:hAnsi="Arial"/>
                <w:b/>
                <w:bCs/>
                <w:color w:val="3B2800"/>
                <w:sz w:val="19"/>
                <w:szCs w:val="19"/>
              </w:rPr>
              <w:t xml:space="preserve">Fix split packages</w:t>
            </w:r>
          </w:p>
        </w:tc>
        <w:tc>
          <w:tcPr>
            <w:tcW w:type="dxa" w:w="6000"/>
            <w:tcBorders>
              <w:top w:val="single" w:color="E8A800" w:sz="1"/>
              <w:left w:val="single" w:color="E8A800" w:sz="1"/>
              <w:bottom w:val="single" w:color="E8A800" w:sz="1"/>
              <w:right w:val="single" w:color="E8A800" w:sz="1"/>
            </w:tcBorders>
            <w:shd w:fill="FFF8EE" w:val="clear"/>
            <w:tcMar>
              <w:top w:type="dxa" w:w="80"/>
              <w:left w:type="dxa" w:w="140"/>
              <w:bottom w:type="dxa" w:w="80"/>
              <w:right w:type="dxa" w:w="140"/>
            </w:tcMar>
          </w:tcPr>
          <w:p>
            <w:pPr>
              <w:spacing w:after="0" w:before="0"/>
            </w:pPr>
            <w:r>
              <w:rPr>
                <w:rFonts w:ascii="Arial" w:cs="Arial" w:eastAsia="Arial" w:hAnsi="Arial"/>
                <w:color w:val="1A1A2E"/>
                <w:sz w:val="19"/>
                <w:szCs w:val="19"/>
              </w:rPr>
              <w:t xml:space="preserve">Any package that appears in more than one JAR must be consolidated into one JAR before modules can be used. This is the most common blocker.</w:t>
            </w:r>
          </w:p>
        </w:tc>
      </w:tr>
      <w:tr>
        <w:tc>
          <w:tcPr>
            <w:tcW w:type="dxa" w:w="1200"/>
            <w:tcBorders>
              <w:top w:val="single" w:color="E8A800" w:sz="1"/>
              <w:left w:val="single" w:color="E8A800" w:sz="1"/>
              <w:bottom w:val="single" w:color="E8A800" w:sz="1"/>
              <w:right w:val="single" w:color="E8A800" w:sz="1"/>
            </w:tcBorders>
            <w:shd w:fill="FFFFFF" w:val="clear"/>
            <w:tcMar>
              <w:top w:type="dxa" w:w="80"/>
              <w:left w:type="dxa" w:w="140"/>
              <w:bottom w:type="dxa" w:w="80"/>
              <w:right w:type="dxa" w:w="140"/>
            </w:tcMar>
          </w:tcPr>
          <w:p>
            <w:pPr>
              <w:spacing w:after="0" w:before="0"/>
              <w:jc w:val="center"/>
            </w:pPr>
            <w:r>
              <w:rPr>
                <w:rFonts w:ascii="Arial" w:cs="Arial" w:eastAsia="Arial" w:hAnsi="Arial"/>
                <w:b/>
                <w:bCs/>
                <w:color w:val="E8A800"/>
                <w:sz w:val="20"/>
                <w:szCs w:val="20"/>
              </w:rPr>
              <w:t xml:space="preserve">3</w:t>
            </w:r>
          </w:p>
        </w:tc>
        <w:tc>
          <w:tcPr>
            <w:tcW w:type="dxa" w:w="2400"/>
            <w:tcBorders>
              <w:top w:val="single" w:color="E8A800" w:sz="1"/>
              <w:left w:val="single" w:color="E8A800" w:sz="1"/>
              <w:bottom w:val="single" w:color="E8A800" w:sz="1"/>
              <w:right w:val="single" w:color="E8A800" w:sz="1"/>
            </w:tcBorders>
            <w:shd w:fill="FFFFFF" w:val="clear"/>
            <w:tcMar>
              <w:top w:type="dxa" w:w="80"/>
              <w:left w:type="dxa" w:w="140"/>
              <w:bottom w:type="dxa" w:w="80"/>
              <w:right w:type="dxa" w:w="140"/>
            </w:tcMar>
          </w:tcPr>
          <w:p>
            <w:pPr>
              <w:spacing w:after="0" w:before="0"/>
            </w:pPr>
            <w:r>
              <w:rPr>
                <w:rFonts w:ascii="Arial" w:cs="Arial" w:eastAsia="Arial" w:hAnsi="Arial"/>
                <w:b/>
                <w:bCs/>
                <w:color w:val="3B2800"/>
                <w:sz w:val="19"/>
                <w:szCs w:val="19"/>
              </w:rPr>
              <w:t xml:space="preserve">Add Automatic-Module-Name</w:t>
            </w:r>
          </w:p>
        </w:tc>
        <w:tc>
          <w:tcPr>
            <w:tcW w:type="dxa" w:w="6000"/>
            <w:tcBorders>
              <w:top w:val="single" w:color="E8A800" w:sz="1"/>
              <w:left w:val="single" w:color="E8A800" w:sz="1"/>
              <w:bottom w:val="single" w:color="E8A800" w:sz="1"/>
              <w:right w:val="single" w:color="E8A800" w:sz="1"/>
            </w:tcBorders>
            <w:shd w:fill="FFFFFF" w:val="clear"/>
            <w:tcMar>
              <w:top w:type="dxa" w:w="80"/>
              <w:left w:type="dxa" w:w="140"/>
              <w:bottom w:type="dxa" w:w="80"/>
              <w:right w:type="dxa" w:w="140"/>
            </w:tcMar>
          </w:tcPr>
          <w:p>
            <w:pPr>
              <w:spacing w:after="0" w:before="0"/>
            </w:pPr>
            <w:r>
              <w:rPr>
                <w:rFonts w:ascii="Arial" w:cs="Arial" w:eastAsia="Arial" w:hAnsi="Arial"/>
                <w:color w:val="1A1A2E"/>
                <w:sz w:val="19"/>
                <w:szCs w:val="19"/>
              </w:rPr>
              <w:t xml:space="preserve">Add Automatic-Module-Name: com.example.foo to MANIFEST.MF in each JAR that will be placed on the module path. This stabilises the module name before module-info.java exists.</w:t>
            </w:r>
          </w:p>
        </w:tc>
      </w:tr>
      <w:tr>
        <w:tc>
          <w:tcPr>
            <w:tcW w:type="dxa" w:w="1200"/>
            <w:tcBorders>
              <w:top w:val="single" w:color="E8A800" w:sz="1"/>
              <w:left w:val="single" w:color="E8A800" w:sz="1"/>
              <w:bottom w:val="single" w:color="E8A800" w:sz="1"/>
              <w:right w:val="single" w:color="E8A800" w:sz="1"/>
            </w:tcBorders>
            <w:shd w:fill="FFF8EE" w:val="clear"/>
            <w:tcMar>
              <w:top w:type="dxa" w:w="80"/>
              <w:left w:type="dxa" w:w="140"/>
              <w:bottom w:type="dxa" w:w="80"/>
              <w:right w:type="dxa" w:w="140"/>
            </w:tcMar>
          </w:tcPr>
          <w:p>
            <w:pPr>
              <w:spacing w:after="0" w:before="0"/>
              <w:jc w:val="center"/>
            </w:pPr>
            <w:r>
              <w:rPr>
                <w:rFonts w:ascii="Arial" w:cs="Arial" w:eastAsia="Arial" w:hAnsi="Arial"/>
                <w:b/>
                <w:bCs/>
                <w:color w:val="E8A800"/>
                <w:sz w:val="20"/>
                <w:szCs w:val="20"/>
              </w:rPr>
              <w:t xml:space="preserve">4</w:t>
            </w:r>
          </w:p>
        </w:tc>
        <w:tc>
          <w:tcPr>
            <w:tcW w:type="dxa" w:w="2400"/>
            <w:tcBorders>
              <w:top w:val="single" w:color="E8A800" w:sz="1"/>
              <w:left w:val="single" w:color="E8A800" w:sz="1"/>
              <w:bottom w:val="single" w:color="E8A800" w:sz="1"/>
              <w:right w:val="single" w:color="E8A800" w:sz="1"/>
            </w:tcBorders>
            <w:shd w:fill="FFF8EE" w:val="clear"/>
            <w:tcMar>
              <w:top w:type="dxa" w:w="80"/>
              <w:left w:type="dxa" w:w="140"/>
              <w:bottom w:type="dxa" w:w="80"/>
              <w:right w:type="dxa" w:w="140"/>
            </w:tcMar>
          </w:tcPr>
          <w:p>
            <w:pPr>
              <w:spacing w:after="0" w:before="0"/>
            </w:pPr>
            <w:r>
              <w:rPr>
                <w:rFonts w:ascii="Arial" w:cs="Arial" w:eastAsia="Arial" w:hAnsi="Arial"/>
                <w:b/>
                <w:bCs/>
                <w:color w:val="3B2800"/>
                <w:sz w:val="19"/>
                <w:szCs w:val="19"/>
              </w:rPr>
              <w:t xml:space="preserve">Move to module path</w:t>
            </w:r>
          </w:p>
        </w:tc>
        <w:tc>
          <w:tcPr>
            <w:tcW w:type="dxa" w:w="6000"/>
            <w:tcBorders>
              <w:top w:val="single" w:color="E8A800" w:sz="1"/>
              <w:left w:val="single" w:color="E8A800" w:sz="1"/>
              <w:bottom w:val="single" w:color="E8A800" w:sz="1"/>
              <w:right w:val="single" w:color="E8A800" w:sz="1"/>
            </w:tcBorders>
            <w:shd w:fill="FFF8EE" w:val="clear"/>
            <w:tcMar>
              <w:top w:type="dxa" w:w="80"/>
              <w:left w:type="dxa" w:w="140"/>
              <w:bottom w:type="dxa" w:w="80"/>
              <w:right w:type="dxa" w:w="140"/>
            </w:tcMar>
          </w:tcPr>
          <w:p>
            <w:pPr>
              <w:spacing w:after="0" w:before="0"/>
            </w:pPr>
            <w:r>
              <w:rPr>
                <w:rFonts w:ascii="Arial" w:cs="Arial" w:eastAsia="Arial" w:hAnsi="Arial"/>
                <w:color w:val="1A1A2E"/>
                <w:sz w:val="19"/>
                <w:szCs w:val="19"/>
              </w:rPr>
              <w:t xml:space="preserve">Place your own JARs on --module-path. Dependencies without module-info.java become automatic modules. Classpath JARs remain in the unnamed module.</w:t>
            </w:r>
          </w:p>
        </w:tc>
      </w:tr>
      <w:tr>
        <w:tc>
          <w:tcPr>
            <w:tcW w:type="dxa" w:w="1200"/>
            <w:tcBorders>
              <w:top w:val="single" w:color="E8A800" w:sz="1"/>
              <w:left w:val="single" w:color="E8A800" w:sz="1"/>
              <w:bottom w:val="single" w:color="E8A800" w:sz="1"/>
              <w:right w:val="single" w:color="E8A800" w:sz="1"/>
            </w:tcBorders>
            <w:shd w:fill="FFFFFF" w:val="clear"/>
            <w:tcMar>
              <w:top w:type="dxa" w:w="80"/>
              <w:left w:type="dxa" w:w="140"/>
              <w:bottom w:type="dxa" w:w="80"/>
              <w:right w:type="dxa" w:w="140"/>
            </w:tcMar>
          </w:tcPr>
          <w:p>
            <w:pPr>
              <w:spacing w:after="0" w:before="0"/>
              <w:jc w:val="center"/>
            </w:pPr>
            <w:r>
              <w:rPr>
                <w:rFonts w:ascii="Arial" w:cs="Arial" w:eastAsia="Arial" w:hAnsi="Arial"/>
                <w:b/>
                <w:bCs/>
                <w:color w:val="E8A800"/>
                <w:sz w:val="20"/>
                <w:szCs w:val="20"/>
              </w:rPr>
              <w:t xml:space="preserve">5</w:t>
            </w:r>
          </w:p>
        </w:tc>
        <w:tc>
          <w:tcPr>
            <w:tcW w:type="dxa" w:w="2400"/>
            <w:tcBorders>
              <w:top w:val="single" w:color="E8A800" w:sz="1"/>
              <w:left w:val="single" w:color="E8A800" w:sz="1"/>
              <w:bottom w:val="single" w:color="E8A800" w:sz="1"/>
              <w:right w:val="single" w:color="E8A800" w:sz="1"/>
            </w:tcBorders>
            <w:shd w:fill="FFFFFF" w:val="clear"/>
            <w:tcMar>
              <w:top w:type="dxa" w:w="80"/>
              <w:left w:type="dxa" w:w="140"/>
              <w:bottom w:type="dxa" w:w="80"/>
              <w:right w:type="dxa" w:w="140"/>
            </w:tcMar>
          </w:tcPr>
          <w:p>
            <w:pPr>
              <w:spacing w:after="0" w:before="0"/>
            </w:pPr>
            <w:r>
              <w:rPr>
                <w:rFonts w:ascii="Arial" w:cs="Arial" w:eastAsia="Arial" w:hAnsi="Arial"/>
                <w:b/>
                <w:bCs/>
                <w:color w:val="3B2800"/>
                <w:sz w:val="19"/>
                <w:szCs w:val="19"/>
              </w:rPr>
              <w:t xml:space="preserve">Add module-info.java</w:t>
            </w:r>
          </w:p>
        </w:tc>
        <w:tc>
          <w:tcPr>
            <w:tcW w:type="dxa" w:w="6000"/>
            <w:tcBorders>
              <w:top w:val="single" w:color="E8A800" w:sz="1"/>
              <w:left w:val="single" w:color="E8A800" w:sz="1"/>
              <w:bottom w:val="single" w:color="E8A800" w:sz="1"/>
              <w:right w:val="single" w:color="E8A800" w:sz="1"/>
            </w:tcBorders>
            <w:shd w:fill="FFFFFF" w:val="clear"/>
            <w:tcMar>
              <w:top w:type="dxa" w:w="80"/>
              <w:left w:type="dxa" w:w="140"/>
              <w:bottom w:type="dxa" w:w="80"/>
              <w:right w:type="dxa" w:w="140"/>
            </w:tcMar>
          </w:tcPr>
          <w:p>
            <w:pPr>
              <w:spacing w:after="0" w:before="0"/>
            </w:pPr>
            <w:r>
              <w:rPr>
                <w:rFonts w:ascii="Arial" w:cs="Arial" w:eastAsia="Arial" w:hAnsi="Arial"/>
                <w:color w:val="1A1A2E"/>
                <w:sz w:val="19"/>
                <w:szCs w:val="19"/>
              </w:rPr>
              <w:t xml:space="preserve">Start with your most stable API module. Declare requires, exports, and the minimum opens needed for frameworks. Compile and test.</w:t>
            </w:r>
          </w:p>
        </w:tc>
      </w:tr>
      <w:tr>
        <w:tc>
          <w:tcPr>
            <w:tcW w:type="dxa" w:w="1200"/>
            <w:tcBorders>
              <w:top w:val="single" w:color="E8A800" w:sz="1"/>
              <w:left w:val="single" w:color="E8A800" w:sz="1"/>
              <w:bottom w:val="single" w:color="E8A800" w:sz="1"/>
              <w:right w:val="single" w:color="E8A800" w:sz="1"/>
            </w:tcBorders>
            <w:shd w:fill="FFF8EE" w:val="clear"/>
            <w:tcMar>
              <w:top w:type="dxa" w:w="80"/>
              <w:left w:type="dxa" w:w="140"/>
              <w:bottom w:type="dxa" w:w="80"/>
              <w:right w:type="dxa" w:w="140"/>
            </w:tcMar>
          </w:tcPr>
          <w:p>
            <w:pPr>
              <w:spacing w:after="0" w:before="0"/>
              <w:jc w:val="center"/>
            </w:pPr>
            <w:r>
              <w:rPr>
                <w:rFonts w:ascii="Arial" w:cs="Arial" w:eastAsia="Arial" w:hAnsi="Arial"/>
                <w:b/>
                <w:bCs/>
                <w:color w:val="E8A800"/>
                <w:sz w:val="20"/>
                <w:szCs w:val="20"/>
              </w:rPr>
              <w:t xml:space="preserve">6</w:t>
            </w:r>
          </w:p>
        </w:tc>
        <w:tc>
          <w:tcPr>
            <w:tcW w:type="dxa" w:w="2400"/>
            <w:tcBorders>
              <w:top w:val="single" w:color="E8A800" w:sz="1"/>
              <w:left w:val="single" w:color="E8A800" w:sz="1"/>
              <w:bottom w:val="single" w:color="E8A800" w:sz="1"/>
              <w:right w:val="single" w:color="E8A800" w:sz="1"/>
            </w:tcBorders>
            <w:shd w:fill="FFF8EE" w:val="clear"/>
            <w:tcMar>
              <w:top w:type="dxa" w:w="80"/>
              <w:left w:type="dxa" w:w="140"/>
              <w:bottom w:type="dxa" w:w="80"/>
              <w:right w:type="dxa" w:w="140"/>
            </w:tcMar>
          </w:tcPr>
          <w:p>
            <w:pPr>
              <w:spacing w:after="0" w:before="0"/>
            </w:pPr>
            <w:r>
              <w:rPr>
                <w:rFonts w:ascii="Arial" w:cs="Arial" w:eastAsia="Arial" w:hAnsi="Arial"/>
                <w:b/>
                <w:bCs/>
                <w:color w:val="3B2800"/>
                <w:sz w:val="19"/>
                <w:szCs w:val="19"/>
              </w:rPr>
              <w:t xml:space="preserve">Propagate inward</w:t>
            </w:r>
          </w:p>
        </w:tc>
        <w:tc>
          <w:tcPr>
            <w:tcW w:type="dxa" w:w="6000"/>
            <w:tcBorders>
              <w:top w:val="single" w:color="E8A800" w:sz="1"/>
              <w:left w:val="single" w:color="E8A800" w:sz="1"/>
              <w:bottom w:val="single" w:color="E8A800" w:sz="1"/>
              <w:right w:val="single" w:color="E8A800" w:sz="1"/>
            </w:tcBorders>
            <w:shd w:fill="FFF8EE" w:val="clear"/>
            <w:tcMar>
              <w:top w:type="dxa" w:w="80"/>
              <w:left w:type="dxa" w:w="140"/>
              <w:bottom w:type="dxa" w:w="80"/>
              <w:right w:type="dxa" w:w="140"/>
            </w:tcMar>
          </w:tcPr>
          <w:p>
            <w:pPr>
              <w:spacing w:after="0" w:before="0"/>
            </w:pPr>
            <w:r>
              <w:rPr>
                <w:rFonts w:ascii="Arial" w:cs="Arial" w:eastAsia="Arial" w:hAnsi="Arial"/>
                <w:color w:val="1A1A2E"/>
                <w:sz w:val="19"/>
                <w:szCs w:val="19"/>
              </w:rPr>
              <w:t xml:space="preserve">Add module-info.java to implementation modules one at a time, working from the leaves (no downstream dependents) toward the root.</w:t>
            </w:r>
          </w:p>
        </w:tc>
      </w:tr>
      <w:tr>
        <w:tc>
          <w:tcPr>
            <w:tcW w:type="dxa" w:w="1200"/>
            <w:tcBorders>
              <w:top w:val="single" w:color="E8A800" w:sz="1"/>
              <w:left w:val="single" w:color="E8A800" w:sz="1"/>
              <w:bottom w:val="single" w:color="E8A800" w:sz="1"/>
              <w:right w:val="single" w:color="E8A800" w:sz="1"/>
            </w:tcBorders>
            <w:shd w:fill="FFFFFF" w:val="clear"/>
            <w:tcMar>
              <w:top w:type="dxa" w:w="80"/>
              <w:left w:type="dxa" w:w="140"/>
              <w:bottom w:type="dxa" w:w="80"/>
              <w:right w:type="dxa" w:w="140"/>
            </w:tcMar>
          </w:tcPr>
          <w:p>
            <w:pPr>
              <w:spacing w:after="0" w:before="0"/>
              <w:jc w:val="center"/>
            </w:pPr>
            <w:r>
              <w:rPr>
                <w:rFonts w:ascii="Arial" w:cs="Arial" w:eastAsia="Arial" w:hAnsi="Arial"/>
                <w:b/>
                <w:bCs/>
                <w:color w:val="E8A800"/>
                <w:sz w:val="20"/>
                <w:szCs w:val="20"/>
              </w:rPr>
              <w:t xml:space="preserve">7</w:t>
            </w:r>
          </w:p>
        </w:tc>
        <w:tc>
          <w:tcPr>
            <w:tcW w:type="dxa" w:w="2400"/>
            <w:tcBorders>
              <w:top w:val="single" w:color="E8A800" w:sz="1"/>
              <w:left w:val="single" w:color="E8A800" w:sz="1"/>
              <w:bottom w:val="single" w:color="E8A800" w:sz="1"/>
              <w:right w:val="single" w:color="E8A800" w:sz="1"/>
            </w:tcBorders>
            <w:shd w:fill="FFFFFF" w:val="clear"/>
            <w:tcMar>
              <w:top w:type="dxa" w:w="80"/>
              <w:left w:type="dxa" w:w="140"/>
              <w:bottom w:type="dxa" w:w="80"/>
              <w:right w:type="dxa" w:w="140"/>
            </w:tcMar>
          </w:tcPr>
          <w:p>
            <w:pPr>
              <w:spacing w:after="0" w:before="0"/>
            </w:pPr>
            <w:r>
              <w:rPr>
                <w:rFonts w:ascii="Arial" w:cs="Arial" w:eastAsia="Arial" w:hAnsi="Arial"/>
                <w:b/>
                <w:bCs/>
                <w:color w:val="3B2800"/>
                <w:sz w:val="19"/>
                <w:szCs w:val="19"/>
              </w:rPr>
              <w:t xml:space="preserve">Replace --add-opens hacks</w:t>
            </w:r>
          </w:p>
        </w:tc>
        <w:tc>
          <w:tcPr>
            <w:tcW w:type="dxa" w:w="6000"/>
            <w:tcBorders>
              <w:top w:val="single" w:color="E8A800" w:sz="1"/>
              <w:left w:val="single" w:color="E8A800" w:sz="1"/>
              <w:bottom w:val="single" w:color="E8A800" w:sz="1"/>
              <w:right w:val="single" w:color="E8A800" w:sz="1"/>
            </w:tcBorders>
            <w:shd w:fill="FFFFFF" w:val="clear"/>
            <w:tcMar>
              <w:top w:type="dxa" w:w="80"/>
              <w:left w:type="dxa" w:w="140"/>
              <w:bottom w:type="dxa" w:w="80"/>
              <w:right w:type="dxa" w:w="140"/>
            </w:tcMar>
          </w:tcPr>
          <w:p>
            <w:pPr>
              <w:spacing w:after="0" w:before="0"/>
            </w:pPr>
            <w:r>
              <w:rPr>
                <w:rFonts w:ascii="Arial" w:cs="Arial" w:eastAsia="Arial" w:hAnsi="Arial"/>
                <w:color w:val="1A1A2E"/>
                <w:sz w:val="19"/>
                <w:szCs w:val="19"/>
              </w:rPr>
              <w:t xml:space="preserve">Remove each --add-opens JVM flag as you add the corresponding opens ... to declaration to the relevant module-info.java.</w:t>
            </w:r>
          </w:p>
        </w:tc>
      </w:tr>
      <w:tr>
        <w:tc>
          <w:tcPr>
            <w:tcW w:type="dxa" w:w="1200"/>
            <w:tcBorders>
              <w:top w:val="single" w:color="E8A800" w:sz="1"/>
              <w:left w:val="single" w:color="E8A800" w:sz="1"/>
              <w:bottom w:val="single" w:color="E8A800" w:sz="1"/>
              <w:right w:val="single" w:color="E8A800" w:sz="1"/>
            </w:tcBorders>
            <w:shd w:fill="FFF8EE" w:val="clear"/>
            <w:tcMar>
              <w:top w:type="dxa" w:w="80"/>
              <w:left w:type="dxa" w:w="140"/>
              <w:bottom w:type="dxa" w:w="80"/>
              <w:right w:type="dxa" w:w="140"/>
            </w:tcMar>
          </w:tcPr>
          <w:p>
            <w:pPr>
              <w:spacing w:after="0" w:before="0"/>
              <w:jc w:val="center"/>
            </w:pPr>
            <w:r>
              <w:rPr>
                <w:rFonts w:ascii="Arial" w:cs="Arial" w:eastAsia="Arial" w:hAnsi="Arial"/>
                <w:b/>
                <w:bCs/>
                <w:color w:val="E8A800"/>
                <w:sz w:val="20"/>
                <w:szCs w:val="20"/>
              </w:rPr>
              <w:t xml:space="preserve">8</w:t>
            </w:r>
          </w:p>
        </w:tc>
        <w:tc>
          <w:tcPr>
            <w:tcW w:type="dxa" w:w="2400"/>
            <w:tcBorders>
              <w:top w:val="single" w:color="E8A800" w:sz="1"/>
              <w:left w:val="single" w:color="E8A800" w:sz="1"/>
              <w:bottom w:val="single" w:color="E8A800" w:sz="1"/>
              <w:right w:val="single" w:color="E8A800" w:sz="1"/>
            </w:tcBorders>
            <w:shd w:fill="FFF8EE" w:val="clear"/>
            <w:tcMar>
              <w:top w:type="dxa" w:w="80"/>
              <w:left w:type="dxa" w:w="140"/>
              <w:bottom w:type="dxa" w:w="80"/>
              <w:right w:type="dxa" w:w="140"/>
            </w:tcMar>
          </w:tcPr>
          <w:p>
            <w:pPr>
              <w:spacing w:after="0" w:before="0"/>
            </w:pPr>
            <w:r>
              <w:rPr>
                <w:rFonts w:ascii="Arial" w:cs="Arial" w:eastAsia="Arial" w:hAnsi="Arial"/>
                <w:b/>
                <w:bCs/>
                <w:color w:val="3B2800"/>
                <w:sz w:val="19"/>
                <w:szCs w:val="19"/>
              </w:rPr>
              <w:t xml:space="preserve">jlink (optional)</w:t>
            </w:r>
          </w:p>
        </w:tc>
        <w:tc>
          <w:tcPr>
            <w:tcW w:type="dxa" w:w="6000"/>
            <w:tcBorders>
              <w:top w:val="single" w:color="E8A800" w:sz="1"/>
              <w:left w:val="single" w:color="E8A800" w:sz="1"/>
              <w:bottom w:val="single" w:color="E8A800" w:sz="1"/>
              <w:right w:val="single" w:color="E8A800" w:sz="1"/>
            </w:tcBorders>
            <w:shd w:fill="FFF8EE" w:val="clear"/>
            <w:tcMar>
              <w:top w:type="dxa" w:w="80"/>
              <w:left w:type="dxa" w:w="140"/>
              <w:bottom w:type="dxa" w:w="80"/>
              <w:right w:type="dxa" w:w="140"/>
            </w:tcMar>
          </w:tcPr>
          <w:p>
            <w:pPr>
              <w:spacing w:after="0" w:before="0"/>
            </w:pPr>
            <w:r>
              <w:rPr>
                <w:rFonts w:ascii="Arial" w:cs="Arial" w:eastAsia="Arial" w:hAnsi="Arial"/>
                <w:color w:val="1A1A2E"/>
                <w:sz w:val="19"/>
                <w:szCs w:val="19"/>
              </w:rPr>
              <w:t xml:space="preserve">Once all modules have module-info.java, use jlink to produce a minimal custom runtime image containing only the modules your application actually uses.</w:t>
            </w:r>
          </w:p>
        </w:tc>
      </w:tr>
    </w:tbl>
    <w:p>
      <w:pPr>
        <w:spacing w:after="0" w:before="0"/>
      </w:pPr>
      <w:r>
        <w:t xml:space="preserve"/>
      </w:r>
    </w:p>
    <w:p>
      <w:pPr>
        <w:spacing w:after="80" w:before="240"/>
      </w:pPr>
      <w:r>
        <w:rPr>
          <w:rFonts w:ascii="Arial" w:cs="Arial" w:eastAsia="Arial" w:hAnsi="Arial"/>
          <w:b/>
          <w:bCs/>
          <w:color w:val="3B2800"/>
          <w:sz w:val="22"/>
          <w:szCs w:val="22"/>
        </w:rPr>
        <w:t xml:space="preserve">jdeps: the essential pre-migration analysis tool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 Basic dependency analysis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jdeps --multi-release 17 myapp.jar</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 Find all uses of JDK internal APIs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jdeps --jdk-internals myapp.jar</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Output shows: com.example.Foo -&gt; sun.misc.Unsafe  (JDK internal)</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 Generate module-info.java suggestions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jdeps --generate-module-info ./generated-mods myapp.jar</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Creates a starting-point module-info.java for each module.</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 Check for split packages across all JARs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jdeps --multi-release 17 -cp 'lib/*' myapp.jar | grep 'split'</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 Full dependency tree in DOT format (visualise with Graphviz)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jdeps --dot-output ./graphs --multi-release 17 myapp.jar</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dot -Tpng graphs/myapp.dot -o dependency-graph.png</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 Check a specific JAR for module-path readiness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jdeps --module-path lib --check com.example.myapp</w:t>
            </w:r>
          </w:p>
        </w:tc>
      </w:tr>
    </w:tbl>
    <w:p>
      <w:pPr>
        <w:spacing w:after="0" w:before="0"/>
      </w:pPr>
      <w:r>
        <w:t xml:space="preserve"/>
      </w:r>
    </w:p>
    <w:p>
      <w:pPr>
        <w:pBdr>
          <w:bottom w:val="single" w:color="E8A800" w:sz="4" w:space="1"/>
        </w:pBdr>
        <w:spacing w:after="120" w:before="360"/>
      </w:pPr>
      <w:r>
        <w:rPr>
          <w:rFonts w:ascii="Arial" w:cs="Arial" w:eastAsia="Arial" w:hAnsi="Arial"/>
          <w:b/>
          <w:bCs/>
          <w:color w:val="8B5A00"/>
          <w:sz w:val="26"/>
          <w:szCs w:val="26"/>
        </w:rPr>
        <w:t xml:space="preserve">2  </w:t>
      </w:r>
      <w:r>
        <w:rPr>
          <w:rFonts w:ascii="Arial" w:cs="Arial" w:eastAsia="Arial" w:hAnsi="Arial"/>
          <w:b/>
          <w:bCs/>
          <w:color w:val="8B5A00"/>
          <w:sz w:val="26"/>
          <w:szCs w:val="26"/>
        </w:rPr>
        <w:t xml:space="preserve">Automatic Modules</w:t>
      </w:r>
    </w:p>
    <w:p>
      <w:pPr>
        <w:spacing w:after="80" w:before="80"/>
        <w:jc w:val="both"/>
      </w:pPr>
      <w:r>
        <w:rPr>
          <w:rFonts w:ascii="Arial" w:cs="Arial" w:eastAsia="Arial" w:hAnsi="Arial"/>
          <w:color w:val="1A1A2E"/>
          <w:sz w:val="22"/>
          <w:szCs w:val="22"/>
        </w:rPr>
        <w:t xml:space="preserve">An automatic module is a pre-JPMS JAR placed on the module path rather than the classpath. The JVM synthesises a named module for it automatically, allowing named modules to declare requires on legacy libraries while those libraries are being migrated.</w:t>
      </w:r>
    </w:p>
    <w:p>
      <w:pPr>
        <w:spacing w:after="0" w:before="0"/>
      </w:pPr>
      <w:r>
        <w:t xml:space="preserve"/>
      </w:r>
    </w:p>
    <w:p>
      <w:pPr>
        <w:spacing w:after="80" w:before="240"/>
      </w:pPr>
      <w:r>
        <w:rPr>
          <w:rFonts w:ascii="Arial" w:cs="Arial" w:eastAsia="Arial" w:hAnsi="Arial"/>
          <w:b/>
          <w:bCs/>
          <w:color w:val="3B2800"/>
          <w:sz w:val="22"/>
          <w:szCs w:val="22"/>
        </w:rPr>
        <w:t xml:space="preserve">How the module name is derived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Rule 1 (preferred): read from MANIFEST.MF entry 'Automatic-Module-Name'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jar tf mylib-1.2.jar META-INF/MANIFEST.MF</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Manifest-Version: 1.0</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Automatic-Module-Name: com.example.mylib</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This is the STABLE, intended module name. Library authors should</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add this to every JAR they publish, even before adding module-info.java.</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Rule 2 (fallback): derived from JAR filename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Algorithm:</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a) Strip .jar extension</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b) Remove version suffix: -1.2.3, -1.2.3-SNAPSHOT, -1.2.3.Final, etc.</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c) Replace all non-alphanumeric characters with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d) Remove leading and trailing dots</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e) Collapse consecutive dots into one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Filename examples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jackson-core-2.15.2.jar       -&gt;  jackson.core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slf4j-api-2.0.7.jar           -&gt;  slf4j.api</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commons-lang3-3.12.0.jar      -&gt;  commons.lang3</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guava-32.0.1-jre.jar          -&gt;  guava</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spring-core-6.1.0.jar         -&gt;  spring.core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my_lib-v2.1.jar               -&gt;  my.lib</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HikariCP-5.0.1.jar            -&gt;  HikariCP</w:t>
            </w:r>
          </w:p>
        </w:tc>
      </w:tr>
    </w:tbl>
    <w:p>
      <w:pPr>
        <w:spacing w:after="0" w:before="0"/>
      </w:pPr>
      <w:r>
        <w:t xml:space="preserve"/>
      </w:r>
    </w:p>
    <w:p>
      <w:pPr>
        <w:spacing w:after="80" w:before="240"/>
      </w:pPr>
      <w:r>
        <w:rPr>
          <w:rFonts w:ascii="Arial" w:cs="Arial" w:eastAsia="Arial" w:hAnsi="Arial"/>
          <w:b/>
          <w:bCs/>
          <w:color w:val="3B2800"/>
          <w:sz w:val="22"/>
          <w:szCs w:val="22"/>
        </w:rPr>
        <w:t xml:space="preserve">Automatic module characteristics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6400"/>
      </w:tblGrid>
      <w:tr>
        <w:trPr>
          <w:tblHeader/>
        </w:trPr>
        <w:tc>
          <w:tcPr>
            <w:tcW w:type="dxa" w:w="3200"/>
            <w:tcBorders>
              <w:top w:val="single" w:color="FFFFFF" w:sz="1"/>
              <w:left w:val="single" w:color="FFFFFF" w:sz="1"/>
              <w:bottom w:val="single" w:color="FFFFFF" w:sz="1"/>
              <w:right w:val="single" w:color="FFFFFF" w:sz="1"/>
            </w:tcBorders>
            <w:shd w:fill="3B2800"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Property</w:t>
            </w:r>
          </w:p>
        </w:tc>
        <w:tc>
          <w:tcPr>
            <w:tcW w:type="dxa" w:w="6400"/>
            <w:tcBorders>
              <w:top w:val="single" w:color="FFFFFF" w:sz="1"/>
              <w:left w:val="single" w:color="FFFFFF" w:sz="1"/>
              <w:bottom w:val="single" w:color="FFFFFF" w:sz="1"/>
              <w:right w:val="single" w:color="FFFFFF" w:sz="1"/>
            </w:tcBorders>
            <w:shd w:fill="3B2800"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Explanation</w:t>
            </w:r>
          </w:p>
        </w:tc>
      </w:tr>
      <w:tr>
        <w:tc>
          <w:tcPr>
            <w:tcW w:type="dxa" w:w="3200"/>
            <w:tcBorders>
              <w:top w:val="single" w:color="E8A800" w:sz="1"/>
              <w:left w:val="single" w:color="E8A800" w:sz="1"/>
              <w:bottom w:val="single" w:color="E8A800" w:sz="1"/>
              <w:right w:val="single" w:color="E8A800" w:sz="1"/>
            </w:tcBorders>
            <w:shd w:fill="FFFFFF" w:val="clear"/>
            <w:tcMar>
              <w:top w:type="dxa" w:w="80"/>
              <w:left w:type="dxa" w:w="140"/>
              <w:bottom w:type="dxa" w:w="80"/>
              <w:right w:type="dxa" w:w="140"/>
            </w:tcMar>
          </w:tcPr>
          <w:p>
            <w:pPr>
              <w:spacing w:after="0" w:before="0"/>
            </w:pPr>
            <w:r>
              <w:rPr>
                <w:rFonts w:ascii="Courier New" w:cs="Courier New" w:eastAsia="Courier New" w:hAnsi="Courier New"/>
                <w:b/>
                <w:bCs/>
                <w:color w:val="8B5A00"/>
                <w:sz w:val="18"/>
                <w:szCs w:val="18"/>
              </w:rPr>
              <w:t xml:space="preserve">Exports ALL packages</w:t>
            </w:r>
          </w:p>
        </w:tc>
        <w:tc>
          <w:tcPr>
            <w:tcW w:type="dxa" w:w="6400"/>
            <w:tcBorders>
              <w:top w:val="single" w:color="E8A800" w:sz="1"/>
              <w:left w:val="single" w:color="E8A800" w:sz="1"/>
              <w:bottom w:val="single" w:color="E8A800" w:sz="1"/>
              <w:right w:val="single" w:color="E8A800" w:sz="1"/>
            </w:tcBorders>
            <w:shd w:fill="FFFFFF" w:val="clear"/>
            <w:tcMar>
              <w:top w:type="dxa" w:w="80"/>
              <w:left w:type="dxa" w:w="140"/>
              <w:bottom w:type="dxa" w:w="80"/>
              <w:right w:type="dxa" w:w="140"/>
            </w:tcMar>
          </w:tcPr>
          <w:p>
            <w:pPr>
              <w:spacing w:after="0" w:before="0"/>
            </w:pPr>
            <w:r>
              <w:rPr>
                <w:rFonts w:ascii="Arial" w:cs="Arial" w:eastAsia="Arial" w:hAnsi="Arial"/>
                <w:color w:val="1A1A2E"/>
                <w:sz w:val="19"/>
                <w:szCs w:val="19"/>
              </w:rPr>
              <w:t xml:space="preserve">Every package in the JAR is exported to every other module. No encapsulation. Public types are world-visible.</w:t>
            </w:r>
          </w:p>
        </w:tc>
      </w:tr>
      <w:tr>
        <w:tc>
          <w:tcPr>
            <w:tcW w:type="dxa" w:w="3200"/>
            <w:tcBorders>
              <w:top w:val="single" w:color="E8A800" w:sz="1"/>
              <w:left w:val="single" w:color="E8A800" w:sz="1"/>
              <w:bottom w:val="single" w:color="E8A800" w:sz="1"/>
              <w:right w:val="single" w:color="E8A800" w:sz="1"/>
            </w:tcBorders>
            <w:shd w:fill="FFF8EE" w:val="clear"/>
            <w:tcMar>
              <w:top w:type="dxa" w:w="80"/>
              <w:left w:type="dxa" w:w="140"/>
              <w:bottom w:type="dxa" w:w="80"/>
              <w:right w:type="dxa" w:w="140"/>
            </w:tcMar>
          </w:tcPr>
          <w:p>
            <w:pPr>
              <w:spacing w:after="0" w:before="0"/>
            </w:pPr>
            <w:r>
              <w:rPr>
                <w:rFonts w:ascii="Courier New" w:cs="Courier New" w:eastAsia="Courier New" w:hAnsi="Courier New"/>
                <w:b/>
                <w:bCs/>
                <w:color w:val="8B5A00"/>
                <w:sz w:val="18"/>
                <w:szCs w:val="18"/>
              </w:rPr>
              <w:t xml:space="preserve">Reads ALL modules</w:t>
            </w:r>
          </w:p>
        </w:tc>
        <w:tc>
          <w:tcPr>
            <w:tcW w:type="dxa" w:w="6400"/>
            <w:tcBorders>
              <w:top w:val="single" w:color="E8A800" w:sz="1"/>
              <w:left w:val="single" w:color="E8A800" w:sz="1"/>
              <w:bottom w:val="single" w:color="E8A800" w:sz="1"/>
              <w:right w:val="single" w:color="E8A800" w:sz="1"/>
            </w:tcBorders>
            <w:shd w:fill="FFF8EE" w:val="clear"/>
            <w:tcMar>
              <w:top w:type="dxa" w:w="80"/>
              <w:left w:type="dxa" w:w="140"/>
              <w:bottom w:type="dxa" w:w="80"/>
              <w:right w:type="dxa" w:w="140"/>
            </w:tcMar>
          </w:tcPr>
          <w:p>
            <w:pPr>
              <w:spacing w:after="0" w:before="0"/>
            </w:pPr>
            <w:r>
              <w:rPr>
                <w:rFonts w:ascii="Arial" w:cs="Arial" w:eastAsia="Arial" w:hAnsi="Arial"/>
                <w:color w:val="1A1A2E"/>
                <w:sz w:val="19"/>
                <w:szCs w:val="19"/>
              </w:rPr>
              <w:t xml:space="preserve">Automatically reads every named module AND the unnamed module. No requires declarations needed.</w:t>
            </w:r>
          </w:p>
        </w:tc>
      </w:tr>
      <w:tr>
        <w:tc>
          <w:tcPr>
            <w:tcW w:type="dxa" w:w="3200"/>
            <w:tcBorders>
              <w:top w:val="single" w:color="E8A800" w:sz="1"/>
              <w:left w:val="single" w:color="E8A800" w:sz="1"/>
              <w:bottom w:val="single" w:color="E8A800" w:sz="1"/>
              <w:right w:val="single" w:color="E8A800" w:sz="1"/>
            </w:tcBorders>
            <w:shd w:fill="FFFFFF" w:val="clear"/>
            <w:tcMar>
              <w:top w:type="dxa" w:w="80"/>
              <w:left w:type="dxa" w:w="140"/>
              <w:bottom w:type="dxa" w:w="80"/>
              <w:right w:type="dxa" w:w="140"/>
            </w:tcMar>
          </w:tcPr>
          <w:p>
            <w:pPr>
              <w:spacing w:after="0" w:before="0"/>
            </w:pPr>
            <w:r>
              <w:rPr>
                <w:rFonts w:ascii="Courier New" w:cs="Courier New" w:eastAsia="Courier New" w:hAnsi="Courier New"/>
                <w:b/>
                <w:bCs/>
                <w:color w:val="8B5A00"/>
                <w:sz w:val="18"/>
                <w:szCs w:val="18"/>
              </w:rPr>
              <w:t xml:space="preserve">Can be required by named</w:t>
            </w:r>
          </w:p>
        </w:tc>
        <w:tc>
          <w:tcPr>
            <w:tcW w:type="dxa" w:w="6400"/>
            <w:tcBorders>
              <w:top w:val="single" w:color="E8A800" w:sz="1"/>
              <w:left w:val="single" w:color="E8A800" w:sz="1"/>
              <w:bottom w:val="single" w:color="E8A800" w:sz="1"/>
              <w:right w:val="single" w:color="E8A800" w:sz="1"/>
            </w:tcBorders>
            <w:shd w:fill="FFFFFF" w:val="clear"/>
            <w:tcMar>
              <w:top w:type="dxa" w:w="80"/>
              <w:left w:type="dxa" w:w="140"/>
              <w:bottom w:type="dxa" w:w="80"/>
              <w:right w:type="dxa" w:w="140"/>
            </w:tcMar>
          </w:tcPr>
          <w:p>
            <w:pPr>
              <w:spacing w:after="0" w:before="0"/>
            </w:pPr>
            <w:r>
              <w:rPr>
                <w:rFonts w:ascii="Arial" w:cs="Arial" w:eastAsia="Arial" w:hAnsi="Arial"/>
                <w:color w:val="1A1A2E"/>
                <w:sz w:val="19"/>
                <w:szCs w:val="19"/>
              </w:rPr>
              <w:t xml:space="preserve">A named module can declare requires jackson.core (automatic). Works at both compile and runtime.</w:t>
            </w:r>
          </w:p>
        </w:tc>
      </w:tr>
      <w:tr>
        <w:tc>
          <w:tcPr>
            <w:tcW w:type="dxa" w:w="3200"/>
            <w:tcBorders>
              <w:top w:val="single" w:color="E8A800" w:sz="1"/>
              <w:left w:val="single" w:color="E8A800" w:sz="1"/>
              <w:bottom w:val="single" w:color="E8A800" w:sz="1"/>
              <w:right w:val="single" w:color="E8A800" w:sz="1"/>
            </w:tcBorders>
            <w:shd w:fill="FFF8EE" w:val="clear"/>
            <w:tcMar>
              <w:top w:type="dxa" w:w="80"/>
              <w:left w:type="dxa" w:w="140"/>
              <w:bottom w:type="dxa" w:w="80"/>
              <w:right w:type="dxa" w:w="140"/>
            </w:tcMar>
          </w:tcPr>
          <w:p>
            <w:pPr>
              <w:spacing w:after="0" w:before="0"/>
            </w:pPr>
            <w:r>
              <w:rPr>
                <w:rFonts w:ascii="Courier New" w:cs="Courier New" w:eastAsia="Courier New" w:hAnsi="Courier New"/>
                <w:b/>
                <w:bCs/>
                <w:color w:val="8B5A00"/>
                <w:sz w:val="18"/>
                <w:szCs w:val="18"/>
              </w:rPr>
              <w:t xml:space="preserve">Cannot have requires</w:t>
            </w:r>
          </w:p>
        </w:tc>
        <w:tc>
          <w:tcPr>
            <w:tcW w:type="dxa" w:w="6400"/>
            <w:tcBorders>
              <w:top w:val="single" w:color="E8A800" w:sz="1"/>
              <w:left w:val="single" w:color="E8A800" w:sz="1"/>
              <w:bottom w:val="single" w:color="E8A800" w:sz="1"/>
              <w:right w:val="single" w:color="E8A800" w:sz="1"/>
            </w:tcBorders>
            <w:shd w:fill="FFF8EE" w:val="clear"/>
            <w:tcMar>
              <w:top w:type="dxa" w:w="80"/>
              <w:left w:type="dxa" w:w="140"/>
              <w:bottom w:type="dxa" w:w="80"/>
              <w:right w:type="dxa" w:w="140"/>
            </w:tcMar>
          </w:tcPr>
          <w:p>
            <w:pPr>
              <w:spacing w:after="0" w:before="0"/>
            </w:pPr>
            <w:r>
              <w:rPr>
                <w:rFonts w:ascii="Arial" w:cs="Arial" w:eastAsia="Arial" w:hAnsi="Arial"/>
                <w:color w:val="1A1A2E"/>
                <w:sz w:val="19"/>
                <w:szCs w:val="19"/>
              </w:rPr>
              <w:t xml:space="preserve">Automatic modules have no module-info.java, so they cannot restrict their own dependencies.</w:t>
            </w:r>
          </w:p>
        </w:tc>
      </w:tr>
      <w:tr>
        <w:tc>
          <w:tcPr>
            <w:tcW w:type="dxa" w:w="3200"/>
            <w:tcBorders>
              <w:top w:val="single" w:color="E8A800" w:sz="1"/>
              <w:left w:val="single" w:color="E8A800" w:sz="1"/>
              <w:bottom w:val="single" w:color="E8A800" w:sz="1"/>
              <w:right w:val="single" w:color="E8A800" w:sz="1"/>
            </w:tcBorders>
            <w:shd w:fill="FFFFFF" w:val="clear"/>
            <w:tcMar>
              <w:top w:type="dxa" w:w="80"/>
              <w:left w:type="dxa" w:w="140"/>
              <w:bottom w:type="dxa" w:w="80"/>
              <w:right w:type="dxa" w:w="140"/>
            </w:tcMar>
          </w:tcPr>
          <w:p>
            <w:pPr>
              <w:spacing w:after="0" w:before="0"/>
            </w:pPr>
            <w:r>
              <w:rPr>
                <w:rFonts w:ascii="Courier New" w:cs="Courier New" w:eastAsia="Courier New" w:hAnsi="Courier New"/>
                <w:b/>
                <w:bCs/>
                <w:color w:val="8B5A00"/>
                <w:sz w:val="18"/>
                <w:szCs w:val="18"/>
              </w:rPr>
              <w:t xml:space="preserve">Name is fragile</w:t>
            </w:r>
          </w:p>
        </w:tc>
        <w:tc>
          <w:tcPr>
            <w:tcW w:type="dxa" w:w="6400"/>
            <w:tcBorders>
              <w:top w:val="single" w:color="E8A800" w:sz="1"/>
              <w:left w:val="single" w:color="E8A800" w:sz="1"/>
              <w:bottom w:val="single" w:color="E8A800" w:sz="1"/>
              <w:right w:val="single" w:color="E8A800" w:sz="1"/>
            </w:tcBorders>
            <w:shd w:fill="FFFFFF" w:val="clear"/>
            <w:tcMar>
              <w:top w:type="dxa" w:w="80"/>
              <w:left w:type="dxa" w:w="140"/>
              <w:bottom w:type="dxa" w:w="80"/>
              <w:right w:type="dxa" w:w="140"/>
            </w:tcMar>
          </w:tcPr>
          <w:p>
            <w:pPr>
              <w:spacing w:after="0" w:before="0"/>
            </w:pPr>
            <w:r>
              <w:rPr>
                <w:rFonts w:ascii="Arial" w:cs="Arial" w:eastAsia="Arial" w:hAnsi="Arial"/>
                <w:color w:val="1A1A2E"/>
                <w:sz w:val="19"/>
                <w:szCs w:val="19"/>
              </w:rPr>
              <w:t xml:space="preserve">Without Automatic-Module-Name in MANIFEST.MF, the name is derived from the filename and changes when the version changes.</w:t>
            </w:r>
          </w:p>
        </w:tc>
      </w:tr>
      <w:tr>
        <w:tc>
          <w:tcPr>
            <w:tcW w:type="dxa" w:w="3200"/>
            <w:tcBorders>
              <w:top w:val="single" w:color="E8A800" w:sz="1"/>
              <w:left w:val="single" w:color="E8A800" w:sz="1"/>
              <w:bottom w:val="single" w:color="E8A800" w:sz="1"/>
              <w:right w:val="single" w:color="E8A800" w:sz="1"/>
            </w:tcBorders>
            <w:shd w:fill="FFF8EE" w:val="clear"/>
            <w:tcMar>
              <w:top w:type="dxa" w:w="80"/>
              <w:left w:type="dxa" w:w="140"/>
              <w:bottom w:type="dxa" w:w="80"/>
              <w:right w:type="dxa" w:w="140"/>
            </w:tcMar>
          </w:tcPr>
          <w:p>
            <w:pPr>
              <w:spacing w:after="0" w:before="0"/>
            </w:pPr>
            <w:r>
              <w:rPr>
                <w:rFonts w:ascii="Courier New" w:cs="Courier New" w:eastAsia="Courier New" w:hAnsi="Courier New"/>
                <w:b/>
                <w:bCs/>
                <w:color w:val="8B5A00"/>
                <w:sz w:val="18"/>
                <w:szCs w:val="18"/>
              </w:rPr>
              <w:t xml:space="preserve">Not split-package-safe</w:t>
            </w:r>
          </w:p>
        </w:tc>
        <w:tc>
          <w:tcPr>
            <w:tcW w:type="dxa" w:w="6400"/>
            <w:tcBorders>
              <w:top w:val="single" w:color="E8A800" w:sz="1"/>
              <w:left w:val="single" w:color="E8A800" w:sz="1"/>
              <w:bottom w:val="single" w:color="E8A800" w:sz="1"/>
              <w:right w:val="single" w:color="E8A800" w:sz="1"/>
            </w:tcBorders>
            <w:shd w:fill="FFF8EE" w:val="clear"/>
            <w:tcMar>
              <w:top w:type="dxa" w:w="80"/>
              <w:left w:type="dxa" w:w="140"/>
              <w:bottom w:type="dxa" w:w="80"/>
              <w:right w:type="dxa" w:w="140"/>
            </w:tcMar>
          </w:tcPr>
          <w:p>
            <w:pPr>
              <w:spacing w:after="0" w:before="0"/>
            </w:pPr>
            <w:r>
              <w:rPr>
                <w:rFonts w:ascii="Arial" w:cs="Arial" w:eastAsia="Arial" w:hAnsi="Arial"/>
                <w:color w:val="1A1A2E"/>
                <w:sz w:val="19"/>
                <w:szCs w:val="19"/>
              </w:rPr>
              <w:t xml:space="preserve">If two automatic modules export the same package, you get a startup error. This is the most common migration blocker.</w:t>
            </w:r>
          </w:p>
        </w:tc>
      </w:tr>
    </w:tbl>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Using automatic modules in your module-info.java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module com.example.app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requires java.base;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Automatic modules (no module-info.java in the JARs):</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requires jackson.core;         // from jackson-core-2.15.jar</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requires jackson.databind;     // from jackson-databind-2.15.jar</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requires slf4j.api;            // from slf4j-api-2.0.jar</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Named module (has module-info.java):</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requires com.example.api;</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exports com.example.app;</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WARNING about fragile names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If the library upgrades from jackson-core-2.15.jar</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to jackson-core-2.16.jar, the derived name stays jackson.core.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But if the filename is unusual or contains extra qualifiers,</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the name could change. Always verify MANIFEST.MF first: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jar tf jackson-core-2.15.jar | grep 'MANIFEST'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jar xf jackson-core-2.15.jar META-INF/MANIFEST.MF</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cat META-INF/MANIFEST.MF | grep 'Automatic-Module-Name'</w:t>
            </w:r>
          </w:p>
        </w:tc>
      </w:tr>
    </w:tbl>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8B5A00" w:sz="1"/>
              <w:left w:val="thick" w:color="8B5A00" w:sz="12"/>
              <w:bottom w:val="single" w:color="8B5A00" w:sz="1"/>
              <w:right w:val="single" w:color="8B5A00" w:sz="1"/>
            </w:tcBorders>
            <w:shd w:fill="FEFCE8" w:val="clear"/>
            <w:tcMar>
              <w:top w:type="dxa" w:w="100"/>
              <w:left w:type="dxa" w:w="220"/>
              <w:bottom w:type="dxa" w:w="100"/>
              <w:right w:type="dxa" w:w="220"/>
            </w:tcMar>
          </w:tcPr>
          <w:p>
            <w:pPr>
              <w:spacing w:after="0" w:before="0"/>
            </w:pPr>
            <w:r>
              <w:rPr>
                <w:rFonts w:ascii="Arial" w:cs="Arial" w:eastAsia="Arial" w:hAnsi="Arial"/>
                <w:b/>
                <w:bCs/>
                <w:color w:val="8B5A00"/>
                <w:sz w:val="20"/>
                <w:szCs w:val="20"/>
              </w:rPr>
              <w:t xml:space="preserve">Best practice:  </w:t>
            </w:r>
            <w:r>
              <w:rPr>
                <w:rFonts w:ascii="Arial" w:cs="Arial" w:eastAsia="Arial" w:hAnsi="Arial"/>
                <w:color w:val="3B2800"/>
                <w:sz w:val="20"/>
                <w:szCs w:val="20"/>
              </w:rPr>
              <w:t xml:space="preserve">Before writing requires on an automatic module, check its MANIFEST.MF for Automatic-Module-Name. If absent, contact the library maintainer and request they add it. This is now standard practice for any library that wants to be JPMS-compatible.</w:t>
            </w:r>
          </w:p>
        </w:tc>
      </w:tr>
    </w:tbl>
    <w:p>
      <w:pPr>
        <w:spacing w:after="0" w:before="0"/>
      </w:pPr>
      <w:r>
        <w:t xml:space="preserve"/>
      </w:r>
    </w:p>
    <w:p>
      <w:pPr>
        <w:pBdr>
          <w:bottom w:val="single" w:color="E8A800" w:sz="4" w:space="1"/>
        </w:pBdr>
        <w:spacing w:after="120" w:before="360"/>
      </w:pPr>
      <w:r>
        <w:rPr>
          <w:rFonts w:ascii="Arial" w:cs="Arial" w:eastAsia="Arial" w:hAnsi="Arial"/>
          <w:b/>
          <w:bCs/>
          <w:color w:val="8B5A00"/>
          <w:sz w:val="26"/>
          <w:szCs w:val="26"/>
        </w:rPr>
        <w:t xml:space="preserve">3  </w:t>
      </w:r>
      <w:r>
        <w:rPr>
          <w:rFonts w:ascii="Arial" w:cs="Arial" w:eastAsia="Arial" w:hAnsi="Arial"/>
          <w:b/>
          <w:bCs/>
          <w:color w:val="8B5A00"/>
          <w:sz w:val="26"/>
          <w:szCs w:val="26"/>
        </w:rPr>
        <w:t xml:space="preserve">The Unnamed Module</w:t>
      </w:r>
    </w:p>
    <w:p>
      <w:pPr>
        <w:spacing w:after="80" w:before="80"/>
        <w:jc w:val="both"/>
      </w:pPr>
      <w:r>
        <w:rPr>
          <w:rFonts w:ascii="Arial" w:cs="Arial" w:eastAsia="Arial" w:hAnsi="Arial"/>
          <w:color w:val="1A1A2E"/>
          <w:sz w:val="22"/>
          <w:szCs w:val="22"/>
        </w:rPr>
        <w:t xml:space="preserve">All code on the classpath belongs to a single unnamed module. There is one unnamed module per ClassLoader. It exists entirely for backward compatibility: pre-JPMS code that knows nothing about the module system still runs correctly because the unnamed module reads all named modules and exports all its packages.</w:t>
      </w:r>
    </w:p>
    <w:p>
      <w:pPr>
        <w:spacing w:after="0" w:before="0"/>
      </w:pPr>
      <w: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6400"/>
      </w:tblGrid>
      <w:tr>
        <w:trPr>
          <w:tblHeader/>
        </w:trPr>
        <w:tc>
          <w:tcPr>
            <w:tcW w:type="dxa" w:w="3200"/>
            <w:tcBorders>
              <w:top w:val="single" w:color="FFFFFF" w:sz="1"/>
              <w:left w:val="single" w:color="FFFFFF" w:sz="1"/>
              <w:bottom w:val="single" w:color="FFFFFF" w:sz="1"/>
              <w:right w:val="single" w:color="FFFFFF" w:sz="1"/>
            </w:tcBorders>
            <w:shd w:fill="3B2800"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Property</w:t>
            </w:r>
          </w:p>
        </w:tc>
        <w:tc>
          <w:tcPr>
            <w:tcW w:type="dxa" w:w="6400"/>
            <w:tcBorders>
              <w:top w:val="single" w:color="FFFFFF" w:sz="1"/>
              <w:left w:val="single" w:color="FFFFFF" w:sz="1"/>
              <w:bottom w:val="single" w:color="FFFFFF" w:sz="1"/>
              <w:right w:val="single" w:color="FFFFFF" w:sz="1"/>
            </w:tcBorders>
            <w:shd w:fill="3B2800"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Explanation</w:t>
            </w:r>
          </w:p>
        </w:tc>
      </w:tr>
      <w:tr>
        <w:tc>
          <w:tcPr>
            <w:tcW w:type="dxa" w:w="3200"/>
            <w:tcBorders>
              <w:top w:val="single" w:color="E8A800" w:sz="1"/>
              <w:left w:val="single" w:color="E8A800" w:sz="1"/>
              <w:bottom w:val="single" w:color="E8A800" w:sz="1"/>
              <w:right w:val="single" w:color="E8A800" w:sz="1"/>
            </w:tcBorders>
            <w:shd w:fill="FFFFFF" w:val="clear"/>
            <w:tcMar>
              <w:top w:type="dxa" w:w="80"/>
              <w:left w:type="dxa" w:w="140"/>
              <w:bottom w:type="dxa" w:w="80"/>
              <w:right w:type="dxa" w:w="140"/>
            </w:tcMar>
          </w:tcPr>
          <w:p>
            <w:pPr>
              <w:spacing w:after="0" w:before="0"/>
            </w:pPr>
            <w:r>
              <w:rPr>
                <w:rFonts w:ascii="Courier New" w:cs="Courier New" w:eastAsia="Courier New" w:hAnsi="Courier New"/>
                <w:b/>
                <w:bCs/>
                <w:color w:val="8B5A00"/>
                <w:sz w:val="18"/>
                <w:szCs w:val="18"/>
              </w:rPr>
              <w:t xml:space="preserve">Has no name</w:t>
            </w:r>
          </w:p>
        </w:tc>
        <w:tc>
          <w:tcPr>
            <w:tcW w:type="dxa" w:w="6400"/>
            <w:tcBorders>
              <w:top w:val="single" w:color="E8A800" w:sz="1"/>
              <w:left w:val="single" w:color="E8A800" w:sz="1"/>
              <w:bottom w:val="single" w:color="E8A800" w:sz="1"/>
              <w:right w:val="single" w:color="E8A800" w:sz="1"/>
            </w:tcBorders>
            <w:shd w:fill="FFFFFF" w:val="clear"/>
            <w:tcMar>
              <w:top w:type="dxa" w:w="80"/>
              <w:left w:type="dxa" w:w="140"/>
              <w:bottom w:type="dxa" w:w="80"/>
              <w:right w:type="dxa" w:w="140"/>
            </w:tcMar>
          </w:tcPr>
          <w:p>
            <w:pPr>
              <w:spacing w:after="0" w:before="0"/>
            </w:pPr>
            <w:r>
              <w:rPr>
                <w:rFonts w:ascii="Arial" w:cs="Arial" w:eastAsia="Arial" w:hAnsi="Arial"/>
                <w:color w:val="1A1A2E"/>
                <w:sz w:val="19"/>
                <w:szCs w:val="19"/>
              </w:rPr>
              <w:t xml:space="preserve">getName() returns null. isNamed() returns false. Cannot be referenced in requires or exports ... to.</w:t>
            </w:r>
          </w:p>
        </w:tc>
      </w:tr>
      <w:tr>
        <w:tc>
          <w:tcPr>
            <w:tcW w:type="dxa" w:w="3200"/>
            <w:tcBorders>
              <w:top w:val="single" w:color="E8A800" w:sz="1"/>
              <w:left w:val="single" w:color="E8A800" w:sz="1"/>
              <w:bottom w:val="single" w:color="E8A800" w:sz="1"/>
              <w:right w:val="single" w:color="E8A800" w:sz="1"/>
            </w:tcBorders>
            <w:shd w:fill="FFF8EE" w:val="clear"/>
            <w:tcMar>
              <w:top w:type="dxa" w:w="80"/>
              <w:left w:type="dxa" w:w="140"/>
              <w:bottom w:type="dxa" w:w="80"/>
              <w:right w:type="dxa" w:w="140"/>
            </w:tcMar>
          </w:tcPr>
          <w:p>
            <w:pPr>
              <w:spacing w:after="0" w:before="0"/>
            </w:pPr>
            <w:r>
              <w:rPr>
                <w:rFonts w:ascii="Courier New" w:cs="Courier New" w:eastAsia="Courier New" w:hAnsi="Courier New"/>
                <w:b/>
                <w:bCs/>
                <w:color w:val="8B5A00"/>
                <w:sz w:val="18"/>
                <w:szCs w:val="18"/>
              </w:rPr>
              <w:t xml:space="preserve">Reads ALL named modules</w:t>
            </w:r>
          </w:p>
        </w:tc>
        <w:tc>
          <w:tcPr>
            <w:tcW w:type="dxa" w:w="6400"/>
            <w:tcBorders>
              <w:top w:val="single" w:color="E8A800" w:sz="1"/>
              <w:left w:val="single" w:color="E8A800" w:sz="1"/>
              <w:bottom w:val="single" w:color="E8A800" w:sz="1"/>
              <w:right w:val="single" w:color="E8A800" w:sz="1"/>
            </w:tcBorders>
            <w:shd w:fill="FFF8EE" w:val="clear"/>
            <w:tcMar>
              <w:top w:type="dxa" w:w="80"/>
              <w:left w:type="dxa" w:w="140"/>
              <w:bottom w:type="dxa" w:w="80"/>
              <w:right w:type="dxa" w:w="140"/>
            </w:tcMar>
          </w:tcPr>
          <w:p>
            <w:pPr>
              <w:spacing w:after="0" w:before="0"/>
            </w:pPr>
            <w:r>
              <w:rPr>
                <w:rFonts w:ascii="Arial" w:cs="Arial" w:eastAsia="Arial" w:hAnsi="Arial"/>
                <w:color w:val="1A1A2E"/>
                <w:sz w:val="19"/>
                <w:szCs w:val="19"/>
              </w:rPr>
              <w:t xml:space="preserve">Classpath code can use any class from any named module's exported packages without any requires declaration.</w:t>
            </w:r>
          </w:p>
        </w:tc>
      </w:tr>
      <w:tr>
        <w:tc>
          <w:tcPr>
            <w:tcW w:type="dxa" w:w="3200"/>
            <w:tcBorders>
              <w:top w:val="single" w:color="E8A800" w:sz="1"/>
              <w:left w:val="single" w:color="E8A800" w:sz="1"/>
              <w:bottom w:val="single" w:color="E8A800" w:sz="1"/>
              <w:right w:val="single" w:color="E8A800" w:sz="1"/>
            </w:tcBorders>
            <w:shd w:fill="FFFFFF" w:val="clear"/>
            <w:tcMar>
              <w:top w:type="dxa" w:w="80"/>
              <w:left w:type="dxa" w:w="140"/>
              <w:bottom w:type="dxa" w:w="80"/>
              <w:right w:type="dxa" w:w="140"/>
            </w:tcMar>
          </w:tcPr>
          <w:p>
            <w:pPr>
              <w:spacing w:after="0" w:before="0"/>
            </w:pPr>
            <w:r>
              <w:rPr>
                <w:rFonts w:ascii="Courier New" w:cs="Courier New" w:eastAsia="Courier New" w:hAnsi="Courier New"/>
                <w:b/>
                <w:bCs/>
                <w:color w:val="8B5A00"/>
                <w:sz w:val="18"/>
                <w:szCs w:val="18"/>
              </w:rPr>
              <w:t xml:space="preserve">Exports ALL packages</w:t>
            </w:r>
          </w:p>
        </w:tc>
        <w:tc>
          <w:tcPr>
            <w:tcW w:type="dxa" w:w="6400"/>
            <w:tcBorders>
              <w:top w:val="single" w:color="E8A800" w:sz="1"/>
              <w:left w:val="single" w:color="E8A800" w:sz="1"/>
              <w:bottom w:val="single" w:color="E8A800" w:sz="1"/>
              <w:right w:val="single" w:color="E8A800" w:sz="1"/>
            </w:tcBorders>
            <w:shd w:fill="FFFFFF" w:val="clear"/>
            <w:tcMar>
              <w:top w:type="dxa" w:w="80"/>
              <w:left w:type="dxa" w:w="140"/>
              <w:bottom w:type="dxa" w:w="80"/>
              <w:right w:type="dxa" w:w="140"/>
            </w:tcMar>
          </w:tcPr>
          <w:p>
            <w:pPr>
              <w:spacing w:after="0" w:before="0"/>
            </w:pPr>
            <w:r>
              <w:rPr>
                <w:rFonts w:ascii="Arial" w:cs="Arial" w:eastAsia="Arial" w:hAnsi="Arial"/>
                <w:color w:val="1A1A2E"/>
                <w:sz w:val="19"/>
                <w:szCs w:val="19"/>
              </w:rPr>
              <w:t xml:space="preserve">All packages on the classpath are accessible to other classpath code. No encapsulation.</w:t>
            </w:r>
          </w:p>
        </w:tc>
      </w:tr>
      <w:tr>
        <w:tc>
          <w:tcPr>
            <w:tcW w:type="dxa" w:w="3200"/>
            <w:tcBorders>
              <w:top w:val="single" w:color="E8A800" w:sz="1"/>
              <w:left w:val="single" w:color="E8A800" w:sz="1"/>
              <w:bottom w:val="single" w:color="E8A800" w:sz="1"/>
              <w:right w:val="single" w:color="E8A800" w:sz="1"/>
            </w:tcBorders>
            <w:shd w:fill="FFF8EE" w:val="clear"/>
            <w:tcMar>
              <w:top w:type="dxa" w:w="80"/>
              <w:left w:type="dxa" w:w="140"/>
              <w:bottom w:type="dxa" w:w="80"/>
              <w:right w:type="dxa" w:w="140"/>
            </w:tcMar>
          </w:tcPr>
          <w:p>
            <w:pPr>
              <w:spacing w:after="0" w:before="0"/>
            </w:pPr>
            <w:r>
              <w:rPr>
                <w:rFonts w:ascii="Courier New" w:cs="Courier New" w:eastAsia="Courier New" w:hAnsi="Courier New"/>
                <w:b/>
                <w:bCs/>
                <w:color w:val="8B5A00"/>
                <w:sz w:val="18"/>
                <w:szCs w:val="18"/>
              </w:rPr>
              <w:t xml:space="preserve">Named modules cannot require it</w:t>
            </w:r>
          </w:p>
        </w:tc>
        <w:tc>
          <w:tcPr>
            <w:tcW w:type="dxa" w:w="6400"/>
            <w:tcBorders>
              <w:top w:val="single" w:color="E8A800" w:sz="1"/>
              <w:left w:val="single" w:color="E8A800" w:sz="1"/>
              <w:bottom w:val="single" w:color="E8A800" w:sz="1"/>
              <w:right w:val="single" w:color="E8A800" w:sz="1"/>
            </w:tcBorders>
            <w:shd w:fill="FFF8EE" w:val="clear"/>
            <w:tcMar>
              <w:top w:type="dxa" w:w="80"/>
              <w:left w:type="dxa" w:w="140"/>
              <w:bottom w:type="dxa" w:w="80"/>
              <w:right w:type="dxa" w:w="140"/>
            </w:tcMar>
          </w:tcPr>
          <w:p>
            <w:pPr>
              <w:spacing w:after="0" w:before="0"/>
            </w:pPr>
            <w:r>
              <w:rPr>
                <w:rFonts w:ascii="Arial" w:cs="Arial" w:eastAsia="Arial" w:hAnsi="Arial"/>
                <w:color w:val="1A1A2E"/>
                <w:sz w:val="19"/>
                <w:szCs w:val="19"/>
              </w:rPr>
              <w:t xml:space="preserve">Named modules cannot write requires &lt;unnamed&gt; because the unnamed module has no name. Use --add-reads as a workaround.</w:t>
            </w:r>
          </w:p>
        </w:tc>
      </w:tr>
      <w:tr>
        <w:tc>
          <w:tcPr>
            <w:tcW w:type="dxa" w:w="3200"/>
            <w:tcBorders>
              <w:top w:val="single" w:color="E8A800" w:sz="1"/>
              <w:left w:val="single" w:color="E8A800" w:sz="1"/>
              <w:bottom w:val="single" w:color="E8A800" w:sz="1"/>
              <w:right w:val="single" w:color="E8A800" w:sz="1"/>
            </w:tcBorders>
            <w:shd w:fill="FFFFFF" w:val="clear"/>
            <w:tcMar>
              <w:top w:type="dxa" w:w="80"/>
              <w:left w:type="dxa" w:w="140"/>
              <w:bottom w:type="dxa" w:w="80"/>
              <w:right w:type="dxa" w:w="140"/>
            </w:tcMar>
          </w:tcPr>
          <w:p>
            <w:pPr>
              <w:spacing w:after="0" w:before="0"/>
            </w:pPr>
            <w:r>
              <w:rPr>
                <w:rFonts w:ascii="Courier New" w:cs="Courier New" w:eastAsia="Courier New" w:hAnsi="Courier New"/>
                <w:b/>
                <w:bCs/>
                <w:color w:val="8B5A00"/>
                <w:sz w:val="18"/>
                <w:szCs w:val="18"/>
              </w:rPr>
              <w:t xml:space="preserve">One per ClassLoader</w:t>
            </w:r>
          </w:p>
        </w:tc>
        <w:tc>
          <w:tcPr>
            <w:tcW w:type="dxa" w:w="6400"/>
            <w:tcBorders>
              <w:top w:val="single" w:color="E8A800" w:sz="1"/>
              <w:left w:val="single" w:color="E8A800" w:sz="1"/>
              <w:bottom w:val="single" w:color="E8A800" w:sz="1"/>
              <w:right w:val="single" w:color="E8A800" w:sz="1"/>
            </w:tcBorders>
            <w:shd w:fill="FFFFFF" w:val="clear"/>
            <w:tcMar>
              <w:top w:type="dxa" w:w="80"/>
              <w:left w:type="dxa" w:w="140"/>
              <w:bottom w:type="dxa" w:w="80"/>
              <w:right w:type="dxa" w:w="140"/>
            </w:tcMar>
          </w:tcPr>
          <w:p>
            <w:pPr>
              <w:spacing w:after="0" w:before="0"/>
            </w:pPr>
            <w:r>
              <w:rPr>
                <w:rFonts w:ascii="Arial" w:cs="Arial" w:eastAsia="Arial" w:hAnsi="Arial"/>
                <w:color w:val="1A1A2E"/>
                <w:sz w:val="19"/>
                <w:szCs w:val="19"/>
              </w:rPr>
              <w:t xml:space="preserve">In application servers with multiple ClassLoaders (WAR files, OSGI), there is one unnamed module per loader. Module isolation is per-loader.</w:t>
            </w:r>
          </w:p>
        </w:tc>
      </w:tr>
      <w:tr>
        <w:tc>
          <w:tcPr>
            <w:tcW w:type="dxa" w:w="3200"/>
            <w:tcBorders>
              <w:top w:val="single" w:color="E8A800" w:sz="1"/>
              <w:left w:val="single" w:color="E8A800" w:sz="1"/>
              <w:bottom w:val="single" w:color="E8A800" w:sz="1"/>
              <w:right w:val="single" w:color="E8A800" w:sz="1"/>
            </w:tcBorders>
            <w:shd w:fill="FFF8EE" w:val="clear"/>
            <w:tcMar>
              <w:top w:type="dxa" w:w="80"/>
              <w:left w:type="dxa" w:w="140"/>
              <w:bottom w:type="dxa" w:w="80"/>
              <w:right w:type="dxa" w:w="140"/>
            </w:tcMar>
          </w:tcPr>
          <w:p>
            <w:pPr>
              <w:spacing w:after="0" w:before="0"/>
            </w:pPr>
            <w:r>
              <w:rPr>
                <w:rFonts w:ascii="Courier New" w:cs="Courier New" w:eastAsia="Courier New" w:hAnsi="Courier New"/>
                <w:b/>
                <w:bCs/>
                <w:color w:val="8B5A00"/>
                <w:sz w:val="18"/>
                <w:szCs w:val="18"/>
              </w:rPr>
              <w:t xml:space="preserve">ALL-UNNAMED token</w:t>
            </w:r>
          </w:p>
        </w:tc>
        <w:tc>
          <w:tcPr>
            <w:tcW w:type="dxa" w:w="6400"/>
            <w:tcBorders>
              <w:top w:val="single" w:color="E8A800" w:sz="1"/>
              <w:left w:val="single" w:color="E8A800" w:sz="1"/>
              <w:bottom w:val="single" w:color="E8A800" w:sz="1"/>
              <w:right w:val="single" w:color="E8A800" w:sz="1"/>
            </w:tcBorders>
            <w:shd w:fill="FFF8EE" w:val="clear"/>
            <w:tcMar>
              <w:top w:type="dxa" w:w="80"/>
              <w:left w:type="dxa" w:w="140"/>
              <w:bottom w:type="dxa" w:w="80"/>
              <w:right w:type="dxa" w:w="140"/>
            </w:tcMar>
          </w:tcPr>
          <w:p>
            <w:pPr>
              <w:spacing w:after="0" w:before="0"/>
            </w:pPr>
            <w:r>
              <w:rPr>
                <w:rFonts w:ascii="Arial" w:cs="Arial" w:eastAsia="Arial" w:hAnsi="Arial"/>
                <w:color w:val="1A1A2E"/>
                <w:sz w:val="19"/>
                <w:szCs w:val="19"/>
              </w:rPr>
              <w:t xml:space="preserve">Use ALL-UNNAMED in --add-opens, --add-exports, --add-reads to target the unnamed module in JVM flags.</w:t>
            </w:r>
          </w:p>
        </w:tc>
      </w:tr>
    </w:tbl>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What the unnamed module looks like at runtime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Class&lt;?&gt; cls = SomeLegacyClass.class;</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Module m = cls.getModule();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System.out.println(m.isNamed());     // false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System.out.println(m.getName());     // null</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System.out.println(m);              // unnamed module @&lt;hashcode&gt;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Named module cannot use classpath types directly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If com.example.service is a named module and com.legacy.Util</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is on the classpath (unnamed module), the named module cannot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reference com.legacy.Util in source code: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error: package com.legacy is not visible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(package com.legacy is in the unnamed module,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but module com.example.service does not read the unnamed module)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Fix: move com.legacy.Util to the module path so it becomes</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an automatic module, then add requires &lt;automatic-module-name&gt;.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ALL-UNNAMED shortcut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Classpath code that calls setAccessible() on JDK internals:</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java -cp lib.jar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--add-opens java.base/java.util=ALL-UNNAMED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com.example.LegacyMain</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ALL-UNNAMED = the unnamed module = all classpath code.</w:t>
            </w:r>
          </w:p>
        </w:tc>
      </w:tr>
    </w:tbl>
    <w:p>
      <w:pPr>
        <w:spacing w:after="0" w:before="0"/>
      </w:pPr>
      <w:r>
        <w:t xml:space="preserve"/>
      </w:r>
    </w:p>
    <w:p>
      <w:pPr>
        <w:pBdr>
          <w:bottom w:val="single" w:color="E8A800" w:sz="4" w:space="1"/>
        </w:pBdr>
        <w:spacing w:after="120" w:before="360"/>
      </w:pPr>
      <w:r>
        <w:rPr>
          <w:rFonts w:ascii="Arial" w:cs="Arial" w:eastAsia="Arial" w:hAnsi="Arial"/>
          <w:b/>
          <w:bCs/>
          <w:color w:val="8B5A00"/>
          <w:sz w:val="26"/>
          <w:szCs w:val="26"/>
        </w:rPr>
        <w:t xml:space="preserve">4  </w:t>
      </w:r>
      <w:r>
        <w:rPr>
          <w:rFonts w:ascii="Arial" w:cs="Arial" w:eastAsia="Arial" w:hAnsi="Arial"/>
          <w:b/>
          <w:bCs/>
          <w:color w:val="8B5A00"/>
          <w:sz w:val="26"/>
          <w:szCs w:val="26"/>
        </w:rPr>
        <w:t xml:space="preserve">--add-exports, --add-opens, and --add-reads</w:t>
      </w:r>
    </w:p>
    <w:p>
      <w:pPr>
        <w:spacing w:after="80" w:before="80"/>
        <w:jc w:val="both"/>
      </w:pPr>
      <w:r>
        <w:rPr>
          <w:rFonts w:ascii="Arial" w:cs="Arial" w:eastAsia="Arial" w:hAnsi="Arial"/>
          <w:color w:val="1A1A2E"/>
          <w:sz w:val="22"/>
          <w:szCs w:val="22"/>
        </w:rPr>
        <w:t xml:space="preserve">These three JVM flags are emergency escape hatches that bypass module system enforcement at runtime (and compile time for --add-exports). They were introduced to smooth the migration path from Java 8 to Java 9+ when frameworks and internal JDK APIs were still adapting. They are not permanent solutions.</w:t>
      </w:r>
    </w:p>
    <w:p>
      <w:pPr>
        <w:spacing w:after="0" w:before="0"/>
      </w:pPr>
      <w: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6400"/>
      </w:tblGrid>
      <w:tr>
        <w:trPr>
          <w:tblHeader/>
        </w:trPr>
        <w:tc>
          <w:tcPr>
            <w:tcW w:type="dxa" w:w="3200"/>
            <w:tcBorders>
              <w:top w:val="single" w:color="FFFFFF" w:sz="1"/>
              <w:left w:val="single" w:color="FFFFFF" w:sz="1"/>
              <w:bottom w:val="single" w:color="FFFFFF" w:sz="1"/>
              <w:right w:val="single" w:color="FFFFFF" w:sz="1"/>
            </w:tcBorders>
            <w:shd w:fill="3B2800"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Flag</w:t>
            </w:r>
          </w:p>
        </w:tc>
        <w:tc>
          <w:tcPr>
            <w:tcW w:type="dxa" w:w="6400"/>
            <w:tcBorders>
              <w:top w:val="single" w:color="FFFFFF" w:sz="1"/>
              <w:left w:val="single" w:color="FFFFFF" w:sz="1"/>
              <w:bottom w:val="single" w:color="FFFFFF" w:sz="1"/>
              <w:right w:val="single" w:color="FFFFFF" w:sz="1"/>
            </w:tcBorders>
            <w:shd w:fill="3B2800"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Purpose</w:t>
            </w:r>
          </w:p>
        </w:tc>
      </w:tr>
      <w:tr>
        <w:tc>
          <w:tcPr>
            <w:tcW w:type="dxa" w:w="3200"/>
            <w:tcBorders>
              <w:top w:val="single" w:color="E8A800" w:sz="1"/>
              <w:left w:val="single" w:color="E8A800" w:sz="1"/>
              <w:bottom w:val="single" w:color="E8A800" w:sz="1"/>
              <w:right w:val="single" w:color="E8A800" w:sz="1"/>
            </w:tcBorders>
            <w:shd w:fill="FFFFFF" w:val="clear"/>
            <w:tcMar>
              <w:top w:type="dxa" w:w="80"/>
              <w:left w:type="dxa" w:w="140"/>
              <w:bottom w:type="dxa" w:w="80"/>
              <w:right w:type="dxa" w:w="140"/>
            </w:tcMar>
          </w:tcPr>
          <w:p>
            <w:pPr>
              <w:spacing w:after="0" w:before="0"/>
            </w:pPr>
            <w:r>
              <w:rPr>
                <w:rFonts w:ascii="Courier New" w:cs="Courier New" w:eastAsia="Courier New" w:hAnsi="Courier New"/>
                <w:b/>
                <w:bCs/>
                <w:color w:val="8B5A00"/>
                <w:sz w:val="18"/>
                <w:szCs w:val="18"/>
              </w:rPr>
              <w:t xml:space="preserve">--add-exports mod/pkg=target</w:t>
            </w:r>
          </w:p>
        </w:tc>
        <w:tc>
          <w:tcPr>
            <w:tcW w:type="dxa" w:w="6400"/>
            <w:tcBorders>
              <w:top w:val="single" w:color="E8A800" w:sz="1"/>
              <w:left w:val="single" w:color="E8A800" w:sz="1"/>
              <w:bottom w:val="single" w:color="E8A800" w:sz="1"/>
              <w:right w:val="single" w:color="E8A800" w:sz="1"/>
            </w:tcBorders>
            <w:shd w:fill="FFFFFF" w:val="clear"/>
            <w:tcMar>
              <w:top w:type="dxa" w:w="80"/>
              <w:left w:type="dxa" w:w="140"/>
              <w:bottom w:type="dxa" w:w="80"/>
              <w:right w:type="dxa" w:w="140"/>
            </w:tcMar>
          </w:tcPr>
          <w:p>
            <w:pPr>
              <w:spacing w:after="0" w:before="0"/>
            </w:pPr>
            <w:r>
              <w:rPr>
                <w:rFonts w:ascii="Arial" w:cs="Arial" w:eastAsia="Arial" w:hAnsi="Arial"/>
                <w:color w:val="1A1A2E"/>
                <w:sz w:val="19"/>
                <w:szCs w:val="19"/>
              </w:rPr>
              <w:t xml:space="preserve">Export pkg from mod to target module. Target reads public types in pkg at compile and runtime. Use when code needs a package that is not exported.</w:t>
            </w:r>
          </w:p>
        </w:tc>
      </w:tr>
      <w:tr>
        <w:tc>
          <w:tcPr>
            <w:tcW w:type="dxa" w:w="3200"/>
            <w:tcBorders>
              <w:top w:val="single" w:color="E8A800" w:sz="1"/>
              <w:left w:val="single" w:color="E8A800" w:sz="1"/>
              <w:bottom w:val="single" w:color="E8A800" w:sz="1"/>
              <w:right w:val="single" w:color="E8A800" w:sz="1"/>
            </w:tcBorders>
            <w:shd w:fill="FFF8EE" w:val="clear"/>
            <w:tcMar>
              <w:top w:type="dxa" w:w="80"/>
              <w:left w:type="dxa" w:w="140"/>
              <w:bottom w:type="dxa" w:w="80"/>
              <w:right w:type="dxa" w:w="140"/>
            </w:tcMar>
          </w:tcPr>
          <w:p>
            <w:pPr>
              <w:spacing w:after="0" w:before="0"/>
            </w:pPr>
            <w:r>
              <w:rPr>
                <w:rFonts w:ascii="Courier New" w:cs="Courier New" w:eastAsia="Courier New" w:hAnsi="Courier New"/>
                <w:b/>
                <w:bCs/>
                <w:color w:val="8B5A00"/>
                <w:sz w:val="18"/>
                <w:szCs w:val="18"/>
              </w:rPr>
              <w:t xml:space="preserve">--add-opens mod/pkg=target</w:t>
            </w:r>
          </w:p>
        </w:tc>
        <w:tc>
          <w:tcPr>
            <w:tcW w:type="dxa" w:w="6400"/>
            <w:tcBorders>
              <w:top w:val="single" w:color="E8A800" w:sz="1"/>
              <w:left w:val="single" w:color="E8A800" w:sz="1"/>
              <w:bottom w:val="single" w:color="E8A800" w:sz="1"/>
              <w:right w:val="single" w:color="E8A800" w:sz="1"/>
            </w:tcBorders>
            <w:shd w:fill="FFF8EE" w:val="clear"/>
            <w:tcMar>
              <w:top w:type="dxa" w:w="80"/>
              <w:left w:type="dxa" w:w="140"/>
              <w:bottom w:type="dxa" w:w="80"/>
              <w:right w:type="dxa" w:w="140"/>
            </w:tcMar>
          </w:tcPr>
          <w:p>
            <w:pPr>
              <w:spacing w:after="0" w:before="0"/>
            </w:pPr>
            <w:r>
              <w:rPr>
                <w:rFonts w:ascii="Arial" w:cs="Arial" w:eastAsia="Arial" w:hAnsi="Arial"/>
                <w:color w:val="1A1A2E"/>
                <w:sz w:val="19"/>
                <w:szCs w:val="19"/>
              </w:rPr>
              <w:t xml:space="preserve">Open pkg from mod to target for deep reflection (setAccessible). Use when a framework calls field.setAccessible() on unexported internals.</w:t>
            </w:r>
          </w:p>
        </w:tc>
      </w:tr>
      <w:tr>
        <w:tc>
          <w:tcPr>
            <w:tcW w:type="dxa" w:w="3200"/>
            <w:tcBorders>
              <w:top w:val="single" w:color="E8A800" w:sz="1"/>
              <w:left w:val="single" w:color="E8A800" w:sz="1"/>
              <w:bottom w:val="single" w:color="E8A800" w:sz="1"/>
              <w:right w:val="single" w:color="E8A800" w:sz="1"/>
            </w:tcBorders>
            <w:shd w:fill="FFFFFF" w:val="clear"/>
            <w:tcMar>
              <w:top w:type="dxa" w:w="80"/>
              <w:left w:type="dxa" w:w="140"/>
              <w:bottom w:type="dxa" w:w="80"/>
              <w:right w:type="dxa" w:w="140"/>
            </w:tcMar>
          </w:tcPr>
          <w:p>
            <w:pPr>
              <w:spacing w:after="0" w:before="0"/>
            </w:pPr>
            <w:r>
              <w:rPr>
                <w:rFonts w:ascii="Courier New" w:cs="Courier New" w:eastAsia="Courier New" w:hAnsi="Courier New"/>
                <w:b/>
                <w:bCs/>
                <w:color w:val="8B5A00"/>
                <w:sz w:val="18"/>
                <w:szCs w:val="18"/>
              </w:rPr>
              <w:t xml:space="preserve">--add-reads mod=target</w:t>
            </w:r>
          </w:p>
        </w:tc>
        <w:tc>
          <w:tcPr>
            <w:tcW w:type="dxa" w:w="6400"/>
            <w:tcBorders>
              <w:top w:val="single" w:color="E8A800" w:sz="1"/>
              <w:left w:val="single" w:color="E8A800" w:sz="1"/>
              <w:bottom w:val="single" w:color="E8A800" w:sz="1"/>
              <w:right w:val="single" w:color="E8A800" w:sz="1"/>
            </w:tcBorders>
            <w:shd w:fill="FFFFFF" w:val="clear"/>
            <w:tcMar>
              <w:top w:type="dxa" w:w="80"/>
              <w:left w:type="dxa" w:w="140"/>
              <w:bottom w:type="dxa" w:w="80"/>
              <w:right w:type="dxa" w:w="140"/>
            </w:tcMar>
          </w:tcPr>
          <w:p>
            <w:pPr>
              <w:spacing w:after="0" w:before="0"/>
            </w:pPr>
            <w:r>
              <w:rPr>
                <w:rFonts w:ascii="Arial" w:cs="Arial" w:eastAsia="Arial" w:hAnsi="Arial"/>
                <w:color w:val="1A1A2E"/>
                <w:sz w:val="19"/>
                <w:szCs w:val="19"/>
              </w:rPr>
              <w:t xml:space="preserve">Add a readability edge from mod to target. Allows mod to use target's exported packages. Use when a named module needs to read the unnamed module.</w:t>
            </w:r>
          </w:p>
        </w:tc>
      </w:tr>
      <w:tr>
        <w:tc>
          <w:tcPr>
            <w:tcW w:type="dxa" w:w="3200"/>
            <w:tcBorders>
              <w:top w:val="single" w:color="E8A800" w:sz="1"/>
              <w:left w:val="single" w:color="E8A800" w:sz="1"/>
              <w:bottom w:val="single" w:color="E8A800" w:sz="1"/>
              <w:right w:val="single" w:color="E8A800" w:sz="1"/>
            </w:tcBorders>
            <w:shd w:fill="FFF8EE" w:val="clear"/>
            <w:tcMar>
              <w:top w:type="dxa" w:w="80"/>
              <w:left w:type="dxa" w:w="140"/>
              <w:bottom w:type="dxa" w:w="80"/>
              <w:right w:type="dxa" w:w="140"/>
            </w:tcMar>
          </w:tcPr>
          <w:p>
            <w:pPr>
              <w:spacing w:after="0" w:before="0"/>
            </w:pPr>
            <w:r>
              <w:rPr>
                <w:rFonts w:ascii="Courier New" w:cs="Courier New" w:eastAsia="Courier New" w:hAnsi="Courier New"/>
                <w:b/>
                <w:bCs/>
                <w:color w:val="8B5A00"/>
                <w:sz w:val="18"/>
                <w:szCs w:val="18"/>
              </w:rPr>
              <w:t xml:space="preserve">ALL-UNNAMED</w:t>
            </w:r>
          </w:p>
        </w:tc>
        <w:tc>
          <w:tcPr>
            <w:tcW w:type="dxa" w:w="6400"/>
            <w:tcBorders>
              <w:top w:val="single" w:color="E8A800" w:sz="1"/>
              <w:left w:val="single" w:color="E8A800" w:sz="1"/>
              <w:bottom w:val="single" w:color="E8A800" w:sz="1"/>
              <w:right w:val="single" w:color="E8A800" w:sz="1"/>
            </w:tcBorders>
            <w:shd w:fill="FFF8EE" w:val="clear"/>
            <w:tcMar>
              <w:top w:type="dxa" w:w="80"/>
              <w:left w:type="dxa" w:w="140"/>
              <w:bottom w:type="dxa" w:w="80"/>
              <w:right w:type="dxa" w:w="140"/>
            </w:tcMar>
          </w:tcPr>
          <w:p>
            <w:pPr>
              <w:spacing w:after="0" w:before="0"/>
            </w:pPr>
            <w:r>
              <w:rPr>
                <w:rFonts w:ascii="Arial" w:cs="Arial" w:eastAsia="Arial" w:hAnsi="Arial"/>
                <w:color w:val="1A1A2E"/>
                <w:sz w:val="19"/>
                <w:szCs w:val="19"/>
              </w:rPr>
              <w:t xml:space="preserve">Special token meaning 'the unnamed module' (all classpath code). Use as the target when classpath code is the requester.</w:t>
            </w:r>
          </w:p>
        </w:tc>
      </w:tr>
      <w:tr>
        <w:tc>
          <w:tcPr>
            <w:tcW w:type="dxa" w:w="3200"/>
            <w:tcBorders>
              <w:top w:val="single" w:color="E8A800" w:sz="1"/>
              <w:left w:val="single" w:color="E8A800" w:sz="1"/>
              <w:bottom w:val="single" w:color="E8A800" w:sz="1"/>
              <w:right w:val="single" w:color="E8A800" w:sz="1"/>
            </w:tcBorders>
            <w:shd w:fill="FFFFFF" w:val="clear"/>
            <w:tcMar>
              <w:top w:type="dxa" w:w="80"/>
              <w:left w:type="dxa" w:w="140"/>
              <w:bottom w:type="dxa" w:w="80"/>
              <w:right w:type="dxa" w:w="140"/>
            </w:tcMar>
          </w:tcPr>
          <w:p>
            <w:pPr>
              <w:spacing w:after="0" w:before="0"/>
            </w:pPr>
            <w:r>
              <w:rPr>
                <w:rFonts w:ascii="Courier New" w:cs="Courier New" w:eastAsia="Courier New" w:hAnsi="Courier New"/>
                <w:b/>
                <w:bCs/>
                <w:color w:val="8B5A00"/>
                <w:sz w:val="18"/>
                <w:szCs w:val="18"/>
              </w:rPr>
              <w:t xml:space="preserve">ALL-MODULES</w:t>
            </w:r>
          </w:p>
        </w:tc>
        <w:tc>
          <w:tcPr>
            <w:tcW w:type="dxa" w:w="6400"/>
            <w:tcBorders>
              <w:top w:val="single" w:color="E8A800" w:sz="1"/>
              <w:left w:val="single" w:color="E8A800" w:sz="1"/>
              <w:bottom w:val="single" w:color="E8A800" w:sz="1"/>
              <w:right w:val="single" w:color="E8A800" w:sz="1"/>
            </w:tcBorders>
            <w:shd w:fill="FFFFFF" w:val="clear"/>
            <w:tcMar>
              <w:top w:type="dxa" w:w="80"/>
              <w:left w:type="dxa" w:w="140"/>
              <w:bottom w:type="dxa" w:w="80"/>
              <w:right w:type="dxa" w:w="140"/>
            </w:tcMar>
          </w:tcPr>
          <w:p>
            <w:pPr>
              <w:spacing w:after="0" w:before="0"/>
            </w:pPr>
            <w:r>
              <w:rPr>
                <w:rFonts w:ascii="Arial" w:cs="Arial" w:eastAsia="Arial" w:hAnsi="Arial"/>
                <w:color w:val="1A1A2E"/>
                <w:sz w:val="19"/>
                <w:szCs w:val="19"/>
              </w:rPr>
              <w:t xml:space="preserve">Special token meaning 'every module'. Use as the target to grant access to all modules (very broad; use only in extreme cases).</w:t>
            </w:r>
          </w:p>
        </w:tc>
      </w:tr>
    </w:tbl>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 --add-opens: most common flag for framework compatibility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Grants Hibernate reflection on java.util:</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java --add-opens java.base/java.util=ALL-UNNAMED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-jar myapp.jar</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Grant Spring access to sun.reflect.Reflection (legacy):</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java --add-opens java.base/sun.reflect=ALL-UNNAMED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--add-opens java.base/java.lang=ALL-UNNAMED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-jar myapp.jar</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 --add-exports: expose internal package to classpath code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java --add-exports java.base/sun.misc=ALL-UNNAMED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-jar myapp.jar</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 --add-reads: let named module read unnamed (classpath)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java --add-reads com.example.service=ALL-UNNAMED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--module-path mods -jar myapp.jar</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 Multiple flags on one line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java --add-opens java.base/java.lang=ALL-UNNAMED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--add-opens java.base/java.util=ALL-UNNAMED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--add-opens java.base/java.lang.reflect=ALL-UNNAMED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--add-exports java.base/sun.misc=ALL-UNNAMED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-jar myapp.jar</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 Maven Surefire: add opens for unit tests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In pom.xml &lt;build&gt;&lt;plugins&gt;&lt;plugin&gt;(maven-surefire-plugin):</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&lt;configuration&gt;</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&lt;argLine&gt;</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--add-opens java.base/java.util=ALL-UNNAMED</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--add-opens java.base/java.lang=ALL-UNNAMED</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&lt;/argLine&gt;</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&lt;/configuration&gt;</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 Compile-time --add-exports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javac --add-exports java.base/sun.misc=com.example.service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--module-source-path src -d mods $(find src -name '*.java')</w:t>
            </w:r>
          </w:p>
        </w:tc>
      </w:tr>
    </w:tbl>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0392B" w:sz="1"/>
              <w:left w:val="thick" w:color="C0392B" w:sz="12"/>
              <w:bottom w:val="single" w:color="C0392B" w:sz="1"/>
              <w:right w:val="single" w:color="C0392B" w:sz="1"/>
            </w:tcBorders>
            <w:shd w:fill="FDF2F2" w:val="clear"/>
            <w:tcMar>
              <w:top w:type="dxa" w:w="100"/>
              <w:left w:type="dxa" w:w="220"/>
              <w:bottom w:type="dxa" w:w="100"/>
              <w:right w:type="dxa" w:w="220"/>
            </w:tcMar>
          </w:tcPr>
          <w:p>
            <w:pPr>
              <w:spacing w:after="0" w:before="0"/>
            </w:pPr>
            <w:r>
              <w:rPr>
                <w:rFonts w:ascii="Arial" w:cs="Arial" w:eastAsia="Arial" w:hAnsi="Arial"/>
                <w:b/>
                <w:bCs/>
                <w:color w:val="C0392B"/>
                <w:sz w:val="20"/>
                <w:szCs w:val="20"/>
              </w:rPr>
              <w:t xml:space="preserve">Strategy:  </w:t>
            </w:r>
            <w:r>
              <w:rPr>
                <w:rFonts w:ascii="Arial" w:cs="Arial" w:eastAsia="Arial" w:hAnsi="Arial"/>
                <w:color w:val="7B241C"/>
                <w:sz w:val="20"/>
                <w:szCs w:val="20"/>
              </w:rPr>
              <w:t xml:space="preserve">Each --add-opens or --add-exports in your startup script is a TODO item. The correct long-term fix is to replace it with a opens ... to or exports ... to declaration in the relevant module-info.java. Track these flags in a comment with a ticket number and resolve them incrementally.</w:t>
            </w:r>
          </w:p>
        </w:tc>
      </w:tr>
    </w:tbl>
    <w:p>
      <w:pPr>
        <w:spacing w:after="0" w:before="0"/>
      </w:pPr>
      <w:r>
        <w:t xml:space="preserve"/>
      </w:r>
    </w:p>
    <w:p>
      <w:pPr>
        <w:pBdr>
          <w:bottom w:val="single" w:color="E8A800" w:sz="4" w:space="1"/>
        </w:pBdr>
        <w:spacing w:after="120" w:before="360"/>
      </w:pPr>
      <w:r>
        <w:rPr>
          <w:rFonts w:ascii="Arial" w:cs="Arial" w:eastAsia="Arial" w:hAnsi="Arial"/>
          <w:b/>
          <w:bCs/>
          <w:color w:val="8B5A00"/>
          <w:sz w:val="26"/>
          <w:szCs w:val="26"/>
        </w:rPr>
        <w:t xml:space="preserve">5  </w:t>
      </w:r>
      <w:r>
        <w:rPr>
          <w:rFonts w:ascii="Arial" w:cs="Arial" w:eastAsia="Arial" w:hAnsi="Arial"/>
          <w:b/>
          <w:bCs/>
          <w:color w:val="8B5A00"/>
          <w:sz w:val="26"/>
          <w:szCs w:val="26"/>
        </w:rPr>
        <w:t xml:space="preserve">Split Packages</w:t>
      </w:r>
    </w:p>
    <w:p>
      <w:pPr>
        <w:spacing w:after="80" w:before="80"/>
        <w:jc w:val="both"/>
      </w:pPr>
      <w:r>
        <w:rPr>
          <w:rFonts w:ascii="Arial" w:cs="Arial" w:eastAsia="Arial" w:hAnsi="Arial"/>
          <w:color w:val="1A1A2E"/>
          <w:sz w:val="22"/>
          <w:szCs w:val="22"/>
        </w:rPr>
        <w:t xml:space="preserve">A split package exists when the same package name appears in two or more modules (or JARs on the module path). The module system forbids split packages between named modules and treats them as a fatal startup error. This is the single most common blocker when migrating legacy applications to the module path.</w:t>
      </w:r>
    </w:p>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What split packages look like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module-A.jar:  contains com/example/util/StringUtils.class</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module-B.jar:  contains com/example/util/NumberUtils.class</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Both export com.example.util.</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On the module path: startup fails immediately:</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Error: java.lang.LayerInstantiationException:</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Package com.example.util in both module module.a and module module.b</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On the classpath: no error (whichever comes first on the path wins).</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This is why split packages silently cause wrong-class-loaded bugs</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in pre-Java-9 classpath applications.</w:t>
            </w:r>
          </w:p>
        </w:tc>
      </w:tr>
    </w:tbl>
    <w:p>
      <w:pPr>
        <w:spacing w:after="0" w:before="0"/>
      </w:pPr>
      <w:r>
        <w:t xml:space="preserve"/>
      </w:r>
    </w:p>
    <w:p>
      <w:pPr>
        <w:spacing w:after="80" w:before="240"/>
      </w:pPr>
      <w:r>
        <w:rPr>
          <w:rFonts w:ascii="Arial" w:cs="Arial" w:eastAsia="Arial" w:hAnsi="Arial"/>
          <w:b/>
          <w:bCs/>
          <w:color w:val="3B2800"/>
          <w:sz w:val="22"/>
          <w:szCs w:val="22"/>
        </w:rPr>
        <w:t xml:space="preserve">Finding split packages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 jdeps: most direct split package finder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jdeps --multi-release 17 -cp 'lib/*' myapp.jar 2&gt;&amp;1 | grep -i split</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 List all packages in all JARs and find duplicates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for jar in lib/*.jar; do</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jar tf $jar | grep '/$' | sed 's|/|.|g' | sed 's/\.$//;/^$/d'</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echo "--- $jar"</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done | sort | uniq -d</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 Maven: print all JARs contributing a specific package ─────</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mvn dependency:build-classpath -Dmdep.outputFile=/tmp/cp.txt</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for jar in $(cat /tmp/cp.txt | tr ':' ' '); do</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if jar tf $jar 2&gt;/dev/null | grep -q 'com/example/util/'; then</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echo $jar</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  fi</w:t>
            </w:r>
          </w:p>
        </w:tc>
      </w:tr>
      <w:tr>
        <w:tc>
          <w:tcPr>
            <w:tcW w:type="dxa" w:w="9200"/>
            <w:tcBorders>
              <w:top w:val="none" w:color="FFFFFF" w:sz="0"/>
              <w:left w:val="none" w:color="FFFFFF" w:sz="0"/>
              <w:bottom w:val="none" w:color="FFFFFF" w:sz="0"/>
              <w:right w:val="none" w:color="FFFFFF" w:sz="0"/>
            </w:tcBorders>
            <w:shd w:fill="0D1117" w:val="clear"/>
            <w:tcMar>
              <w:top w:type="dxa" w:w="10"/>
              <w:left w:type="dxa" w:w="240"/>
              <w:bottom w:type="dxa" w:w="10"/>
              <w:right w:type="dxa" w:w="240"/>
            </w:tcMar>
          </w:tcPr>
          <w:p>
            <w:pPr>
              <w:spacing w:after="0" w:before="0"/>
            </w:pPr>
            <w:r>
              <w:rPr>
                <w:rFonts w:ascii="Courier New" w:cs="Courier New" w:eastAsia="Courier New" w:hAnsi="Courier New"/>
                <w:color w:val="58A6FF"/>
                <w:sz w:val="18"/>
                <w:szCs w:val="18"/>
              </w:rPr>
              <w:t xml:space="preserve">done</w:t>
            </w:r>
          </w:p>
        </w:tc>
      </w:tr>
    </w:tbl>
    <w:p>
      <w:pPr>
        <w:spacing w:after="0" w:before="0"/>
      </w:pPr>
      <w:r>
        <w:t xml:space="preserve"/>
      </w:r>
    </w:p>
    <w:p>
      <w:pPr>
        <w:spacing w:after="80" w:before="240"/>
      </w:pPr>
      <w:r>
        <w:rPr>
          <w:rFonts w:ascii="Arial" w:cs="Arial" w:eastAsia="Arial" w:hAnsi="Arial"/>
          <w:b/>
          <w:bCs/>
          <w:color w:val="3B2800"/>
          <w:sz w:val="22"/>
          <w:szCs w:val="22"/>
        </w:rPr>
        <w:t xml:space="preserve">Resolving split packages — three strategies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Strategy 1: Consolidate into one module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Merge the split packages into a single JAR/module.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Best option if you own both JARs.</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Before: module-a.jar has com.example.util.StringUtils</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module-b.jar has com.example.util.NumberUtils</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After:  combined.jar has both (one module, one package)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Strategy 2: Rename the package in one module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If you own one of the JARs, rename the conflicting package.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Before: com.example.util.NumberUtils (in module-b)</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After:  com.example.numbers.NumberUtils (no conflict)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Update all imports across the codebase.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Strategy 3: Keep one on classpath (unnamed module)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If you don't own the JARs and cannot merge them,</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keep one JAR on the classpath (unnamed module) and the other</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on the module path. The unnamed module and named modules</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can have overlapping package names without a startup error.</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java --module-path module-a.jar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-cp module-b.jar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--module com.example.app/Main</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Downside: code in module-a cannot use types from module-b</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(named modules cannot read unnamed module without --add-reads).</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Important: split packages between unnamed and named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The unnamed module CAN have packages that overlap with named modules.</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This is allowed and is how legacy classpath JARs can coexist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with modularised code. Only splits between two NAMED modules are fatal.</w:t>
            </w:r>
          </w:p>
        </w:tc>
      </w:tr>
    </w:tbl>
    <w:p>
      <w:pPr>
        <w:spacing w:after="0" w:before="0"/>
      </w:pPr>
      <w:r>
        <w:t xml:space="preserve"/>
      </w:r>
    </w:p>
    <w:p>
      <w:pPr>
        <w:pBdr>
          <w:bottom w:val="single" w:color="E8A800" w:sz="4" w:space="1"/>
        </w:pBdr>
        <w:spacing w:after="120" w:before="360"/>
      </w:pPr>
      <w:r>
        <w:rPr>
          <w:rFonts w:ascii="Arial" w:cs="Arial" w:eastAsia="Arial" w:hAnsi="Arial"/>
          <w:b/>
          <w:bCs/>
          <w:color w:val="8B5A00"/>
          <w:sz w:val="26"/>
          <w:szCs w:val="26"/>
        </w:rPr>
        <w:t xml:space="preserve">6  </w:t>
      </w:r>
      <w:r>
        <w:rPr>
          <w:rFonts w:ascii="Arial" w:cs="Arial" w:eastAsia="Arial" w:hAnsi="Arial"/>
          <w:b/>
          <w:bCs/>
          <w:color w:val="8B5A00"/>
          <w:sz w:val="26"/>
          <w:szCs w:val="26"/>
        </w:rPr>
        <w:t xml:space="preserve">Reflection-Heavy Frameworks: Spring, Hibernate, Jackson</w:t>
      </w:r>
    </w:p>
    <w:p>
      <w:pPr>
        <w:spacing w:after="80" w:before="80"/>
        <w:jc w:val="both"/>
      </w:pPr>
      <w:r>
        <w:rPr>
          <w:rFonts w:ascii="Arial" w:cs="Arial" w:eastAsia="Arial" w:hAnsi="Arial"/>
          <w:color w:val="1A1A2E"/>
          <w:sz w:val="22"/>
          <w:szCs w:val="22"/>
        </w:rPr>
        <w:t xml:space="preserve">The most common source of InaccessibleObjectException and IllegalAccessException errors when migrating to JPMS is frameworks that use reflection to scan classes, inject dependencies, map entities, or serialize objects. Each framework has a different set of packages it needs to reflect on, and each needs explicit opens ... to declarations.</w:t>
      </w:r>
    </w:p>
    <w:p>
      <w:pPr>
        <w:spacing w:after="0" w:before="0"/>
      </w:pPr>
      <w:r>
        <w:t xml:space="preserve"/>
      </w:r>
    </w:p>
    <w:p>
      <w:pPr>
        <w:spacing w:after="80" w:before="240"/>
      </w:pPr>
      <w:r>
        <w:rPr>
          <w:rFonts w:ascii="Arial" w:cs="Arial" w:eastAsia="Arial" w:hAnsi="Arial"/>
          <w:b/>
          <w:bCs/>
          <w:color w:val="3B2800"/>
          <w:sz w:val="22"/>
          <w:szCs w:val="22"/>
        </w:rPr>
        <w:t xml:space="preserve">Spring Boot complete opens configuration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module com.example.app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Spring framework modules:</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requires spring.core;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requires spring.beans;</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requires spring.context;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requires spring.web;</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requires spring.webmvc;</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requires spring.tx;</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requires spring.data.jpa;</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Spring needs to scan @Component, @Service, process @Autowired,</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create AOP proxies, and instantiate @Configuration classes:</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opens com.example.app</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to spring.core,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spring.beans,</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spring.context;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If using @Controller / @RestController:</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opens com.example.app.web</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to spring.web,</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spring.webmvc;</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Alternatively: use --add-opens in JVM args during migration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(add to spring-boot-maven-plugin configuration):</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--add-opens java.base/java.lang=ALL-UNNAMED</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--add-opens java.base/java.util=ALL-UNNAMED</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Spring Boot 3.x on Java 17+ requires fewer opens because it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no longer uses sun.reflect.* (uses java.lang.reflect.* instead).</w:t>
            </w:r>
          </w:p>
        </w:tc>
      </w:tr>
    </w:tbl>
    <w:p>
      <w:pPr>
        <w:spacing w:after="0" w:before="0"/>
      </w:pPr>
      <w:r>
        <w:t xml:space="preserve"/>
      </w:r>
    </w:p>
    <w:p>
      <w:pPr>
        <w:spacing w:after="80" w:before="240"/>
      </w:pPr>
      <w:r>
        <w:rPr>
          <w:rFonts w:ascii="Arial" w:cs="Arial" w:eastAsia="Arial" w:hAnsi="Arial"/>
          <w:b/>
          <w:bCs/>
          <w:color w:val="3B2800"/>
          <w:sz w:val="22"/>
          <w:szCs w:val="22"/>
        </w:rPr>
        <w:t xml:space="preserve">Hibernate / JPA opens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module com.example.app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requires org.hibernate.orm.core;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requires jakarta.persistence;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Hibernate maps entity fields (reads private fields, setters):</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opens com.example.app.entity</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to org.hibernate.orm.core,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jakarta.persistence;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Hibernate also needs java.base packages opened by the JVM:</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Add to JVM startup args:</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--add-opens java.base/java.util=org.hibernate.orm.core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--add-opens java.base/java.lang=org.hibernate.orm.core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w:t>
            </w:r>
          </w:p>
        </w:tc>
      </w:tr>
    </w:tbl>
    <w:p>
      <w:pPr>
        <w:spacing w:after="0" w:before="0"/>
      </w:pPr>
      <w:r>
        <w:t xml:space="preserve"/>
      </w:r>
    </w:p>
    <w:p>
      <w:pPr>
        <w:spacing w:after="80" w:before="240"/>
      </w:pPr>
      <w:r>
        <w:rPr>
          <w:rFonts w:ascii="Arial" w:cs="Arial" w:eastAsia="Arial" w:hAnsi="Arial"/>
          <w:b/>
          <w:bCs/>
          <w:color w:val="3B2800"/>
          <w:sz w:val="22"/>
          <w:szCs w:val="22"/>
        </w:rPr>
        <w:t xml:space="preserve">Jackson serialization opens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module com.example.app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requires com.fasterxml.jackson.databind;</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requires com.fasterxml.jackson.core;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Jackson reads field values and calls constructors via reflection:</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opens com.example.app.dto</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to com.fasterxml.jackson.databind;</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If Jackson needs to serialize entities directly:</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opens com.example.app.entity</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to com.fasterxml.jackson.databind;</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Register Jackson modules in Spring Boot: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Jackson auto-discovers modules via ServiceLoader;</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no special module-info configuration needed for that.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w:t>
            </w:r>
          </w:p>
        </w:tc>
      </w:tr>
    </w:tbl>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8B5A00" w:sz="1"/>
              <w:left w:val="thick" w:color="8B5A00" w:sz="12"/>
              <w:bottom w:val="single" w:color="8B5A00" w:sz="1"/>
              <w:right w:val="single" w:color="8B5A00" w:sz="1"/>
            </w:tcBorders>
            <w:shd w:fill="FEFCE8" w:val="clear"/>
            <w:tcMar>
              <w:top w:type="dxa" w:w="100"/>
              <w:left w:type="dxa" w:w="220"/>
              <w:bottom w:type="dxa" w:w="100"/>
              <w:right w:type="dxa" w:w="220"/>
            </w:tcMar>
          </w:tcPr>
          <w:p>
            <w:pPr>
              <w:spacing w:after="0" w:before="0"/>
            </w:pPr>
            <w:r>
              <w:rPr>
                <w:rFonts w:ascii="Arial" w:cs="Arial" w:eastAsia="Arial" w:hAnsi="Arial"/>
                <w:b/>
                <w:bCs/>
                <w:color w:val="8B5A00"/>
                <w:sz w:val="20"/>
                <w:szCs w:val="20"/>
              </w:rPr>
              <w:t xml:space="preserve">Tip:  </w:t>
            </w:r>
            <w:r>
              <w:rPr>
                <w:rFonts w:ascii="Arial" w:cs="Arial" w:eastAsia="Arial" w:hAnsi="Arial"/>
                <w:color w:val="3B2800"/>
                <w:sz w:val="20"/>
                <w:szCs w:val="20"/>
              </w:rPr>
              <w:t xml:space="preserve">Start with open module (fully open) during initial migration, then replace each open with targeted opens ... to declarations one package at a time. This lets the application run immediately while you tighten the reflection surface incrementally.</w:t>
            </w:r>
          </w:p>
        </w:tc>
      </w:tr>
    </w:tbl>
    <w:p>
      <w:pPr>
        <w:spacing w:after="0" w:before="0"/>
      </w:pPr>
      <w:r>
        <w:t xml:space="preserve"/>
      </w:r>
    </w:p>
    <w:p>
      <w:pPr>
        <w:pBdr>
          <w:bottom w:val="single" w:color="E8A800" w:sz="4" w:space="1"/>
        </w:pBdr>
        <w:spacing w:after="120" w:before="360"/>
      </w:pPr>
      <w:r>
        <w:rPr>
          <w:rFonts w:ascii="Arial" w:cs="Arial" w:eastAsia="Arial" w:hAnsi="Arial"/>
          <w:b/>
          <w:bCs/>
          <w:color w:val="8B5A00"/>
          <w:sz w:val="26"/>
          <w:szCs w:val="26"/>
        </w:rPr>
        <w:t xml:space="preserve">7  </w:t>
      </w:r>
      <w:r>
        <w:rPr>
          <w:rFonts w:ascii="Arial" w:cs="Arial" w:eastAsia="Arial" w:hAnsi="Arial"/>
          <w:b/>
          <w:bCs/>
          <w:color w:val="8B5A00"/>
          <w:sz w:val="26"/>
          <w:szCs w:val="26"/>
        </w:rPr>
        <w:t xml:space="preserve">Why Many Projects Still Use Classpath Mode</w:t>
      </w:r>
    </w:p>
    <w:p>
      <w:pPr>
        <w:spacing w:after="80" w:before="80"/>
        <w:jc w:val="both"/>
      </w:pPr>
      <w:r>
        <w:rPr>
          <w:rFonts w:ascii="Arial" w:cs="Arial" w:eastAsia="Arial" w:hAnsi="Arial"/>
          <w:color w:val="1A1A2E"/>
          <w:sz w:val="22"/>
          <w:szCs w:val="22"/>
        </w:rPr>
        <w:t xml:space="preserve">Despite JPMS being available since Java 9 (2017), the majority of production Java applications as of 2024 still run entirely on the classpath. This is a pragmatic choice, not a technical failure. The reasons are real and significant.</w:t>
      </w:r>
    </w:p>
    <w:p>
      <w:pPr>
        <w:spacing w:after="0" w:before="0"/>
      </w:pPr>
      <w: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6400"/>
      </w:tblGrid>
      <w:tr>
        <w:trPr>
          <w:tblHeader/>
        </w:trPr>
        <w:tc>
          <w:tcPr>
            <w:tcW w:type="dxa" w:w="3200"/>
            <w:tcBorders>
              <w:top w:val="single" w:color="FFFFFF" w:sz="1"/>
              <w:left w:val="single" w:color="FFFFFF" w:sz="1"/>
              <w:bottom w:val="single" w:color="FFFFFF" w:sz="1"/>
              <w:right w:val="single" w:color="FFFFFF" w:sz="1"/>
            </w:tcBorders>
            <w:shd w:fill="3B2800"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Reason</w:t>
            </w:r>
          </w:p>
        </w:tc>
        <w:tc>
          <w:tcPr>
            <w:tcW w:type="dxa" w:w="6400"/>
            <w:tcBorders>
              <w:top w:val="single" w:color="FFFFFF" w:sz="1"/>
              <w:left w:val="single" w:color="FFFFFF" w:sz="1"/>
              <w:bottom w:val="single" w:color="FFFFFF" w:sz="1"/>
              <w:right w:val="single" w:color="FFFFFF" w:sz="1"/>
            </w:tcBorders>
            <w:shd w:fill="3B2800"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Explanation</w:t>
            </w:r>
          </w:p>
        </w:tc>
      </w:tr>
      <w:tr>
        <w:tc>
          <w:tcPr>
            <w:tcW w:type="dxa" w:w="3200"/>
            <w:tcBorders>
              <w:top w:val="single" w:color="E8A800" w:sz="1"/>
              <w:left w:val="single" w:color="E8A800" w:sz="1"/>
              <w:bottom w:val="single" w:color="E8A800" w:sz="1"/>
              <w:right w:val="single" w:color="E8A800" w:sz="1"/>
            </w:tcBorders>
            <w:shd w:fill="FFFFFF" w:val="clear"/>
            <w:tcMar>
              <w:top w:type="dxa" w:w="80"/>
              <w:left w:type="dxa" w:w="140"/>
              <w:bottom w:type="dxa" w:w="80"/>
              <w:right w:type="dxa" w:w="140"/>
            </w:tcMar>
          </w:tcPr>
          <w:p>
            <w:pPr>
              <w:spacing w:after="0" w:before="0"/>
            </w:pPr>
            <w:r>
              <w:rPr>
                <w:rFonts w:ascii="Courier New" w:cs="Courier New" w:eastAsia="Courier New" w:hAnsi="Courier New"/>
                <w:b/>
                <w:bCs/>
                <w:color w:val="8B5A00"/>
                <w:sz w:val="18"/>
                <w:szCs w:val="18"/>
              </w:rPr>
              <w:t xml:space="preserve">Split packages in dependencies</w:t>
            </w:r>
          </w:p>
        </w:tc>
        <w:tc>
          <w:tcPr>
            <w:tcW w:type="dxa" w:w="6400"/>
            <w:tcBorders>
              <w:top w:val="single" w:color="E8A800" w:sz="1"/>
              <w:left w:val="single" w:color="E8A800" w:sz="1"/>
              <w:bottom w:val="single" w:color="E8A800" w:sz="1"/>
              <w:right w:val="single" w:color="E8A800" w:sz="1"/>
            </w:tcBorders>
            <w:shd w:fill="FFFFFF" w:val="clear"/>
            <w:tcMar>
              <w:top w:type="dxa" w:w="80"/>
              <w:left w:type="dxa" w:w="140"/>
              <w:bottom w:type="dxa" w:w="80"/>
              <w:right w:type="dxa" w:w="140"/>
            </w:tcMar>
          </w:tcPr>
          <w:p>
            <w:pPr>
              <w:spacing w:after="0" w:before="0"/>
            </w:pPr>
            <w:r>
              <w:rPr>
                <w:rFonts w:ascii="Arial" w:cs="Arial" w:eastAsia="Arial" w:hAnsi="Arial"/>
                <w:color w:val="1A1A2E"/>
                <w:sz w:val="19"/>
                <w:szCs w:val="19"/>
              </w:rPr>
              <w:t xml:space="preserve">Many popular libraries historically ship JARs that share a package. Spring Framework, Apache Commons, and others had split packages that took years to resolve. Until all transitive dependencies are split-package-free, full modularisation is blocked.</w:t>
            </w:r>
          </w:p>
        </w:tc>
      </w:tr>
      <w:tr>
        <w:tc>
          <w:tcPr>
            <w:tcW w:type="dxa" w:w="3200"/>
            <w:tcBorders>
              <w:top w:val="single" w:color="E8A800" w:sz="1"/>
              <w:left w:val="single" w:color="E8A800" w:sz="1"/>
              <w:bottom w:val="single" w:color="E8A800" w:sz="1"/>
              <w:right w:val="single" w:color="E8A800" w:sz="1"/>
            </w:tcBorders>
            <w:shd w:fill="FFF8EE" w:val="clear"/>
            <w:tcMar>
              <w:top w:type="dxa" w:w="80"/>
              <w:left w:type="dxa" w:w="140"/>
              <w:bottom w:type="dxa" w:w="80"/>
              <w:right w:type="dxa" w:w="140"/>
            </w:tcMar>
          </w:tcPr>
          <w:p>
            <w:pPr>
              <w:spacing w:after="0" w:before="0"/>
            </w:pPr>
            <w:r>
              <w:rPr>
                <w:rFonts w:ascii="Courier New" w:cs="Courier New" w:eastAsia="Courier New" w:hAnsi="Courier New"/>
                <w:b/>
                <w:bCs/>
                <w:color w:val="8B5A00"/>
                <w:sz w:val="18"/>
                <w:szCs w:val="18"/>
              </w:rPr>
              <w:t xml:space="preserve">Reflection-heavy frameworks</w:t>
            </w:r>
          </w:p>
        </w:tc>
        <w:tc>
          <w:tcPr>
            <w:tcW w:type="dxa" w:w="6400"/>
            <w:tcBorders>
              <w:top w:val="single" w:color="E8A800" w:sz="1"/>
              <w:left w:val="single" w:color="E8A800" w:sz="1"/>
              <w:bottom w:val="single" w:color="E8A800" w:sz="1"/>
              <w:right w:val="single" w:color="E8A800" w:sz="1"/>
            </w:tcBorders>
            <w:shd w:fill="FFF8EE" w:val="clear"/>
            <w:tcMar>
              <w:top w:type="dxa" w:w="80"/>
              <w:left w:type="dxa" w:w="140"/>
              <w:bottom w:type="dxa" w:w="80"/>
              <w:right w:type="dxa" w:w="140"/>
            </w:tcMar>
          </w:tcPr>
          <w:p>
            <w:pPr>
              <w:spacing w:after="0" w:before="0"/>
            </w:pPr>
            <w:r>
              <w:rPr>
                <w:rFonts w:ascii="Arial" w:cs="Arial" w:eastAsia="Arial" w:hAnsi="Arial"/>
                <w:color w:val="1A1A2E"/>
                <w:sz w:val="19"/>
                <w:szCs w:val="19"/>
              </w:rPr>
              <w:t xml:space="preserve">Spring, Hibernate, Jackson, JAXB, and others use extensive reflection. Each requires opens declarations that must be maintained and updated as the framework evolves. This is ongoing work, not a one-time migration.</w:t>
            </w:r>
          </w:p>
        </w:tc>
      </w:tr>
      <w:tr>
        <w:tc>
          <w:tcPr>
            <w:tcW w:type="dxa" w:w="3200"/>
            <w:tcBorders>
              <w:top w:val="single" w:color="E8A800" w:sz="1"/>
              <w:left w:val="single" w:color="E8A800" w:sz="1"/>
              <w:bottom w:val="single" w:color="E8A800" w:sz="1"/>
              <w:right w:val="single" w:color="E8A800" w:sz="1"/>
            </w:tcBorders>
            <w:shd w:fill="FFFFFF" w:val="clear"/>
            <w:tcMar>
              <w:top w:type="dxa" w:w="80"/>
              <w:left w:type="dxa" w:w="140"/>
              <w:bottom w:type="dxa" w:w="80"/>
              <w:right w:type="dxa" w:w="140"/>
            </w:tcMar>
          </w:tcPr>
          <w:p>
            <w:pPr>
              <w:spacing w:after="0" w:before="0"/>
            </w:pPr>
            <w:r>
              <w:rPr>
                <w:rFonts w:ascii="Courier New" w:cs="Courier New" w:eastAsia="Courier New" w:hAnsi="Courier New"/>
                <w:b/>
                <w:bCs/>
                <w:color w:val="8B5A00"/>
                <w:sz w:val="18"/>
                <w:szCs w:val="18"/>
              </w:rPr>
              <w:t xml:space="preserve">Annotation processors</w:t>
            </w:r>
          </w:p>
        </w:tc>
        <w:tc>
          <w:tcPr>
            <w:tcW w:type="dxa" w:w="6400"/>
            <w:tcBorders>
              <w:top w:val="single" w:color="E8A800" w:sz="1"/>
              <w:left w:val="single" w:color="E8A800" w:sz="1"/>
              <w:bottom w:val="single" w:color="E8A800" w:sz="1"/>
              <w:right w:val="single" w:color="E8A800" w:sz="1"/>
            </w:tcBorders>
            <w:shd w:fill="FFFFFF" w:val="clear"/>
            <w:tcMar>
              <w:top w:type="dxa" w:w="80"/>
              <w:left w:type="dxa" w:w="140"/>
              <w:bottom w:type="dxa" w:w="80"/>
              <w:right w:type="dxa" w:w="140"/>
            </w:tcMar>
          </w:tcPr>
          <w:p>
            <w:pPr>
              <w:spacing w:after="0" w:before="0"/>
            </w:pPr>
            <w:r>
              <w:rPr>
                <w:rFonts w:ascii="Arial" w:cs="Arial" w:eastAsia="Arial" w:hAnsi="Arial"/>
                <w:color w:val="1A1A2E"/>
                <w:sz w:val="19"/>
                <w:szCs w:val="19"/>
              </w:rPr>
              <w:t xml:space="preserve">Some annotation processors (code generators) are not yet JPMS-aware and fail when run against modular source. The tooling (Maven, Gradle, IDEs) must all support the module source path correctly.</w:t>
            </w:r>
          </w:p>
        </w:tc>
      </w:tr>
      <w:tr>
        <w:tc>
          <w:tcPr>
            <w:tcW w:type="dxa" w:w="3200"/>
            <w:tcBorders>
              <w:top w:val="single" w:color="E8A800" w:sz="1"/>
              <w:left w:val="single" w:color="E8A800" w:sz="1"/>
              <w:bottom w:val="single" w:color="E8A800" w:sz="1"/>
              <w:right w:val="single" w:color="E8A800" w:sz="1"/>
            </w:tcBorders>
            <w:shd w:fill="FFF8EE" w:val="clear"/>
            <w:tcMar>
              <w:top w:type="dxa" w:w="80"/>
              <w:left w:type="dxa" w:w="140"/>
              <w:bottom w:type="dxa" w:w="80"/>
              <w:right w:type="dxa" w:w="140"/>
            </w:tcMar>
          </w:tcPr>
          <w:p>
            <w:pPr>
              <w:spacing w:after="0" w:before="0"/>
            </w:pPr>
            <w:r>
              <w:rPr>
                <w:rFonts w:ascii="Courier New" w:cs="Courier New" w:eastAsia="Courier New" w:hAnsi="Courier New"/>
                <w:b/>
                <w:bCs/>
                <w:color w:val="8B5A00"/>
                <w:sz w:val="18"/>
                <w:szCs w:val="18"/>
              </w:rPr>
              <w:t xml:space="preserve">No immediate benefit for most</w:t>
            </w:r>
          </w:p>
        </w:tc>
        <w:tc>
          <w:tcPr>
            <w:tcW w:type="dxa" w:w="6400"/>
            <w:tcBorders>
              <w:top w:val="single" w:color="E8A800" w:sz="1"/>
              <w:left w:val="single" w:color="E8A800" w:sz="1"/>
              <w:bottom w:val="single" w:color="E8A800" w:sz="1"/>
              <w:right w:val="single" w:color="E8A800" w:sz="1"/>
            </w:tcBorders>
            <w:shd w:fill="FFF8EE" w:val="clear"/>
            <w:tcMar>
              <w:top w:type="dxa" w:w="80"/>
              <w:left w:type="dxa" w:w="140"/>
              <w:bottom w:type="dxa" w:w="80"/>
              <w:right w:type="dxa" w:w="140"/>
            </w:tcMar>
          </w:tcPr>
          <w:p>
            <w:pPr>
              <w:spacing w:after="0" w:before="0"/>
            </w:pPr>
            <w:r>
              <w:rPr>
                <w:rFonts w:ascii="Arial" w:cs="Arial" w:eastAsia="Arial" w:hAnsi="Arial"/>
                <w:color w:val="1A1A2E"/>
                <w:sz w:val="19"/>
                <w:szCs w:val="19"/>
              </w:rPr>
              <w:t xml:space="preserve">A typical monolithic Spring Boot service running in a container gets no measurable benefit from JPMS. The strong encapsulation helps library authors more than application developers. jlink (the main application benefit) requires all dependencies to have module-info.java.</w:t>
            </w:r>
          </w:p>
        </w:tc>
      </w:tr>
      <w:tr>
        <w:tc>
          <w:tcPr>
            <w:tcW w:type="dxa" w:w="3200"/>
            <w:tcBorders>
              <w:top w:val="single" w:color="E8A800" w:sz="1"/>
              <w:left w:val="single" w:color="E8A800" w:sz="1"/>
              <w:bottom w:val="single" w:color="E8A800" w:sz="1"/>
              <w:right w:val="single" w:color="E8A800" w:sz="1"/>
            </w:tcBorders>
            <w:shd w:fill="FFFFFF" w:val="clear"/>
            <w:tcMar>
              <w:top w:type="dxa" w:w="80"/>
              <w:left w:type="dxa" w:w="140"/>
              <w:bottom w:type="dxa" w:w="80"/>
              <w:right w:type="dxa" w:w="140"/>
            </w:tcMar>
          </w:tcPr>
          <w:p>
            <w:pPr>
              <w:spacing w:after="0" w:before="0"/>
            </w:pPr>
            <w:r>
              <w:rPr>
                <w:rFonts w:ascii="Courier New" w:cs="Courier New" w:eastAsia="Courier New" w:hAnsi="Courier New"/>
                <w:b/>
                <w:bCs/>
                <w:color w:val="8B5A00"/>
                <w:sz w:val="18"/>
                <w:szCs w:val="18"/>
              </w:rPr>
              <w:t xml:space="preserve">Significant migration cost</w:t>
            </w:r>
          </w:p>
        </w:tc>
        <w:tc>
          <w:tcPr>
            <w:tcW w:type="dxa" w:w="6400"/>
            <w:tcBorders>
              <w:top w:val="single" w:color="E8A800" w:sz="1"/>
              <w:left w:val="single" w:color="E8A800" w:sz="1"/>
              <w:bottom w:val="single" w:color="E8A800" w:sz="1"/>
              <w:right w:val="single" w:color="E8A800" w:sz="1"/>
            </w:tcBorders>
            <w:shd w:fill="FFFFFF" w:val="clear"/>
            <w:tcMar>
              <w:top w:type="dxa" w:w="80"/>
              <w:left w:type="dxa" w:w="140"/>
              <w:bottom w:type="dxa" w:w="80"/>
              <w:right w:type="dxa" w:w="140"/>
            </w:tcMar>
          </w:tcPr>
          <w:p>
            <w:pPr>
              <w:spacing w:after="0" w:before="0"/>
            </w:pPr>
            <w:r>
              <w:rPr>
                <w:rFonts w:ascii="Arial" w:cs="Arial" w:eastAsia="Arial" w:hAnsi="Arial"/>
                <w:color w:val="1A1A2E"/>
                <w:sz w:val="19"/>
                <w:szCs w:val="19"/>
              </w:rPr>
              <w:t xml:space="preserve">Resolving split packages, updating build scripts, adding opens declarations, and testing across all frameworks is weeks of work for a large project. The risk/reward for many teams does not justify it.</w:t>
            </w:r>
          </w:p>
        </w:tc>
      </w:tr>
      <w:tr>
        <w:tc>
          <w:tcPr>
            <w:tcW w:type="dxa" w:w="3200"/>
            <w:tcBorders>
              <w:top w:val="single" w:color="E8A800" w:sz="1"/>
              <w:left w:val="single" w:color="E8A800" w:sz="1"/>
              <w:bottom w:val="single" w:color="E8A800" w:sz="1"/>
              <w:right w:val="single" w:color="E8A800" w:sz="1"/>
            </w:tcBorders>
            <w:shd w:fill="FFF8EE" w:val="clear"/>
            <w:tcMar>
              <w:top w:type="dxa" w:w="80"/>
              <w:left w:type="dxa" w:w="140"/>
              <w:bottom w:type="dxa" w:w="80"/>
              <w:right w:type="dxa" w:w="140"/>
            </w:tcMar>
          </w:tcPr>
          <w:p>
            <w:pPr>
              <w:spacing w:after="0" w:before="0"/>
            </w:pPr>
            <w:r>
              <w:rPr>
                <w:rFonts w:ascii="Courier New" w:cs="Courier New" w:eastAsia="Courier New" w:hAnsi="Courier New"/>
                <w:b/>
                <w:bCs/>
                <w:color w:val="8B5A00"/>
                <w:sz w:val="18"/>
                <w:szCs w:val="18"/>
              </w:rPr>
              <w:t xml:space="preserve">Multi-release JARs are complex</w:t>
            </w:r>
          </w:p>
        </w:tc>
        <w:tc>
          <w:tcPr>
            <w:tcW w:type="dxa" w:w="6400"/>
            <w:tcBorders>
              <w:top w:val="single" w:color="E8A800" w:sz="1"/>
              <w:left w:val="single" w:color="E8A800" w:sz="1"/>
              <w:bottom w:val="single" w:color="E8A800" w:sz="1"/>
              <w:right w:val="single" w:color="E8A800" w:sz="1"/>
            </w:tcBorders>
            <w:shd w:fill="FFF8EE" w:val="clear"/>
            <w:tcMar>
              <w:top w:type="dxa" w:w="80"/>
              <w:left w:type="dxa" w:w="140"/>
              <w:bottom w:type="dxa" w:w="80"/>
              <w:right w:type="dxa" w:w="140"/>
            </w:tcMar>
          </w:tcPr>
          <w:p>
            <w:pPr>
              <w:spacing w:after="0" w:before="0"/>
            </w:pPr>
            <w:r>
              <w:rPr>
                <w:rFonts w:ascii="Arial" w:cs="Arial" w:eastAsia="Arial" w:hAnsi="Arial"/>
                <w:color w:val="1A1A2E"/>
                <w:sz w:val="19"/>
                <w:szCs w:val="19"/>
              </w:rPr>
              <w:t xml:space="preserve">Libraries targeting both Java 8 and Java 11+ use Multi-Release JARs (META-INF/versions/) to ship module-info.class alongside legacy .class files. This adds build complexity and confusion.</w:t>
            </w:r>
          </w:p>
        </w:tc>
      </w:tr>
      <w:tr>
        <w:tc>
          <w:tcPr>
            <w:tcW w:type="dxa" w:w="3200"/>
            <w:tcBorders>
              <w:top w:val="single" w:color="E8A800" w:sz="1"/>
              <w:left w:val="single" w:color="E8A800" w:sz="1"/>
              <w:bottom w:val="single" w:color="E8A800" w:sz="1"/>
              <w:right w:val="single" w:color="E8A800" w:sz="1"/>
            </w:tcBorders>
            <w:shd w:fill="FFFFFF" w:val="clear"/>
            <w:tcMar>
              <w:top w:type="dxa" w:w="80"/>
              <w:left w:type="dxa" w:w="140"/>
              <w:bottom w:type="dxa" w:w="80"/>
              <w:right w:type="dxa" w:w="140"/>
            </w:tcMar>
          </w:tcPr>
          <w:p>
            <w:pPr>
              <w:spacing w:after="0" w:before="0"/>
            </w:pPr>
            <w:r>
              <w:rPr>
                <w:rFonts w:ascii="Courier New" w:cs="Courier New" w:eastAsia="Courier New" w:hAnsi="Courier New"/>
                <w:b/>
                <w:bCs/>
                <w:color w:val="8B5A00"/>
                <w:sz w:val="18"/>
                <w:szCs w:val="18"/>
              </w:rPr>
              <w:t xml:space="preserve">jlink requires full modularisation</w:t>
            </w:r>
          </w:p>
        </w:tc>
        <w:tc>
          <w:tcPr>
            <w:tcW w:type="dxa" w:w="6400"/>
            <w:tcBorders>
              <w:top w:val="single" w:color="E8A800" w:sz="1"/>
              <w:left w:val="single" w:color="E8A800" w:sz="1"/>
              <w:bottom w:val="single" w:color="E8A800" w:sz="1"/>
              <w:right w:val="single" w:color="E8A800" w:sz="1"/>
            </w:tcBorders>
            <w:shd w:fill="FFFFFF" w:val="clear"/>
            <w:tcMar>
              <w:top w:type="dxa" w:w="80"/>
              <w:left w:type="dxa" w:w="140"/>
              <w:bottom w:type="dxa" w:w="80"/>
              <w:right w:type="dxa" w:w="140"/>
            </w:tcMar>
          </w:tcPr>
          <w:p>
            <w:pPr>
              <w:spacing w:after="0" w:before="0"/>
            </w:pPr>
            <w:r>
              <w:rPr>
                <w:rFonts w:ascii="Arial" w:cs="Arial" w:eastAsia="Arial" w:hAnsi="Arial"/>
                <w:color w:val="1A1A2E"/>
                <w:sz w:val="19"/>
                <w:szCs w:val="19"/>
              </w:rPr>
              <w:t xml:space="preserve">To use jlink to produce a custom runtime image (the main size/startup benefit), every dependency must have module-info.java. A single unnamed dependency blocks jlink.</w:t>
            </w:r>
          </w:p>
        </w:tc>
      </w:tr>
      <w:tr>
        <w:tc>
          <w:tcPr>
            <w:tcW w:type="dxa" w:w="3200"/>
            <w:tcBorders>
              <w:top w:val="single" w:color="E8A800" w:sz="1"/>
              <w:left w:val="single" w:color="E8A800" w:sz="1"/>
              <w:bottom w:val="single" w:color="E8A800" w:sz="1"/>
              <w:right w:val="single" w:color="E8A800" w:sz="1"/>
            </w:tcBorders>
            <w:shd w:fill="FFF8EE" w:val="clear"/>
            <w:tcMar>
              <w:top w:type="dxa" w:w="80"/>
              <w:left w:type="dxa" w:w="140"/>
              <w:bottom w:type="dxa" w:w="80"/>
              <w:right w:type="dxa" w:w="140"/>
            </w:tcMar>
          </w:tcPr>
          <w:p>
            <w:pPr>
              <w:spacing w:after="0" w:before="0"/>
            </w:pPr>
            <w:r>
              <w:rPr>
                <w:rFonts w:ascii="Courier New" w:cs="Courier New" w:eastAsia="Courier New" w:hAnsi="Courier New"/>
                <w:b/>
                <w:bCs/>
                <w:color w:val="8B5A00"/>
                <w:sz w:val="18"/>
                <w:szCs w:val="18"/>
              </w:rPr>
              <w:t xml:space="preserve">Spring Boot classpath scanning</w:t>
            </w:r>
          </w:p>
        </w:tc>
        <w:tc>
          <w:tcPr>
            <w:tcW w:type="dxa" w:w="6400"/>
            <w:tcBorders>
              <w:top w:val="single" w:color="E8A800" w:sz="1"/>
              <w:left w:val="single" w:color="E8A800" w:sz="1"/>
              <w:bottom w:val="single" w:color="E8A800" w:sz="1"/>
              <w:right w:val="single" w:color="E8A800" w:sz="1"/>
            </w:tcBorders>
            <w:shd w:fill="FFF8EE" w:val="clear"/>
            <w:tcMar>
              <w:top w:type="dxa" w:w="80"/>
              <w:left w:type="dxa" w:w="140"/>
              <w:bottom w:type="dxa" w:w="80"/>
              <w:right w:type="dxa" w:w="140"/>
            </w:tcMar>
          </w:tcPr>
          <w:p>
            <w:pPr>
              <w:spacing w:after="0" w:before="0"/>
            </w:pPr>
            <w:r>
              <w:rPr>
                <w:rFonts w:ascii="Arial" w:cs="Arial" w:eastAsia="Arial" w:hAnsi="Arial"/>
                <w:color w:val="1A1A2E"/>
                <w:sz w:val="19"/>
                <w:szCs w:val="19"/>
              </w:rPr>
              <w:t xml:space="preserve">Spring Boot's auto-configuration and component scanning are deeply optimised for classpath mode. Running on the module path requires explicit opens and loses some auto-magic that teams rely on.</w:t>
            </w:r>
          </w:p>
        </w:tc>
      </w:tr>
    </w:tbl>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E8449" w:sz="1"/>
              <w:left w:val="thick" w:color="1E8449" w:sz="12"/>
              <w:bottom w:val="single" w:color="1E8449" w:sz="1"/>
              <w:right w:val="single" w:color="1E8449" w:sz="1"/>
            </w:tcBorders>
            <w:shd w:fill="EAFAF1" w:val="clear"/>
            <w:tcMar>
              <w:top w:type="dxa" w:w="100"/>
              <w:left w:type="dxa" w:w="220"/>
              <w:bottom w:type="dxa" w:w="100"/>
              <w:right w:type="dxa" w:w="220"/>
            </w:tcMar>
          </w:tcPr>
          <w:p>
            <w:pPr>
              <w:spacing w:after="0" w:before="0"/>
            </w:pPr>
            <w:r>
              <w:rPr>
                <w:rFonts w:ascii="Arial" w:cs="Arial" w:eastAsia="Arial" w:hAnsi="Arial"/>
                <w:b/>
                <w:bCs/>
                <w:color w:val="1E8449"/>
                <w:sz w:val="20"/>
                <w:szCs w:val="20"/>
              </w:rPr>
              <w:t xml:space="preserve">Recommendation:  </w:t>
            </w:r>
            <w:r>
              <w:rPr>
                <w:rFonts w:ascii="Arial" w:cs="Arial" w:eastAsia="Arial" w:hAnsi="Arial"/>
                <w:color w:val="145A32"/>
                <w:sz w:val="20"/>
                <w:szCs w:val="20"/>
              </w:rPr>
              <w:t xml:space="preserve">For new greenfield applications or microservices where you control all dependencies: consider JPMS from the start. For existing Spring Boot or JPA applications with many transitive dependencies: stay on the classpath and adopt the --add-opens workarounds. Revisit JPMS when your dependency tree is fully modular.</w:t>
            </w:r>
          </w:p>
        </w:tc>
      </w:tr>
    </w:tbl>
    <w:p>
      <w:pPr>
        <w:spacing w:after="0" w:before="0"/>
      </w:pPr>
      <w:r>
        <w:t xml:space="preserve"/>
      </w:r>
    </w:p>
    <w:p>
      <w:pPr>
        <w:pBdr>
          <w:bottom w:val="single" w:color="E8A800" w:sz="4" w:space="1"/>
        </w:pBdr>
        <w:spacing w:after="120" w:before="360"/>
      </w:pPr>
      <w:r>
        <w:rPr>
          <w:rFonts w:ascii="Arial" w:cs="Arial" w:eastAsia="Arial" w:hAnsi="Arial"/>
          <w:b/>
          <w:bCs/>
          <w:color w:val="8B5A00"/>
          <w:sz w:val="26"/>
          <w:szCs w:val="26"/>
        </w:rPr>
        <w:t xml:space="preserve">8  </w:t>
      </w:r>
      <w:r>
        <w:rPr>
          <w:rFonts w:ascii="Arial" w:cs="Arial" w:eastAsia="Arial" w:hAnsi="Arial"/>
          <w:b/>
          <w:bCs/>
          <w:color w:val="8B5A00"/>
          <w:sz w:val="26"/>
          <w:szCs w:val="26"/>
        </w:rPr>
        <w:t xml:space="preserve">Migration Decision Checklist</w:t>
      </w:r>
    </w:p>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Run this checklist before deciding whether to migrate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1. Run jdeps. Does it find split packages?</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YES -&gt; Cannot fully migrate until split packages are resolved.</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NO  -&gt; Proceed to step 2.</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2. Do all your direct dependencies have module-info.java OR</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Automatic-Module-Name in their MANIFEST.MF?</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NO  -&gt; They become automatic modules with fragile derived names.</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Check if the project has a milestone roadmap for JPMS.</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YES -&gt; Proceed to step 3.</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3. Do you use Spring, Hibernate, Jackson, or similar?</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YES -&gt; You will need opens ... to declarations. Prepare a list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of all packages that need to be opened and for which modules.</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Spring Boot 3.x + Java 17+ has fewer requirements.</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4. Is jlink / custom runtime image a goal?</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YES -&gt; ALL transitive dependencies must have module-info.java.</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Use jdeps --module-path to verify the full dependency tree.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NO  -&gt; Full module-info is not required; automatic modules suffice.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5. What does your team get from migrating?</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Strong encapsulation: prevents accidental use of internals</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Reliable configuration: startup-time missing module detection</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jlink: smaller runtime images (only if all deps are modular)</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Documentation: module-info.java as a living dependency manifest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6. Incremental migration path (lowest risk):</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Phase 1: Add --add-opens / --add-exports to eliminate runtime errors.</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Identify and document every flag as a future TODO.</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Phase 2: Move own JARs to module path as automatic modules.</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Run jdeps on the result; fix any new errors.</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Phase 3: Add module-info.java to your own API module first.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Phase 4: Add module-info.java to implementation modules.</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Phase 5: Replace all --add-opens flags with opens ... to.</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Phase 6: Consider jlink once all deps are modular.</w:t>
            </w:r>
          </w:p>
        </w:tc>
      </w:tr>
    </w:tbl>
    <w:p>
      <w:pPr>
        <w:spacing w:after="0" w:before="0"/>
      </w:pPr>
      <w:r>
        <w:t xml:space="preserve"/>
      </w:r>
    </w:p>
    <w:p>
      <w:pPr>
        <w:spacing w:after="0" w:before="0"/>
      </w:pPr>
      <w:r>
        <w:t xml:space="preserve"/>
      </w:r>
    </w:p>
    <w:p>
      <w:pPr>
        <w:pBdr>
          <w:top w:val="single" w:color="CCCCCC" w:sz="2" w:space="1"/>
        </w:pBdr>
        <w:spacing w:after="0" w:before="200"/>
      </w:pPr>
      <w:r>
        <w:rPr>
          <w:rFonts w:ascii="Arial" w:cs="Arial" w:eastAsia="Arial" w:hAnsi="Arial"/>
          <w:i/>
          <w:iCs/>
          <w:color w:val="555555"/>
          <w:sz w:val="19"/>
          <w:szCs w:val="19"/>
        </w:rPr>
        <w:t xml:space="preserve">Tools: jdeps (JDK built-in), ModiTect Maven Plugin (generates module-info.java suggestions), asm-util (bytecode analysis), GitHub: nipafx/module-system-explorer (interactive JPMS explorer). Spring Boot 3.x provides the best out-of-the-box JPMS compatibility for Spring applications.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2026-04-05T04:54:11.361Z</dcterms:created>
  <dcterms:modified xsi:type="dcterms:W3CDTF">2026-04-05T04:54:11.362Z</dcterms:modified>
</cp:coreProperties>
</file>

<file path=docProps/custom.xml><?xml version="1.0" encoding="utf-8"?>
<Properties xmlns="http://schemas.openxmlformats.org/officeDocument/2006/custom-properties" xmlns:vt="http://schemas.openxmlformats.org/officeDocument/2006/docPropsVTypes"/>
</file>