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Cloud Native Security — Module 11</w:t>
      </w:r>
    </w:p>
    <w:p>
      <w:pPr>
        <w:spacing w:after="200"/>
        <w:jc w:val="center"/>
      </w:pPr>
      <w:r>
        <w:rPr>
          <w:b/>
          <w:bCs/>
          <w:color w:val="C00000"/>
          <w:sz w:val="56"/>
          <w:szCs w:val="56"/>
        </w:rPr>
        <w:t xml:space="preserve">CNCF Security</w:t>
      </w:r>
    </w:p>
    <w:p>
      <w:pPr>
        <w:spacing w:after="200"/>
        <w:jc w:val="center"/>
      </w:pPr>
      <w:r>
        <w:rPr>
          <w:b/>
          <w:bCs/>
          <w:color w:val="C00000"/>
          <w:sz w:val="56"/>
          <w:szCs w:val="56"/>
        </w:rPr>
        <w:t xml:space="preserve">Projects</w:t>
      </w:r>
    </w:p>
    <w:p>
      <w:pPr>
        <w:spacing w:after="600"/>
        <w:jc w:val="center"/>
      </w:pPr>
      <w:r>
        <w:rPr>
          <w:i/>
          <w:iCs/>
          <w:color w:val="555555"/>
          <w:sz w:val="28"/>
          <w:szCs w:val="28"/>
        </w:rPr>
        <w:t xml:space="preserve">A Comprehensive Tour of the Open-Source Security Landscape</w:t>
      </w:r>
    </w:p>
    <w:p>
      <w:pPr>
        <w:spacing w:after="200"/>
        <w:jc w:val="center"/>
      </w:pPr>
      <w:r>
        <w:rPr>
          <w:sz w:val="22"/>
          <w:szCs w:val="22"/>
        </w:rPr>
        <w:t xml:space="preserve">Falco • OPA • Kyverno • Sigstore • SPIFFE • Tetragon • CoCo</w:t>
      </w:r>
    </w:p>
    <w:p>
      <w:pPr>
        <w:spacing w:after="100" w:before="1000"/>
        <w:jc w:val="center"/>
      </w:pPr>
      <w:r>
        <w:rPr>
          <w:b/>
          <w:bCs/>
          <w:sz w:val="22"/>
          <w:szCs w:val="22"/>
        </w:rPr>
        <w:t xml:space="preserve">Topics covered:</w:t>
      </w:r>
    </w:p>
    <w:p>
      <w:pPr>
        <w:spacing w:after="60"/>
        <w:jc w:val="center"/>
      </w:pPr>
      <w:r>
        <w:rPr>
          <w:sz w:val="21"/>
          <w:szCs w:val="21"/>
        </w:rPr>
        <w:t xml:space="preserve">1. The CNCF and How Projects Mature</w:t>
      </w:r>
    </w:p>
    <w:p>
      <w:pPr>
        <w:spacing w:after="60"/>
        <w:jc w:val="center"/>
      </w:pPr>
      <w:r>
        <w:rPr>
          <w:sz w:val="21"/>
          <w:szCs w:val="21"/>
        </w:rPr>
        <w:t xml:space="preserve">2. Graduated Security Projects</w:t>
      </w:r>
    </w:p>
    <w:p>
      <w:pPr>
        <w:spacing w:after="60"/>
        <w:jc w:val="center"/>
      </w:pPr>
      <w:r>
        <w:rPr>
          <w:sz w:val="21"/>
          <w:szCs w:val="21"/>
        </w:rPr>
        <w:t xml:space="preserve">3. Incubating Projects of Note</w:t>
      </w:r>
    </w:p>
    <w:p>
      <w:pPr>
        <w:spacing w:after="60"/>
        <w:jc w:val="center"/>
      </w:pPr>
      <w:r>
        <w:rPr>
          <w:sz w:val="21"/>
          <w:szCs w:val="21"/>
        </w:rPr>
        <w:t xml:space="preserve">4. Sandbox — The Frontier</w:t>
      </w:r>
    </w:p>
    <w:p>
      <w:pPr>
        <w:spacing w:after="60"/>
        <w:jc w:val="center"/>
      </w:pPr>
      <w:r>
        <w:rPr>
          <w:sz w:val="21"/>
          <w:szCs w:val="21"/>
        </w:rPr>
        <w:t xml:space="preserve">5. The Project Map by Lifecycle Stage</w:t>
      </w:r>
    </w:p>
    <w:p>
      <w:pPr>
        <w:spacing w:after="60"/>
        <w:jc w:val="center"/>
      </w:pPr>
      <w:r>
        <w:rPr>
          <w:sz w:val="21"/>
          <w:szCs w:val="21"/>
        </w:rPr>
        <w:t xml:space="preserve">6. How to Evaluate a CNCF Security Project</w:t>
      </w:r>
    </w:p>
    <w:p>
      <w:pPr>
        <w:spacing w:after="60"/>
        <w:jc w:val="center"/>
      </w:pPr>
      <w:r>
        <w:rPr>
          <w:sz w:val="21"/>
          <w:szCs w:val="21"/>
        </w:rPr>
        <w:t xml:space="preserve">7. Staying Current</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Why a Module on the Project Landscape</w:t>
      </w:r>
    </w:p>
    <w:p>
      <w:pPr>
        <w:tabs>
          <w:tab w:val="left" w:pos="720"/>
        </w:tabs>
        <w:spacing w:after="100"/>
      </w:pPr>
      <w:r>
        <w:rPr>
          <w:b/>
          <w:bCs/>
        </w:rPr>
        <w:t xml:space="preserve">1.</w:t>
      </w:r>
      <w:r>
        <w:t xml:space="preserve">	The CNCF and How Projects Mature</w:t>
      </w:r>
    </w:p>
    <w:p>
      <w:pPr>
        <w:tabs>
          <w:tab w:val="left" w:pos="720"/>
        </w:tabs>
        <w:spacing w:after="100"/>
      </w:pPr>
      <w:r>
        <w:rPr>
          <w:b/>
          <w:bCs/>
        </w:rPr>
        <w:t xml:space="preserve">2.</w:t>
      </w:r>
      <w:r>
        <w:t xml:space="preserve">	Falco — Runtime Security (Graduated)</w:t>
      </w:r>
    </w:p>
    <w:p>
      <w:pPr>
        <w:tabs>
          <w:tab w:val="left" w:pos="720"/>
        </w:tabs>
        <w:spacing w:after="100"/>
      </w:pPr>
      <w:r>
        <w:rPr>
          <w:b/>
          <w:bCs/>
        </w:rPr>
        <w:t xml:space="preserve">3.</w:t>
      </w:r>
      <w:r>
        <w:t xml:space="preserve">	OPA — General-Purpose Policy Engine (Graduated)</w:t>
      </w:r>
    </w:p>
    <w:p>
      <w:pPr>
        <w:tabs>
          <w:tab w:val="left" w:pos="720"/>
        </w:tabs>
        <w:spacing w:after="100"/>
      </w:pPr>
      <w:r>
        <w:rPr>
          <w:b/>
          <w:bCs/>
        </w:rPr>
        <w:t xml:space="preserve">4.</w:t>
      </w:r>
      <w:r>
        <w:t xml:space="preserve">	Kyverno — K8s-Native Policy (Graduated)</w:t>
      </w:r>
    </w:p>
    <w:p>
      <w:pPr>
        <w:tabs>
          <w:tab w:val="left" w:pos="720"/>
        </w:tabs>
        <w:spacing w:after="100"/>
      </w:pPr>
      <w:r>
        <w:rPr>
          <w:b/>
          <w:bCs/>
        </w:rPr>
        <w:t xml:space="preserve">5.</w:t>
      </w:r>
      <w:r>
        <w:t xml:space="preserve">	in-toto — Supply Chain Integrity (Graduated)</w:t>
      </w:r>
    </w:p>
    <w:p>
      <w:pPr>
        <w:tabs>
          <w:tab w:val="left" w:pos="720"/>
        </w:tabs>
        <w:spacing w:after="100"/>
      </w:pPr>
      <w:r>
        <w:rPr>
          <w:b/>
          <w:bCs/>
        </w:rPr>
        <w:t xml:space="preserve">6.</w:t>
      </w:r>
      <w:r>
        <w:t xml:space="preserve">	Sigstore — Signing for Everyone (Cosign, Fulcio, Rekor)</w:t>
      </w:r>
    </w:p>
    <w:p>
      <w:pPr>
        <w:tabs>
          <w:tab w:val="left" w:pos="720"/>
        </w:tabs>
        <w:spacing w:after="100"/>
      </w:pPr>
      <w:r>
        <w:rPr>
          <w:b/>
          <w:bCs/>
        </w:rPr>
        <w:t xml:space="preserve">7.</w:t>
      </w:r>
      <w:r>
        <w:t xml:space="preserve">	SPIFFE / SPIRE — Workload Identity (Graduated)</w:t>
      </w:r>
    </w:p>
    <w:p>
      <w:pPr>
        <w:tabs>
          <w:tab w:val="left" w:pos="720"/>
        </w:tabs>
        <w:spacing w:after="100"/>
      </w:pPr>
      <w:r>
        <w:rPr>
          <w:b/>
          <w:bCs/>
        </w:rPr>
        <w:t xml:space="preserve">8.</w:t>
      </w:r>
      <w:r>
        <w:t xml:space="preserve">	TUF — The Update Framework (Graduated)</w:t>
      </w:r>
    </w:p>
    <w:p>
      <w:pPr>
        <w:tabs>
          <w:tab w:val="left" w:pos="720"/>
        </w:tabs>
        <w:spacing w:after="100"/>
      </w:pPr>
      <w:r>
        <w:rPr>
          <w:b/>
          <w:bCs/>
        </w:rPr>
        <w:t xml:space="preserve">9.</w:t>
      </w:r>
      <w:r>
        <w:t xml:space="preserve">	Notary — Image Signing (Older Path)</w:t>
      </w:r>
    </w:p>
    <w:p>
      <w:pPr>
        <w:tabs>
          <w:tab w:val="left" w:pos="720"/>
        </w:tabs>
        <w:spacing w:after="100"/>
      </w:pPr>
      <w:r>
        <w:rPr>
          <w:b/>
          <w:bCs/>
        </w:rPr>
        <w:t xml:space="preserve">10.</w:t>
      </w:r>
      <w:r>
        <w:t xml:space="preserve">	Tetragon — eBPF Security Observability (Sandbox)</w:t>
      </w:r>
    </w:p>
    <w:p>
      <w:pPr>
        <w:tabs>
          <w:tab w:val="left" w:pos="720"/>
        </w:tabs>
        <w:spacing w:after="100"/>
      </w:pPr>
      <w:r>
        <w:rPr>
          <w:b/>
          <w:bCs/>
        </w:rPr>
        <w:t xml:space="preserve">11.</w:t>
      </w:r>
      <w:r>
        <w:t xml:space="preserve">	Confidential Containers — Hardware Isolation (Sandbox)</w:t>
      </w:r>
    </w:p>
    <w:p>
      <w:pPr>
        <w:tabs>
          <w:tab w:val="left" w:pos="720"/>
        </w:tabs>
        <w:spacing w:after="100"/>
      </w:pPr>
      <w:r>
        <w:rPr>
          <w:b/>
          <w:bCs/>
        </w:rPr>
        <w:t xml:space="preserve">12.</w:t>
      </w:r>
      <w:r>
        <w:t xml:space="preserve">	Adjacent Sandbox Projects Worth Knowing</w:t>
      </w:r>
    </w:p>
    <w:p>
      <w:pPr>
        <w:tabs>
          <w:tab w:val="left" w:pos="720"/>
        </w:tabs>
        <w:spacing w:after="100"/>
      </w:pPr>
      <w:r>
        <w:rPr>
          <w:b/>
          <w:bCs/>
        </w:rPr>
        <w:t xml:space="preserve">13.</w:t>
      </w:r>
      <w:r>
        <w:t xml:space="preserve">	The Project Map by Concern</w:t>
      </w:r>
    </w:p>
    <w:p>
      <w:pPr>
        <w:tabs>
          <w:tab w:val="left" w:pos="720"/>
        </w:tabs>
        <w:spacing w:after="100"/>
      </w:pPr>
      <w:r>
        <w:rPr>
          <w:b/>
          <w:bCs/>
        </w:rPr>
        <w:t xml:space="preserve">14.</w:t>
      </w:r>
      <w:r>
        <w:t xml:space="preserve">	How to Evaluate a CNCF Project for Adoption</w:t>
      </w:r>
    </w:p>
    <w:p>
      <w:pPr>
        <w:tabs>
          <w:tab w:val="left" w:pos="720"/>
        </w:tabs>
        <w:spacing w:after="100"/>
      </w:pPr>
      <w:r>
        <w:rPr>
          <w:b/>
          <w:bCs/>
        </w:rPr>
        <w:t xml:space="preserve">15.</w:t>
      </w:r>
      <w:r>
        <w:t xml:space="preserve">	Staying Current</w:t>
      </w:r>
    </w:p>
    <w:p>
      <w:pPr>
        <w:tabs>
          <w:tab w:val="left" w:pos="720"/>
        </w:tabs>
        <w:spacing w:after="100"/>
      </w:pPr>
      <w:r>
        <w:rPr>
          <w:b/>
          <w:bCs/>
        </w:rPr>
        <w:t xml:space="preserve">16.</w:t>
      </w:r>
      <w:r>
        <w:t xml:space="preserve">	Glossary</w:t>
      </w:r>
    </w:p>
    <w:p>
      <w:pPr>
        <w:tabs>
          <w:tab w:val="left" w:pos="720"/>
        </w:tabs>
        <w:spacing w:after="100"/>
      </w:pPr>
      <w:r>
        <w:rPr>
          <w:b/>
          <w:bCs/>
        </w:rPr>
        <w:t xml:space="preserve">17.</w:t>
      </w:r>
      <w:r>
        <w:t xml:space="preserve">	Self-Assessment Checklist</w:t>
      </w:r>
    </w:p>
    <w:p>
      <w:r>
        <w:br w:type="page"/>
      </w:r>
    </w:p>
    <w:p>
      <w:pPr>
        <w:pStyle w:val="Heading1"/>
        <w:spacing w:after="200" w:before="360"/>
      </w:pPr>
      <w:r>
        <w:t xml:space="preserve">0. Introduction — Why a Module on the Project Landscape</w:t>
      </w:r>
    </w:p>
    <w:p>
      <w:pPr>
        <w:spacing w:after="120" w:line="300"/>
      </w:pPr>
      <w:r>
        <w:t xml:space="preserve">The previous ten modules covered specific security techniques and the tools that implement them. Most of those tools are CNCF projects — Falco, OPA, Kyverno, Sigstore, SPIFFE — and we've seen them in their working contexts. This module steps back and surveys the LANDSCAPE: what security projects exist in the CNCF, where each fits, what stage of maturity they're at, and how to think about them as a coherent ecosystem rather than a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Why This Matters</w:t>
            </w:r>
          </w:p>
          <w:p>
            <w:pPr>
              <w:spacing w:after="60" w:line="280"/>
            </w:pPr>
            <w:r>
              <w:rPr>
                <w:sz w:val="22"/>
                <w:szCs w:val="22"/>
              </w:rPr>
              <w:t xml:space="preserve">The cloud-native security space moves fast. New projects join the CNCF every quarter, projects you used to ignore graduate to production-readiness, and projects that seemed dominant are sometimes superseded. Understanding the landscape — not just the individual tools — is what lets you make 5-year architectural bets without locking into something that ages out, and recognize where a new option might be worth investigating.</w:t>
            </w:r>
          </w:p>
        </w:tc>
      </w:tr>
    </w:tbl>
    <w:p>
      <w:pPr>
        <w:pStyle w:val="Heading2"/>
        <w:spacing w:after="160" w:before="280"/>
      </w:pPr>
      <w:r>
        <w:t xml:space="preserve">0.1 What This Module Covers</w:t>
      </w:r>
    </w:p>
    <w:p>
      <w:pPr>
        <w:pStyle w:val="ListParagraph"/>
        <w:numPr>
          <w:ilvl w:val="0"/>
          <w:numId w:val="2"/>
        </w:numPr>
        <w:spacing w:after="80" w:line="290"/>
      </w:pPr>
      <w:r>
        <w:t xml:space="preserve">Each major CNCF security project, what it does, why it exists, and how it relates to others.</w:t>
      </w:r>
    </w:p>
    <w:p>
      <w:pPr>
        <w:pStyle w:val="ListParagraph"/>
        <w:numPr>
          <w:ilvl w:val="0"/>
          <w:numId w:val="2"/>
        </w:numPr>
        <w:spacing w:after="80" w:line="290"/>
      </w:pPr>
      <w:r>
        <w:t xml:space="preserve">The CNCF lifecycle stages (Sandbox / Incubating / Graduated) and what they signal about production-readiness.</w:t>
      </w:r>
    </w:p>
    <w:p>
      <w:pPr>
        <w:pStyle w:val="ListParagraph"/>
        <w:numPr>
          <w:ilvl w:val="0"/>
          <w:numId w:val="2"/>
        </w:numPr>
        <w:spacing w:after="80" w:line="290"/>
      </w:pPr>
      <w:r>
        <w:t xml:space="preserve">How to map a security CONCERN to the right project (image scanning vs. runtime detection vs. policy).</w:t>
      </w:r>
    </w:p>
    <w:p>
      <w:pPr>
        <w:pStyle w:val="ListParagraph"/>
        <w:numPr>
          <w:ilvl w:val="0"/>
          <w:numId w:val="2"/>
        </w:numPr>
        <w:spacing w:after="80" w:line="290"/>
      </w:pPr>
      <w:r>
        <w:t xml:space="preserve">How to evaluate a CNCF project for adoption — beyond the marketing pages.</w:t>
      </w:r>
    </w:p>
    <w:p>
      <w:pPr>
        <w:pStyle w:val="ListParagraph"/>
        <w:numPr>
          <w:ilvl w:val="0"/>
          <w:numId w:val="2"/>
        </w:numPr>
        <w:spacing w:after="80" w:line="290"/>
      </w:pPr>
      <w:r>
        <w:t xml:space="preserve">How to stay current as the landscape changes.</w:t>
      </w:r>
    </w:p>
    <w:p>
      <w:pPr>
        <w:pStyle w:val="Heading2"/>
        <w:spacing w:after="160" w:before="280"/>
      </w:pPr>
      <w:r>
        <w:t xml:space="preserve">0.2 What This Module Doesn't Cover</w:t>
      </w:r>
    </w:p>
    <w:p>
      <w:pPr>
        <w:pStyle w:val="ListParagraph"/>
        <w:numPr>
          <w:ilvl w:val="0"/>
          <w:numId w:val="2"/>
        </w:numPr>
        <w:spacing w:after="80" w:line="290"/>
      </w:pPr>
      <w:r>
        <w:t xml:space="preserve">In-depth tool tutorials — those are in the modules where the tools were introduced.</w:t>
      </w:r>
    </w:p>
    <w:p>
      <w:pPr>
        <w:pStyle w:val="ListParagraph"/>
        <w:numPr>
          <w:ilvl w:val="0"/>
          <w:numId w:val="2"/>
        </w:numPr>
        <w:spacing w:after="80" w:line="290"/>
      </w:pPr>
      <w:r>
        <w:t xml:space="preserve">Commercial vendors (Modules 6 and 10 covered those).</w:t>
      </w:r>
    </w:p>
    <w:p>
      <w:pPr>
        <w:pStyle w:val="ListParagraph"/>
        <w:numPr>
          <w:ilvl w:val="0"/>
          <w:numId w:val="2"/>
        </w:numPr>
        <w:spacing w:after="80" w:line="290"/>
      </w:pPr>
      <w:r>
        <w:t xml:space="preserve">Non-CNCF open source — Cilium and Linkerd are CNCF; many service-mesh and security tools are not. The CNCF tag is a useful filter, not a quality boundary.</w:t>
      </w:r>
    </w:p>
    <w:p>
      <w:pPr>
        <w:pStyle w:val="ListParagraph"/>
        <w:numPr>
          <w:ilvl w:val="0"/>
          <w:numId w:val="2"/>
        </w:numPr>
        <w:spacing w:after="80" w:line="290"/>
      </w:pPr>
      <w:r>
        <w:t xml:space="preserve">A complete enumeration — there are 200+ CNCF projects total. We focus on the security-tagged graduated and incubating projects, plus the sandbox projects most likely to matter in production within 2 years.</w:t>
      </w:r>
    </w:p>
    <w:p>
      <w:pPr>
        <w:pStyle w:val="Heading2"/>
        <w:spacing w:after="160" w:before="280"/>
      </w:pPr>
      <w:r>
        <w:t xml:space="preserve">0.3 The Lay of the Land</w:t>
      </w:r>
    </w:p>
    <w:p>
      <w:pPr>
        <w:spacing w:after="120" w:line="300"/>
      </w:pPr>
      <w:r>
        <w:t xml:space="preserve">Before we dive in, the major security concerns and their CNCF answers,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Concern</w:t>
            </w:r>
          </w:p>
        </w:tc>
        <w:tc>
          <w:tcPr>
            <w:tcW w:type="dxa" w:w="5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Mature CNCF answer</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Runtime detection</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Falco (graduated)</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Policy as code, general</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OPA + Gatekeeper (graduated)</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 as code, K8s-native</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Kyverno (graduated)</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 signing &amp; attestation</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Sigstore / Cosign (graduated)</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Supply chain integrity</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in-toto + Sigstore (graduated)</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Workload identity</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SPIFFE / SPIRE (graduated)</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Update integrity</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TUF (graduated)</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 signing — older</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Notary v1 (graduated, declining)</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Runtime observability + enforcement (eBPF)</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Tetragon (incubating)</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Hardware-isolated workloads</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Confidential Containers (sandbox)</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mTLS and service-level identity</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Cilium / Linkerd / Istio (mostly graduated)</w:t>
            </w:r>
          </w:p>
        </w:tc>
      </w:tr>
    </w:tbl>
    <w:p>
      <w:r>
        <w:br w:type="page"/>
      </w:r>
    </w:p>
    <w:p>
      <w:pPr>
        <w:pStyle w:val="Heading1"/>
        <w:spacing w:after="200" w:before="360"/>
      </w:pPr>
      <w:r>
        <w:t xml:space="preserve">1. The CNCF and How Projects Mature</w:t>
      </w:r>
    </w:p>
    <w:p>
      <w:pPr>
        <w:pStyle w:val="Heading2"/>
        <w:spacing w:after="160" w:before="280"/>
      </w:pPr>
      <w:r>
        <w:t xml:space="preserve">1.1 What the CNCF Is</w:t>
      </w:r>
    </w:p>
    <w:p>
      <w:pPr>
        <w:spacing w:after="120" w:line="300"/>
      </w:pPr>
      <w:r>
        <w:rPr>
          <w:b/>
          <w:bCs/>
        </w:rPr>
        <w:t xml:space="preserve">The Cloud Native Computing Foundation </w:t>
      </w:r>
      <w:r>
        <w:t xml:space="preserve">is a vendor-neutral nonprofit hosted under the Linux Foundation, founded in 2015 with Kubernetes as its first project. It exists to incubate, mature, and steward open-source projects that form the cloud-native technology stack. Its membership includes most major cloud providers, software vendors, and end-user organizations, who fund the foundation through annual dues.</w:t>
      </w:r>
    </w:p>
    <w:p>
      <w:pPr>
        <w:spacing w:after="120" w:line="300"/>
      </w:pPr>
      <w:r>
        <w:t xml:space="preserve">The CNCF's role is curatorial as much as financial. By accepting projects into a defined lifecycle, providing infrastructure, marketing, legal support, and project-management oversight, the foundation gives users a credible signal: "this project is well-governed, well-licensed, and intended for the long term."</w:t>
      </w:r>
    </w:p>
    <w:p>
      <w:pPr>
        <w:pStyle w:val="Heading2"/>
        <w:spacing w:after="160" w:before="280"/>
      </w:pPr>
      <w:r>
        <w:t xml:space="preserve">1.2 The Three Maturity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Stage</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Signal</w:t>
            </w:r>
          </w:p>
        </w:tc>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Typical state</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Sandbox</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Early-stage; promising idea, small community</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Use experimentally; expect API churn; not for production</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Incubating</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Significant adoption, governance maturity, growing community</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Production-viable for most users; some risk; active development</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Highest tier; broad adoption, mature governance, security audits passed</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Production-ready; treat as you would Kubernetes itself</w:t>
            </w:r>
          </w:p>
        </w:tc>
      </w:tr>
    </w:tbl>
    <w:p>
      <w:pPr>
        <w:spacing w:after="120" w:line="300"/>
      </w:pPr>
      <w:r>
        <w:t xml:space="preserve">The progression isn't automatic. Projects must petition the CNCF Technical Oversight Committee (TOC) for promotion at each stage, demonstrating community size, governance, code quality, end-user adoption, and (critically for security) independent security audits.</w:t>
      </w:r>
    </w:p>
    <w:p>
      <w:pPr>
        <w:pStyle w:val="Heading2"/>
        <w:spacing w:after="160" w:before="280"/>
      </w:pPr>
      <w:r>
        <w:t xml:space="preserve">1.3 Sandbox Criteria</w:t>
      </w:r>
    </w:p>
    <w:p>
      <w:pPr>
        <w:pStyle w:val="ListParagraph"/>
        <w:numPr>
          <w:ilvl w:val="0"/>
          <w:numId w:val="2"/>
        </w:numPr>
        <w:spacing w:after="80" w:line="290"/>
      </w:pPr>
      <w:r>
        <w:t xml:space="preserve">Aligned with CNCF mission (cloud-native infrastructure).</w:t>
      </w:r>
    </w:p>
    <w:p>
      <w:pPr>
        <w:pStyle w:val="ListParagraph"/>
        <w:numPr>
          <w:ilvl w:val="0"/>
          <w:numId w:val="2"/>
        </w:numPr>
        <w:spacing w:after="80" w:line="290"/>
      </w:pPr>
      <w:r>
        <w:t xml:space="preserve">Open license (Apache 2.0 strongly preferred).</w:t>
      </w:r>
    </w:p>
    <w:p>
      <w:pPr>
        <w:pStyle w:val="ListParagraph"/>
        <w:numPr>
          <w:ilvl w:val="0"/>
          <w:numId w:val="2"/>
        </w:numPr>
        <w:spacing w:after="80" w:line="290"/>
      </w:pPr>
      <w:r>
        <w:t xml:space="preserve">Code of Conduct, contributor guidelines.</w:t>
      </w:r>
    </w:p>
    <w:p>
      <w:pPr>
        <w:pStyle w:val="ListParagraph"/>
        <w:numPr>
          <w:ilvl w:val="0"/>
          <w:numId w:val="2"/>
        </w:numPr>
        <w:spacing w:after="80" w:line="290"/>
      </w:pPr>
      <w:r>
        <w:t xml:space="preserve">Disclosed companies of contributors.</w:t>
      </w:r>
    </w:p>
    <w:p>
      <w:pPr>
        <w:pStyle w:val="ListParagraph"/>
        <w:numPr>
          <w:ilvl w:val="0"/>
          <w:numId w:val="2"/>
        </w:numPr>
        <w:spacing w:after="80" w:line="290"/>
      </w:pPr>
      <w:r>
        <w:t xml:space="preserve">Demonstrated technical merit and original work.</w:t>
      </w:r>
    </w:p>
    <w:p>
      <w:pPr>
        <w:spacing w:after="120" w:line="300"/>
      </w:pPr>
      <w:r>
        <w:t xml:space="preserve">Sandbox is the on-ramp. Many projects that would be production-grade in another context are still labeled "Sandbox" because they haven't yet hit the broad-adoption thresholds for Incubating.</w:t>
      </w:r>
    </w:p>
    <w:p>
      <w:pPr>
        <w:pStyle w:val="Heading2"/>
        <w:spacing w:after="160" w:before="280"/>
      </w:pPr>
      <w:r>
        <w:t xml:space="preserve">1.4 Incubating Criteria</w:t>
      </w:r>
    </w:p>
    <w:p>
      <w:pPr>
        <w:pStyle w:val="ListParagraph"/>
        <w:numPr>
          <w:ilvl w:val="0"/>
          <w:numId w:val="2"/>
        </w:numPr>
        <w:spacing w:after="80" w:line="290"/>
      </w:pPr>
      <w:r>
        <w:t xml:space="preserve">Significant adoption (typically 3+ end-user companies in production).</w:t>
      </w:r>
    </w:p>
    <w:p>
      <w:pPr>
        <w:pStyle w:val="ListParagraph"/>
        <w:numPr>
          <w:ilvl w:val="0"/>
          <w:numId w:val="2"/>
        </w:numPr>
        <w:spacing w:after="80" w:line="290"/>
      </w:pPr>
      <w:r>
        <w:t xml:space="preserve">Diverse contributor base (not dominated by a single company).</w:t>
      </w:r>
    </w:p>
    <w:p>
      <w:pPr>
        <w:pStyle w:val="ListParagraph"/>
        <w:numPr>
          <w:ilvl w:val="0"/>
          <w:numId w:val="2"/>
        </w:numPr>
        <w:spacing w:after="80" w:line="290"/>
      </w:pPr>
      <w:r>
        <w:t xml:space="preserve">Documented governance and decision-making.</w:t>
      </w:r>
    </w:p>
    <w:p>
      <w:pPr>
        <w:pStyle w:val="ListParagraph"/>
        <w:numPr>
          <w:ilvl w:val="0"/>
          <w:numId w:val="2"/>
        </w:numPr>
        <w:spacing w:after="80" w:line="290"/>
      </w:pPr>
      <w:r>
        <w:t xml:space="preserve">Working CI / CD, releases, security disclosure process.</w:t>
      </w:r>
    </w:p>
    <w:p>
      <w:pPr>
        <w:pStyle w:val="ListParagraph"/>
        <w:numPr>
          <w:ilvl w:val="0"/>
          <w:numId w:val="2"/>
        </w:numPr>
        <w:spacing w:after="80" w:line="290"/>
      </w:pPr>
      <w:r>
        <w:t xml:space="preserve">CLOMonitor or similar passing thresholds.</w:t>
      </w:r>
    </w:p>
    <w:p>
      <w:pPr>
        <w:spacing w:after="120" w:line="300"/>
      </w:pPr>
      <w:r>
        <w:t xml:space="preserve">Incubating is the working majority. Most projects you'd consider for production are at least Incubating.</w:t>
      </w:r>
    </w:p>
    <w:p>
      <w:pPr>
        <w:pStyle w:val="Heading2"/>
        <w:spacing w:after="160" w:before="280"/>
      </w:pPr>
      <w:r>
        <w:t xml:space="preserve">1.5 Graduated Criteria</w:t>
      </w:r>
    </w:p>
    <w:p>
      <w:pPr>
        <w:pStyle w:val="ListParagraph"/>
        <w:numPr>
          <w:ilvl w:val="0"/>
          <w:numId w:val="2"/>
        </w:numPr>
        <w:spacing w:after="80" w:line="290"/>
      </w:pPr>
      <w:r>
        <w:t xml:space="preserve">All Incubating criteria, plus:</w:t>
      </w:r>
    </w:p>
    <w:p>
      <w:pPr>
        <w:pStyle w:val="ListParagraph"/>
        <w:numPr>
          <w:ilvl w:val="0"/>
          <w:numId w:val="2"/>
        </w:numPr>
        <w:spacing w:after="80" w:line="290"/>
      </w:pPr>
      <w:r>
        <w:t xml:space="preserve">Committers from at least 2 organizations.</w:t>
      </w:r>
    </w:p>
    <w:p>
      <w:pPr>
        <w:pStyle w:val="ListParagraph"/>
        <w:numPr>
          <w:ilvl w:val="0"/>
          <w:numId w:val="2"/>
        </w:numPr>
        <w:spacing w:after="80" w:line="290"/>
      </w:pPr>
      <w:r>
        <w:t xml:space="preserve">Project Health metrics good (CLOMonitor / DevStats).</w:t>
      </w:r>
    </w:p>
    <w:p>
      <w:pPr>
        <w:pStyle w:val="ListParagraph"/>
        <w:numPr>
          <w:ilvl w:val="0"/>
          <w:numId w:val="2"/>
        </w:numPr>
        <w:spacing w:after="80" w:line="290"/>
      </w:pPr>
      <w:r>
        <w:t xml:space="preserve">**Independent third-party security audit** passed (this is the big one).</w:t>
      </w:r>
    </w:p>
    <w:p>
      <w:pPr>
        <w:pStyle w:val="ListParagraph"/>
        <w:numPr>
          <w:ilvl w:val="0"/>
          <w:numId w:val="2"/>
        </w:numPr>
        <w:spacing w:after="80" w:line="290"/>
      </w:pPr>
      <w:r>
        <w:t xml:space="preserve">Adoption commit log demonstrating significant production use.</w:t>
      </w:r>
    </w:p>
    <w:p>
      <w:pPr>
        <w:pStyle w:val="ListParagraph"/>
        <w:numPr>
          <w:ilvl w:val="0"/>
          <w:numId w:val="2"/>
        </w:numPr>
        <w:spacing w:after="80" w:line="290"/>
      </w:pPr>
      <w:r>
        <w:t xml:space="preserve">Clear documentation, reference implementations.</w:t>
      </w:r>
    </w:p>
    <w:p>
      <w:pPr>
        <w:spacing w:after="120" w:line="300"/>
      </w:pPr>
      <w:r>
        <w:t xml:space="preserve">Graduated is the highest signal. As of this writing, the security-relevant graduated projects are: Falco, OPA, Kyverno, in-toto, Sigstore, SPIFFE/SPIRE (single graduation), TUF, and Notary v1. Other graduated projects (Cilium, Linkerd) are security-relevant despite not being security-categorized.</w:t>
      </w:r>
    </w:p>
    <w:p>
      <w:pPr>
        <w:pStyle w:val="Heading2"/>
        <w:spacing w:after="160" w:before="280"/>
      </w:pPr>
      <w:r>
        <w:t xml:space="preserve">1.6 Why The Audits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Real Difference Between Incubating and Graduated</w:t>
            </w:r>
          </w:p>
          <w:p>
            <w:pPr>
              <w:spacing w:after="60" w:line="280"/>
            </w:pPr>
            <w:r>
              <w:rPr>
                <w:sz w:val="22"/>
                <w:szCs w:val="22"/>
              </w:rPr>
              <w:t xml:space="preserve">Graduation requires an INDEPENDENT third-party security audit. CNCF funds these — typically run by firms like Trail of Bits, Cure53, NCC Group. Audit reports are PUBLISHED, including findings. "Graduated" is shorthand for "this codebase has been read by professional pentesters, problems were found and fixed, and the report is on the public internet." That is a stronger signal than any vendor self-attestation.</w:t>
            </w:r>
          </w:p>
        </w:tc>
      </w:tr>
    </w:tbl>
    <w:p>
      <w:pPr>
        <w:pStyle w:val="Heading2"/>
        <w:spacing w:after="160" w:before="280"/>
      </w:pPr>
      <w:r>
        <w:t xml:space="preserve">1.7 The Project Categories</w:t>
      </w:r>
    </w:p>
    <w:p>
      <w:pPr>
        <w:spacing w:after="120" w:line="300"/>
      </w:pPr>
      <w:r>
        <w:t xml:space="preserve">CNCF tags projects with categories. The security-relevant ones:</w:t>
      </w:r>
    </w:p>
    <w:p>
      <w:pPr>
        <w:pStyle w:val="ListParagraph"/>
        <w:numPr>
          <w:ilvl w:val="0"/>
          <w:numId w:val="2"/>
        </w:numPr>
        <w:spacing w:after="80" w:line="290"/>
      </w:pPr>
      <w:r>
        <w:t xml:space="preserve">**Security &amp; Compliance** — Falco, OPA, Kyverno, Sigstore, SPIFFE, etc.</w:t>
      </w:r>
    </w:p>
    <w:p>
      <w:pPr>
        <w:pStyle w:val="ListParagraph"/>
        <w:numPr>
          <w:ilvl w:val="0"/>
          <w:numId w:val="2"/>
        </w:numPr>
        <w:spacing w:after="80" w:line="290"/>
      </w:pPr>
      <w:r>
        <w:t xml:space="preserve">**Provisioning** — sometimes overlapping (External Secrets Operator).</w:t>
      </w:r>
    </w:p>
    <w:p>
      <w:pPr>
        <w:pStyle w:val="ListParagraph"/>
        <w:numPr>
          <w:ilvl w:val="0"/>
          <w:numId w:val="2"/>
        </w:numPr>
        <w:spacing w:after="80" w:line="290"/>
      </w:pPr>
      <w:r>
        <w:t xml:space="preserve">**Runtime** — service mesh (Linkerd, Istio, Cilium) — security-adjacent.</w:t>
      </w:r>
    </w:p>
    <w:p>
      <w:pPr>
        <w:pStyle w:val="ListParagraph"/>
        <w:numPr>
          <w:ilvl w:val="0"/>
          <w:numId w:val="2"/>
        </w:numPr>
        <w:spacing w:after="80" w:line="290"/>
      </w:pPr>
      <w:r>
        <w:t xml:space="preserve">**Orchestration &amp; Management** — Kubernetes itself (with security primitives).</w:t>
      </w:r>
    </w:p>
    <w:p>
      <w:pPr>
        <w:spacing w:after="120" w:line="300"/>
      </w:pPr>
      <w:r>
        <w:t xml:space="preserve">The Security &amp; Compliance category at landscape.cncf.io is the canonical list to browse.</w:t>
      </w:r>
    </w:p>
    <w:p>
      <w:pPr>
        <w:pStyle w:val="Heading2"/>
        <w:spacing w:after="160" w:before="280"/>
      </w:pPr>
      <w:r>
        <w:t xml:space="preserve">1.8 The Annotated Landscape</w:t>
      </w:r>
    </w:p>
    <w:p>
      <w:pPr>
        <w:pStyle w:val="ListParagraph"/>
        <w:numPr>
          <w:ilvl w:val="0"/>
          <w:numId w:val="2"/>
        </w:numPr>
        <w:spacing w:after="80" w:line="290"/>
      </w:pPr>
      <w:r>
        <w:t xml:space="preserve">**landscape.cncf.io** — the searchable index of every CNCF project, sorted by category.</w:t>
      </w:r>
    </w:p>
    <w:p>
      <w:pPr>
        <w:pStyle w:val="ListParagraph"/>
        <w:numPr>
          <w:ilvl w:val="0"/>
          <w:numId w:val="2"/>
        </w:numPr>
        <w:spacing w:after="80" w:line="290"/>
      </w:pPr>
      <w:r>
        <w:t xml:space="preserve">**TAG-Security** — the Technical Advisory Group for security; publishes whitepapers ("Cloud Native Security Whitepaper," "Software Supply Chain Security Best Practices") that double as curriculum.</w:t>
      </w:r>
    </w:p>
    <w:p>
      <w:pPr>
        <w:pStyle w:val="ListParagraph"/>
        <w:numPr>
          <w:ilvl w:val="0"/>
          <w:numId w:val="2"/>
        </w:numPr>
        <w:spacing w:after="80" w:line="290"/>
      </w:pPr>
      <w:r>
        <w:t xml:space="preserve">**Kubecon CloudNativeCon** — the conference where most projects announce major changes; the security track is dense with new project introductions.</w:t>
      </w:r>
    </w:p>
    <w:p>
      <w:r>
        <w:br w:type="page"/>
      </w:r>
    </w:p>
    <w:p>
      <w:pPr>
        <w:pStyle w:val="Heading1"/>
        <w:spacing w:after="200" w:before="360"/>
      </w:pPr>
      <w:r>
        <w:t xml:space="preserve">2. Falco — Runtime Security (Graduated)</w:t>
      </w:r>
    </w:p>
    <w:p>
      <w:pPr>
        <w:pStyle w:val="Heading2"/>
        <w:spacing w:after="160" w:before="280"/>
      </w:pPr>
      <w:r>
        <w:t xml:space="preserve">2.1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 (February 2024)</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Sysdig, donated 2018</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Runtime threat detection via syscall observation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"Watch every syscall on every node and shout when something suspicious happens"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reference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5 (full deep-dive)</w:t>
            </w:r>
          </w:p>
        </w:tc>
      </w:tr>
    </w:tbl>
    <w:p>
      <w:pPr>
        <w:pStyle w:val="Heading2"/>
        <w:spacing w:after="160" w:before="280"/>
      </w:pPr>
      <w:r>
        <w:t xml:space="preserve">2.2 Why It's Here</w:t>
      </w:r>
    </w:p>
    <w:p>
      <w:pPr>
        <w:spacing w:after="120" w:line="300"/>
      </w:pPr>
      <w:r>
        <w:t xml:space="preserve">Falco is the de facto open-source runtime detection engine for Linux and Kubernetes. It is the sister tool to admission policies: where Kyverno/OPA prevent things from being created, Falco watches what created things actually DO at runtime. Together they cover both static and behavioral attack surface.</w:t>
      </w:r>
    </w:p>
    <w:p>
      <w:pPr>
        <w:pStyle w:val="Heading2"/>
        <w:spacing w:after="160" w:before="280"/>
      </w:pPr>
      <w:r>
        <w:t xml:space="preserve">2.3 The Architecture in One Sentence</w:t>
      </w:r>
    </w:p>
    <w:p>
      <w:pPr>
        <w:spacing w:after="120" w:line="300"/>
      </w:pPr>
      <w:r>
        <w:t xml:space="preserve">Falco uses an eBPF program (or kernel module) to capture every syscall on a node, enriches each event with container and Kubernetes metadata, evaluates it against a YAML rules language, and emits alerts to configured outputs (Falcosidekick → Slack / PagerDuty / SIEM).</w:t>
      </w:r>
    </w:p>
    <w:p>
      <w:pPr>
        <w:pStyle w:val="Heading2"/>
        <w:spacing w:after="160" w:before="280"/>
      </w:pPr>
      <w:r>
        <w:t xml:space="preserve">2.4 What's New Since 1.0</w:t>
      </w:r>
    </w:p>
    <w:p>
      <w:pPr>
        <w:pStyle w:val="ListParagraph"/>
        <w:numPr>
          <w:ilvl w:val="0"/>
          <w:numId w:val="2"/>
        </w:numPr>
        <w:spacing w:after="80" w:line="290"/>
      </w:pPr>
      <w:r>
        <w:t xml:space="preserve">**Modern eBPF (CO-RE)** — single binary works across many kernel versions; no probe install needed.</w:t>
      </w:r>
    </w:p>
    <w:p>
      <w:pPr>
        <w:pStyle w:val="ListParagraph"/>
        <w:numPr>
          <w:ilvl w:val="0"/>
          <w:numId w:val="2"/>
        </w:numPr>
        <w:spacing w:after="80" w:line="290"/>
      </w:pPr>
      <w:r>
        <w:t xml:space="preserve">**Plugins** — extends beyond syscalls to K8s audit, AWS CloudTrail, GitHub, Okta, Kafka.</w:t>
      </w:r>
    </w:p>
    <w:p>
      <w:pPr>
        <w:pStyle w:val="ListParagraph"/>
        <w:numPr>
          <w:ilvl w:val="0"/>
          <w:numId w:val="2"/>
        </w:numPr>
        <w:spacing w:after="80" w:line="290"/>
      </w:pPr>
      <w:r>
        <w:t xml:space="preserve">**Falco Talon** — response engine for executing actions on alerts (kill pod, isolate, label).</w:t>
      </w:r>
    </w:p>
    <w:p>
      <w:pPr>
        <w:pStyle w:val="ListParagraph"/>
        <w:numPr>
          <w:ilvl w:val="0"/>
          <w:numId w:val="2"/>
        </w:numPr>
        <w:spacing w:after="80" w:line="290"/>
      </w:pPr>
      <w:r>
        <w:t xml:space="preserve">**Falcosidekick UI** — built-in alert visualization.</w:t>
      </w:r>
    </w:p>
    <w:p>
      <w:pPr>
        <w:pStyle w:val="Heading2"/>
        <w:spacing w:after="160" w:before="280"/>
      </w:pPr>
      <w:r>
        <w:t xml:space="preserve">2.5 Where It Fits in a Mature Stack</w:t>
      </w:r>
    </w:p>
    <w:p>
      <w:pPr>
        <w:pStyle w:val="ListParagraph"/>
        <w:numPr>
          <w:ilvl w:val="0"/>
          <w:numId w:val="2"/>
        </w:numPr>
        <w:spacing w:after="80" w:line="290"/>
      </w:pPr>
      <w:r>
        <w:t xml:space="preserve">Detection layer of defense-in-depth.</w:t>
      </w:r>
    </w:p>
    <w:p>
      <w:pPr>
        <w:pStyle w:val="ListParagraph"/>
        <w:numPr>
          <w:ilvl w:val="0"/>
          <w:numId w:val="2"/>
        </w:numPr>
        <w:spacing w:after="80" w:line="290"/>
      </w:pPr>
      <w:r>
        <w:t xml:space="preserve">Feeds the SIEM (Splunk / Elastic / Datadog) for forensic retention.</w:t>
      </w:r>
    </w:p>
    <w:p>
      <w:pPr>
        <w:pStyle w:val="ListParagraph"/>
        <w:numPr>
          <w:ilvl w:val="0"/>
          <w:numId w:val="2"/>
        </w:numPr>
        <w:spacing w:after="80" w:line="290"/>
      </w:pPr>
      <w:r>
        <w:t xml:space="preserve">Pages the on-call (PagerDuty) for SEV-1 patterns.</w:t>
      </w:r>
    </w:p>
    <w:p>
      <w:pPr>
        <w:pStyle w:val="ListParagraph"/>
        <w:numPr>
          <w:ilvl w:val="0"/>
          <w:numId w:val="2"/>
        </w:numPr>
        <w:spacing w:after="80" w:line="290"/>
      </w:pPr>
      <w:r>
        <w:t xml:space="preserve">Posts to the chat ops channel (Slack) for SEV-2.</w:t>
      </w:r>
    </w:p>
    <w:p>
      <w:pPr>
        <w:pStyle w:val="ListParagraph"/>
        <w:numPr>
          <w:ilvl w:val="0"/>
          <w:numId w:val="2"/>
        </w:numPr>
        <w:spacing w:after="80" w:line="290"/>
      </w:pPr>
      <w:r>
        <w:t xml:space="preserve">Integrates with admission policy and image signing for end-to-end coverage.</w:t>
      </w:r>
    </w:p>
    <w:p>
      <w:pPr>
        <w:pStyle w:val="Heading2"/>
        <w:spacing w:after="160" w:before="280"/>
      </w:pPr>
      <w:r>
        <w:t xml:space="preserve">2.6 Strengths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Strengths</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Trade-offs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Mature, graduated, security-audited</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Requires tuning to avoid false-positive fatigue</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YAML rules — accessible to engineers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Detection only — does not block (Falco Talon adds response)</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eBPF-based; minimal performance overhead</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Privileged DaemonSet — meaningful node access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Plugin ecosystem for non-syscall sources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Per-node deployment — restarts cause brief observability gaps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Strong default ruleset</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Rules engine is stateless — no cross-event correlation built-in</w:t>
            </w:r>
          </w:p>
        </w:tc>
      </w:tr>
    </w:tbl>
    <w:p>
      <w:r>
        <w:br w:type="page"/>
      </w:r>
    </w:p>
    <w:p>
      <w:pPr>
        <w:pStyle w:val="Heading1"/>
        <w:spacing w:after="200" w:before="360"/>
      </w:pPr>
      <w:r>
        <w:t xml:space="preserve">3. OPA — General-Purpose Policy Engine (Graduated)</w:t>
      </w:r>
    </w:p>
    <w:p>
      <w:pPr>
        <w:pStyle w:val="Heading2"/>
        <w:spacing w:after="160" w:before="280"/>
      </w:pPr>
      <w:r>
        <w:t xml:space="preserve">3.1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 (February 2021)</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Styra, donated 2018</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 decisions for any system, not just Kubernetes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"Hand any system input as JSON; OPA returns a decision; you decide what to do with it"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reference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3 (full deep-dive); Gatekeeper variant covered there</w:t>
            </w:r>
          </w:p>
        </w:tc>
      </w:tr>
    </w:tbl>
    <w:p>
      <w:pPr>
        <w:pStyle w:val="Heading2"/>
        <w:spacing w:after="160" w:before="280"/>
      </w:pPr>
      <w:r>
        <w:t xml:space="preserve">3.2 Why It's Significant</w:t>
      </w:r>
    </w:p>
    <w:p>
      <w:pPr>
        <w:spacing w:after="120" w:line="300"/>
      </w:pPr>
      <w:r>
        <w:t xml:space="preserve">OPA is more than a Kubernetes policy engine — it's a general-purpose decision engine. The same Rego policy can:</w:t>
      </w:r>
    </w:p>
    <w:p>
      <w:pPr>
        <w:pStyle w:val="ListParagraph"/>
        <w:numPr>
          <w:ilvl w:val="0"/>
          <w:numId w:val="2"/>
        </w:numPr>
        <w:spacing w:after="80" w:line="290"/>
      </w:pPr>
      <w:r>
        <w:t xml:space="preserve">Gate Kubernetes admission (via Gatekeeper).</w:t>
      </w:r>
    </w:p>
    <w:p>
      <w:pPr>
        <w:pStyle w:val="ListParagraph"/>
        <w:numPr>
          <w:ilvl w:val="0"/>
          <w:numId w:val="2"/>
        </w:numPr>
        <w:spacing w:after="80" w:line="290"/>
      </w:pPr>
      <w:r>
        <w:t xml:space="preserve">Authorize microservice requests (via Envoy / Istio integration).</w:t>
      </w:r>
    </w:p>
    <w:p>
      <w:pPr>
        <w:pStyle w:val="ListParagraph"/>
        <w:numPr>
          <w:ilvl w:val="0"/>
          <w:numId w:val="2"/>
        </w:numPr>
        <w:spacing w:after="80" w:line="290"/>
      </w:pPr>
      <w:r>
        <w:t xml:space="preserve">Validate Terraform plans in CI (via conftest).</w:t>
      </w:r>
    </w:p>
    <w:p>
      <w:pPr>
        <w:pStyle w:val="ListParagraph"/>
        <w:numPr>
          <w:ilvl w:val="0"/>
          <w:numId w:val="2"/>
        </w:numPr>
        <w:spacing w:after="80" w:line="290"/>
      </w:pPr>
      <w:r>
        <w:t xml:space="preserve">Make authorization decisions in custom applications (via the Go library).</w:t>
      </w:r>
    </w:p>
    <w:p>
      <w:pPr>
        <w:spacing w:after="120" w:line="300"/>
      </w:pPr>
      <w:r>
        <w:t xml:space="preserve">The bet: "policy" is a cross-platform concern, and a single policy engine that runs in every layer is more valuable than per-layer engines that don't share.</w:t>
      </w:r>
    </w:p>
    <w:p>
      <w:pPr>
        <w:pStyle w:val="Heading2"/>
        <w:spacing w:after="160" w:before="280"/>
      </w:pPr>
      <w:r>
        <w:t xml:space="preserve">3.3 OPA vs. Gatekeeper</w:t>
      </w:r>
    </w:p>
    <w:p>
      <w:pPr>
        <w:pStyle w:val="ListParagraph"/>
        <w:numPr>
          <w:ilvl w:val="0"/>
          <w:numId w:val="2"/>
        </w:numPr>
        <w:spacing w:after="80" w:line="290"/>
      </w:pPr>
      <w:r>
        <w:t xml:space="preserve">**OPA** is the engine — a binary or library that evaluates Rego policies against JSON input.</w:t>
      </w:r>
    </w:p>
    <w:p>
      <w:pPr>
        <w:pStyle w:val="ListParagraph"/>
        <w:numPr>
          <w:ilvl w:val="0"/>
          <w:numId w:val="2"/>
        </w:numPr>
        <w:spacing w:after="80" w:line="290"/>
      </w:pPr>
      <w:r>
        <w:t xml:space="preserve">**Gatekeeper** is the Kubernetes-specific wrapper — admission webhook + CRDs (ConstraintTemplate / Constraint) + audit loop.</w:t>
      </w:r>
    </w:p>
    <w:p>
      <w:pPr>
        <w:pStyle w:val="ListParagraph"/>
        <w:numPr>
          <w:ilvl w:val="0"/>
          <w:numId w:val="2"/>
        </w:numPr>
        <w:spacing w:after="80" w:line="290"/>
      </w:pPr>
      <w:r>
        <w:t xml:space="preserve">**Together** they form the K8s policy stack; Gatekeeper packages OPA for K8s use.</w:t>
      </w:r>
    </w:p>
    <w:p>
      <w:pPr>
        <w:pStyle w:val="ListParagraph"/>
        <w:numPr>
          <w:ilvl w:val="0"/>
          <w:numId w:val="2"/>
        </w:numPr>
        <w:spacing w:after="80" w:line="290"/>
      </w:pPr>
      <w:r>
        <w:t xml:space="preserve">Other OPA integrations: Envoy authz filter, Istio AuthorizationPolicy backend, conftest CLI, Spinnaker, Terraform Cloud.</w:t>
      </w:r>
    </w:p>
    <w:p>
      <w:pPr>
        <w:pStyle w:val="Heading2"/>
        <w:spacing w:after="160" w:before="280"/>
      </w:pPr>
      <w:r>
        <w:t xml:space="preserve">3.4 Why The Module Picked Both OPA and Kyverno</w:t>
      </w:r>
    </w:p>
    <w:p>
      <w:pPr>
        <w:spacing w:after="120" w:line="300"/>
      </w:pPr>
      <w:r>
        <w:t xml:space="preserve">The CNCF supports BOTH OPA/Gatekeeper and Kyverno as graduated K8s policy engines. They are not duplicates; they serve different audiences:</w:t>
      </w:r>
    </w:p>
    <w:p>
      <w:pPr>
        <w:pStyle w:val="ListParagraph"/>
        <w:numPr>
          <w:ilvl w:val="0"/>
          <w:numId w:val="2"/>
        </w:numPr>
        <w:spacing w:after="80" w:line="290"/>
      </w:pPr>
      <w:r>
        <w:t xml:space="preserve">OPA / Gatekeeper — Rego is more powerful, multi-platform, but has a learning curve. Best for organizations with policy needs beyond K8s, or with security teams already fluent in OPA.</w:t>
      </w:r>
    </w:p>
    <w:p>
      <w:pPr>
        <w:pStyle w:val="ListParagraph"/>
        <w:numPr>
          <w:ilvl w:val="0"/>
          <w:numId w:val="2"/>
        </w:numPr>
        <w:spacing w:after="80" w:line="290"/>
      </w:pPr>
      <w:r>
        <w:t xml:space="preserve">Kyverno — YAML-based, K8s-native, faster onboarding for K8s-only teams, mutation and image verification first-class.</w:t>
      </w:r>
    </w:p>
    <w:p>
      <w:pPr>
        <w:spacing w:after="120" w:line="300"/>
      </w:pPr>
      <w:r>
        <w:t xml:space="preserve">Modules 3 and 4 covered each in depth. The CNCF hosts both because the audiences and use cases are genuinely different — not because the foundation couldn't pick a winner.</w:t>
      </w:r>
    </w:p>
    <w:p>
      <w:pPr>
        <w:pStyle w:val="Heading2"/>
        <w:spacing w:after="160" w:before="280"/>
      </w:pPr>
      <w:r>
        <w:t xml:space="preserve">3.5 The Wider OPA Ecosystem</w:t>
      </w:r>
    </w:p>
    <w:p>
      <w:pPr>
        <w:pStyle w:val="ListParagraph"/>
        <w:numPr>
          <w:ilvl w:val="0"/>
          <w:numId w:val="2"/>
        </w:numPr>
        <w:spacing w:after="80" w:line="290"/>
      </w:pPr>
      <w:r>
        <w:t xml:space="preserve">**Conftest** — CLI for testing structured config (Terraform, K8s YAML, Dockerfile, Helm) against Rego.</w:t>
      </w:r>
    </w:p>
    <w:p>
      <w:pPr>
        <w:pStyle w:val="ListParagraph"/>
        <w:numPr>
          <w:ilvl w:val="0"/>
          <w:numId w:val="2"/>
        </w:numPr>
        <w:spacing w:after="80" w:line="290"/>
      </w:pPr>
      <w:r>
        <w:t xml:space="preserve">**Styra DAS** (commercial) — hosted policy management, decision logs, SaaS dashboard.</w:t>
      </w:r>
    </w:p>
    <w:p>
      <w:pPr>
        <w:pStyle w:val="ListParagraph"/>
        <w:numPr>
          <w:ilvl w:val="0"/>
          <w:numId w:val="2"/>
        </w:numPr>
        <w:spacing w:after="80" w:line="290"/>
      </w:pPr>
      <w:r>
        <w:t xml:space="preserve">**OPAL** — open-source policy admin layer for syncing OPA instances and policy data.</w:t>
      </w:r>
    </w:p>
    <w:p>
      <w:pPr>
        <w:pStyle w:val="ListParagraph"/>
        <w:numPr>
          <w:ilvl w:val="0"/>
          <w:numId w:val="2"/>
        </w:numPr>
        <w:spacing w:after="80" w:line="290"/>
      </w:pPr>
      <w:r>
        <w:t xml:space="preserve">**Policy library on the OPA site** — sample policies for K8s, Terraform, Envoy, AWS IAM, Docker, and more.</w:t>
      </w:r>
    </w:p>
    <w:p>
      <w:r>
        <w:br w:type="page"/>
      </w:r>
    </w:p>
    <w:p>
      <w:pPr>
        <w:pStyle w:val="Heading1"/>
        <w:spacing w:after="200" w:before="360"/>
      </w:pPr>
      <w:r>
        <w:t xml:space="preserve">4. Kyverno — K8s-Native Policy (Graduated)</w:t>
      </w:r>
    </w:p>
    <w:p>
      <w:pPr>
        <w:pStyle w:val="Heading2"/>
        <w:spacing w:after="160" w:before="280"/>
      </w:pPr>
      <w:r>
        <w:t xml:space="preserve">4.1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 (December 2023)</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Nirmata, donated 2020</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Kubernetes policy in YAML — validation, mutation, generation, image verification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"Pattern matching on Kubernetes objects, expressed in YAML"</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reference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4 (full deep-dive)</w:t>
            </w:r>
          </w:p>
        </w:tc>
      </w:tr>
    </w:tbl>
    <w:p>
      <w:pPr>
        <w:pStyle w:val="Heading2"/>
        <w:spacing w:after="160" w:before="280"/>
      </w:pPr>
      <w:r>
        <w:t xml:space="preserve">4.2 The Bet That Made Kyverno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Kyverno Hypothesis</w:t>
            </w:r>
          </w:p>
          <w:p>
            <w:pPr>
              <w:spacing w:after="60" w:line="280"/>
            </w:pPr>
            <w:r>
              <w:rPr>
                <w:sz w:val="22"/>
                <w:szCs w:val="22"/>
              </w:rPr>
              <w:t xml:space="preserve">Most Kubernetes policies are not algorithmically complex — they are pattern matches. "The pod must look like this. The label must match this regex. The image must come from this registry." Express those as YAML — the same format engineers already use — and you remove the language barrier without losing meaningful capability.</w:t>
            </w:r>
          </w:p>
        </w:tc>
      </w:tr>
    </w:tbl>
    <w:p>
      <w:pPr>
        <w:pStyle w:val="Heading2"/>
        <w:spacing w:after="160" w:before="280"/>
      </w:pPr>
      <w:r>
        <w:t xml:space="preserve">4.3 The Four Rule Types</w:t>
      </w:r>
    </w:p>
    <w:p>
      <w:pPr>
        <w:pStyle w:val="ListParagraph"/>
        <w:numPr>
          <w:ilvl w:val="0"/>
          <w:numId w:val="2"/>
        </w:numPr>
        <w:spacing w:after="80" w:line="290"/>
      </w:pPr>
      <w:r>
        <w:t xml:space="preserve">**validate** — accept or reject resources based on a YAML pattern or condition.</w:t>
      </w:r>
    </w:p>
    <w:p>
      <w:pPr>
        <w:pStyle w:val="ListParagraph"/>
        <w:numPr>
          <w:ilvl w:val="0"/>
          <w:numId w:val="2"/>
        </w:numPr>
        <w:spacing w:after="80" w:line="290"/>
      </w:pPr>
      <w:r>
        <w:t xml:space="preserve">**mutate** — modify resources before persistence (auto-add labels, defaults, sidecars).</w:t>
      </w:r>
    </w:p>
    <w:p>
      <w:pPr>
        <w:pStyle w:val="ListParagraph"/>
        <w:numPr>
          <w:ilvl w:val="0"/>
          <w:numId w:val="2"/>
        </w:numPr>
        <w:spacing w:after="80" w:line="290"/>
      </w:pPr>
      <w:r>
        <w:t xml:space="preserve">**generate** — auto-create related resources (default-deny NetworkPolicy when a Namespace is created).</w:t>
      </w:r>
    </w:p>
    <w:p>
      <w:pPr>
        <w:pStyle w:val="ListParagraph"/>
        <w:numPr>
          <w:ilvl w:val="0"/>
          <w:numId w:val="2"/>
        </w:numPr>
        <w:spacing w:after="80" w:line="290"/>
      </w:pPr>
      <w:r>
        <w:t xml:space="preserve">**verifyImages** — validate Cosign signatures, SLSA provenance, or attestations on container images.</w:t>
      </w:r>
    </w:p>
    <w:p>
      <w:pPr>
        <w:spacing w:after="120" w:line="300"/>
      </w:pPr>
      <w:r>
        <w:t xml:space="preserve">Generate and built-in image verification are the two capabilities that distinguish Kyverno most clearly from Gatekeeper. Mutation existed in Kyverno from day one; Gatekeeper added it later.</w:t>
      </w:r>
    </w:p>
    <w:p>
      <w:pPr>
        <w:pStyle w:val="Heading2"/>
        <w:spacing w:after="160" w:before="280"/>
      </w:pPr>
      <w:r>
        <w:t xml:space="preserve">4.4 Why Both Kyverno and Gatekeeper Are Graduated</w:t>
      </w:r>
    </w:p>
    <w:p>
      <w:pPr>
        <w:pStyle w:val="ListParagraph"/>
        <w:numPr>
          <w:ilvl w:val="0"/>
          <w:numId w:val="2"/>
        </w:numPr>
        <w:spacing w:after="80" w:line="290"/>
      </w:pPr>
      <w:r>
        <w:t xml:space="preserve">Different audiences — Rego-fluent organizations vs. K8s-YAML-fluent organizations.</w:t>
      </w:r>
    </w:p>
    <w:p>
      <w:pPr>
        <w:pStyle w:val="ListParagraph"/>
        <w:numPr>
          <w:ilvl w:val="0"/>
          <w:numId w:val="2"/>
        </w:numPr>
        <w:spacing w:after="80" w:line="290"/>
      </w:pPr>
      <w:r>
        <w:t xml:space="preserve">Different sweet spots — multi-platform reuse (OPA) vs. K8s-only with low onboarding cost (Kyverno).</w:t>
      </w:r>
    </w:p>
    <w:p>
      <w:pPr>
        <w:pStyle w:val="ListParagraph"/>
        <w:numPr>
          <w:ilvl w:val="0"/>
          <w:numId w:val="2"/>
        </w:numPr>
        <w:spacing w:after="80" w:line="290"/>
      </w:pPr>
      <w:r>
        <w:t xml:space="preserve">The CNCF's role is to validate maturity, not pick winners — both have hit graduation criteria.</w:t>
      </w:r>
    </w:p>
    <w:p>
      <w:pPr>
        <w:spacing w:after="120" w:line="300"/>
      </w:pPr>
      <w:r>
        <w:t xml:space="preserve">In practice, most teams pick ONE and standardize. Some run both (Kyverno for image verification, Gatekeeper for cross-platform OPA reuse), but it's an integration cost.</w:t>
      </w:r>
    </w:p>
    <w:p>
      <w:pPr>
        <w:pStyle w:val="Heading2"/>
        <w:spacing w:after="160" w:before="280"/>
      </w:pPr>
      <w:r>
        <w:t xml:space="preserve">4.5 The Kyverno Policies Library</w:t>
      </w:r>
    </w:p>
    <w:p>
      <w:pPr>
        <w:pStyle w:val="ListParagraph"/>
        <w:numPr>
          <w:ilvl w:val="0"/>
          <w:numId w:val="2"/>
        </w:numPr>
        <w:spacing w:after="80" w:line="290"/>
      </w:pPr>
      <w:r>
        <w:t xml:space="preserve">**github.com/kyverno/policies** — community-maintained policy collection, browsable on the Kyverno site.</w:t>
      </w:r>
    </w:p>
    <w:p>
      <w:pPr>
        <w:pStyle w:val="ListParagraph"/>
        <w:numPr>
          <w:ilvl w:val="0"/>
          <w:numId w:val="2"/>
        </w:numPr>
        <w:spacing w:after="80" w:line="290"/>
      </w:pPr>
      <w:r>
        <w:t xml:space="preserve">Pod Security Standards (baseline + restricted) packaged as ready-to-apply ClusterPolicies.</w:t>
      </w:r>
    </w:p>
    <w:p>
      <w:pPr>
        <w:pStyle w:val="ListParagraph"/>
        <w:numPr>
          <w:ilvl w:val="0"/>
          <w:numId w:val="2"/>
        </w:numPr>
        <w:spacing w:after="80" w:line="290"/>
      </w:pPr>
      <w:r>
        <w:t xml:space="preserve">Best practices, multi-tenancy, supply-chain, networking, cloud-specific bundles.</w:t>
      </w:r>
    </w:p>
    <w:p>
      <w:pPr>
        <w:pStyle w:val="ListParagraph"/>
        <w:numPr>
          <w:ilvl w:val="0"/>
          <w:numId w:val="2"/>
        </w:numPr>
        <w:spacing w:after="80" w:line="290"/>
      </w:pPr>
      <w:r>
        <w:t xml:space="preserve">Aligns with CIS, NSA/CISA, PSS — drop-in compliance starter kits.</w:t>
      </w:r>
    </w:p>
    <w:p>
      <w:pPr>
        <w:pStyle w:val="Heading2"/>
        <w:spacing w:after="160" w:before="280"/>
      </w:pPr>
      <w:r>
        <w:t xml:space="preserve">4.6 The Kyverno CLI</w:t>
      </w:r>
    </w:p>
    <w:p>
      <w:pPr>
        <w:pStyle w:val="ListParagraph"/>
        <w:numPr>
          <w:ilvl w:val="0"/>
          <w:numId w:val="2"/>
        </w:numPr>
        <w:spacing w:after="80" w:line="290"/>
      </w:pPr>
      <w:r>
        <w:t xml:space="preserve">`kyverno test` — offline testing of policies against fixture manifests; CI-friendly.</w:t>
      </w:r>
    </w:p>
    <w:p>
      <w:pPr>
        <w:pStyle w:val="ListParagraph"/>
        <w:numPr>
          <w:ilvl w:val="0"/>
          <w:numId w:val="2"/>
        </w:numPr>
        <w:spacing w:after="80" w:line="290"/>
      </w:pPr>
      <w:r>
        <w:t xml:space="preserve">`kyverno apply` — local dry-run of a policy against a manifest.</w:t>
      </w:r>
    </w:p>
    <w:p>
      <w:pPr>
        <w:pStyle w:val="ListParagraph"/>
        <w:numPr>
          <w:ilvl w:val="0"/>
          <w:numId w:val="2"/>
        </w:numPr>
        <w:spacing w:after="80" w:line="290"/>
      </w:pPr>
      <w:r>
        <w:t xml:space="preserve">`kyverno create` — scaffold a new policy from common patterns.</w:t>
      </w:r>
    </w:p>
    <w:p>
      <w:pPr>
        <w:pStyle w:val="ListParagraph"/>
        <w:numPr>
          <w:ilvl w:val="0"/>
          <w:numId w:val="2"/>
        </w:numPr>
        <w:spacing w:after="80" w:line="290"/>
      </w:pPr>
      <w:r>
        <w:t xml:space="preserve">`kyverno-json` — emerging variant for non-K8s structured data (Terraform, CloudFormation).</w:t>
      </w:r>
    </w:p>
    <w:p>
      <w:r>
        <w:br w:type="page"/>
      </w:r>
    </w:p>
    <w:p>
      <w:pPr>
        <w:pStyle w:val="Heading1"/>
        <w:spacing w:after="200" w:before="360"/>
      </w:pPr>
      <w:r>
        <w:t xml:space="preserve">5. in-toto — Supply Chain Integrity (Graduated)</w:t>
      </w:r>
    </w:p>
    <w:p>
      <w:pPr>
        <w:pStyle w:val="Heading2"/>
        <w:spacing w:after="160" w:before="280"/>
      </w:pPr>
      <w:r>
        <w:t xml:space="preserve">5.1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 (May 2023)</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NYU Secure Systems Lab, donated 2018</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End-to-end integrity of software supply chains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"For each step in the build pipeline, produce signed metadata about WHAT was done, BY whom, with WHAT inputs and outputs"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reference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6 (touched in SLSA / Cosign attestation context)</w:t>
            </w:r>
          </w:p>
        </w:tc>
      </w:tr>
    </w:tbl>
    <w:p>
      <w:pPr>
        <w:pStyle w:val="Heading2"/>
        <w:spacing w:after="160" w:before="280"/>
      </w:pPr>
      <w:r>
        <w:t xml:space="preserve">5.2 What in-toto Is</w:t>
      </w:r>
    </w:p>
    <w:p>
      <w:pPr>
        <w:spacing w:after="120" w:line="300"/>
      </w:pPr>
      <w:r>
        <w:rPr>
          <w:b/>
          <w:bCs/>
        </w:rPr>
        <w:t xml:space="preserve">in-toto </w:t>
      </w:r>
      <w:r>
        <w:t xml:space="preserve">is a framework and specification for cryptographically attesting each step in a software supply chain. The idea is simple: each step (clone, build, test, sign, push) is performed by a specific actor with specific inputs and produces specific outputs. If you sign metadata about each step (what was done, by whom, with what tools, against what inputs), you can verify end-to-end that the software you receive is the result of the agreed-upon process.</w:t>
      </w:r>
    </w:p>
    <w:p>
      <w:pPr>
        <w:pStyle w:val="Heading2"/>
        <w:spacing w:after="160" w:before="280"/>
      </w:pPr>
      <w:r>
        <w:t xml:space="preserve">5.2.1 The Three Roles</w:t>
      </w:r>
    </w:p>
    <w:p>
      <w:pPr>
        <w:pStyle w:val="ListParagraph"/>
        <w:numPr>
          <w:ilvl w:val="0"/>
          <w:numId w:val="2"/>
        </w:numPr>
        <w:spacing w:after="80" w:line="290"/>
      </w:pPr>
      <w:r>
        <w:t xml:space="preserve">**Project owner** — defines the supply chain layout: which steps must happen, who's authorized, what they must use.</w:t>
      </w:r>
    </w:p>
    <w:p>
      <w:pPr>
        <w:pStyle w:val="ListParagraph"/>
        <w:numPr>
          <w:ilvl w:val="0"/>
          <w:numId w:val="2"/>
        </w:numPr>
        <w:spacing w:after="80" w:line="290"/>
      </w:pPr>
      <w:r>
        <w:t xml:space="preserve">**Functionary** — performs a specific step, signs metadata about its inputs and outputs.</w:t>
      </w:r>
    </w:p>
    <w:p>
      <w:pPr>
        <w:pStyle w:val="ListParagraph"/>
        <w:numPr>
          <w:ilvl w:val="0"/>
          <w:numId w:val="2"/>
        </w:numPr>
        <w:spacing w:after="80" w:line="290"/>
      </w:pPr>
      <w:r>
        <w:t xml:space="preserve">**Client / verifier** — receives the final artifact + chain of signed metadata, verifies it matches the defined layout.</w:t>
      </w:r>
    </w:p>
    <w:p>
      <w:pPr>
        <w:pStyle w:val="Heading2"/>
        <w:spacing w:after="160" w:before="280"/>
      </w:pPr>
      <w:r>
        <w:t xml:space="preserve">5.3 The Statement Format</w:t>
      </w:r>
    </w:p>
    <w:p>
      <w:pPr>
        <w:spacing w:after="120" w:line="300"/>
      </w:pPr>
      <w:r>
        <w:t xml:space="preserve">in-toto's most enduring contribution is the in-toto Statement format — a JSON envelope used by Cosign attestations, SLSA provenance, and many other supply-chain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"_type": "https://in-toto.io/Statement/v1",</w:t>
            </w:r>
          </w:p>
          <w:p>
            <w:pPr>
              <w:spacing w:after="0" w:line="260"/>
            </w:pPr>
            <w:r>
              <w:rPr>
                <w:rFonts w:ascii="Consolas" w:cs="Consolas" w:eastAsia="Consolas" w:hAnsi="Consolas"/>
                <w:sz w:val="20"/>
                <w:szCs w:val="20"/>
              </w:rPr>
              <w:t xml:space="preserve">  "subject":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"registry.example.com/api",</w:t>
            </w:r>
          </w:p>
          <w:p>
            <w:pPr>
              <w:spacing w:after="0" w:line="260"/>
            </w:pPr>
            <w:r>
              <w:rPr>
                <w:rFonts w:ascii="Consolas" w:cs="Consolas" w:eastAsia="Consolas" w:hAnsi="Consolas"/>
                <w:sz w:val="20"/>
                <w:szCs w:val="20"/>
              </w:rPr>
              <w:t xml:space="preserve">      "digest": { "sha256": "abc123..."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"predicateType": "https://slsa.dev/provenance/v1",</w:t>
            </w:r>
          </w:p>
          <w:p>
            <w:pPr>
              <w:spacing w:after="0" w:line="260"/>
            </w:pPr>
            <w:r>
              <w:rPr>
                <w:rFonts w:ascii="Consolas" w:cs="Consolas" w:eastAsia="Consolas" w:hAnsi="Consolas"/>
                <w:sz w:val="20"/>
                <w:szCs w:val="20"/>
              </w:rPr>
              <w:t xml:space="preserve">  "predicate": {</w:t>
            </w:r>
          </w:p>
          <w:p>
            <w:pPr>
              <w:spacing w:after="0" w:line="260"/>
            </w:pPr>
            <w:r>
              <w:rPr>
                <w:rFonts w:ascii="Consolas" w:cs="Consolas" w:eastAsia="Consolas" w:hAnsi="Consolas"/>
                <w:sz w:val="20"/>
                <w:szCs w:val="20"/>
              </w:rPr>
              <w:t xml:space="preserve">    /* ... type-specific content here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pPr>
      <w:r>
        <w:t xml:space="preserve">This format is what Cosign signs when you run `cosign attest`. Other tools that use it: SLSA provenance, Witness, Tekton Chains, GitHub artifact attestations.</w:t>
      </w:r>
    </w:p>
    <w:p>
      <w:pPr>
        <w:pStyle w:val="Heading2"/>
        <w:spacing w:after="160" w:before="280"/>
      </w:pPr>
      <w:r>
        <w:t xml:space="preserve">5.4 Why It Matters Beyond Its Original Tool</w:t>
      </w:r>
    </w:p>
    <w:p>
      <w:pPr>
        <w:pStyle w:val="ListParagraph"/>
        <w:numPr>
          <w:ilvl w:val="0"/>
          <w:numId w:val="2"/>
        </w:numPr>
        <w:spacing w:after="80" w:line="290"/>
      </w:pPr>
      <w:r>
        <w:t xml:space="preserve">**Industry standard** — when SLSA was designed, it picked in-toto as its attestation format. When GitHub adopted artifact attestations in 2024, they used in-toto.</w:t>
      </w:r>
    </w:p>
    <w:p>
      <w:pPr>
        <w:pStyle w:val="ListParagraph"/>
        <w:numPr>
          <w:ilvl w:val="0"/>
          <w:numId w:val="2"/>
        </w:numPr>
        <w:spacing w:after="80" w:line="290"/>
      </w:pPr>
      <w:r>
        <w:t xml:space="preserve">**Format gravity** — most supply-chain tools that emerged after in-toto adopted its statement format, creating ecosystem-wide interoperability.</w:t>
      </w:r>
    </w:p>
    <w:p>
      <w:pPr>
        <w:pStyle w:val="ListParagraph"/>
        <w:numPr>
          <w:ilvl w:val="0"/>
          <w:numId w:val="2"/>
        </w:numPr>
        <w:spacing w:after="80" w:line="290"/>
      </w:pPr>
      <w:r>
        <w:t xml:space="preserve">**Verification toolchain** — `in-toto-verify` runs end-to-end verification against a project layout; `cosign verify-attestation` checks individual statements.</w:t>
      </w:r>
    </w:p>
    <w:p>
      <w:pPr>
        <w:pStyle w:val="Heading2"/>
        <w:spacing w:after="160" w:before="280"/>
      </w:pPr>
      <w:r>
        <w:t xml:space="preserve">5.5 The Original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Define a layout (project owner does this once)</w:t>
            </w:r>
          </w:p>
          <w:p>
            <w:pPr>
              <w:spacing w:after="0" w:line="260"/>
            </w:pPr>
            <w:r>
              <w:rPr>
                <w:rFonts w:ascii="Consolas" w:cs="Consolas" w:eastAsia="Consolas" w:hAnsi="Consolas"/>
                <w:sz w:val="20"/>
                <w:szCs w:val="20"/>
              </w:rPr>
              <w:t xml:space="preserve">in-toto-layout-create -o layout.json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Each functionary records its step</w:t>
            </w:r>
          </w:p>
          <w:p>
            <w:pPr>
              <w:spacing w:after="0" w:line="260"/>
            </w:pPr>
            <w:r>
              <w:rPr>
                <w:rFonts w:ascii="Consolas" w:cs="Consolas" w:eastAsia="Consolas" w:hAnsi="Consolas"/>
                <w:sz w:val="20"/>
                <w:szCs w:val="20"/>
              </w:rPr>
              <w:t xml:space="preserve">in-toto-run \</w:t>
            </w:r>
          </w:p>
          <w:p>
            <w:pPr>
              <w:spacing w:after="0" w:line="260"/>
            </w:pPr>
            <w:r>
              <w:rPr>
                <w:rFonts w:ascii="Consolas" w:cs="Consolas" w:eastAsia="Consolas" w:hAnsi="Consolas"/>
                <w:sz w:val="20"/>
                <w:szCs w:val="20"/>
              </w:rPr>
              <w:t xml:space="preserve">    --step-name=clone \</w:t>
            </w:r>
          </w:p>
          <w:p>
            <w:pPr>
              <w:spacing w:after="0" w:line="260"/>
            </w:pPr>
            <w:r>
              <w:rPr>
                <w:rFonts w:ascii="Consolas" w:cs="Consolas" w:eastAsia="Consolas" w:hAnsi="Consolas"/>
                <w:sz w:val="20"/>
                <w:szCs w:val="20"/>
              </w:rPr>
              <w:t xml:space="preserve">    --key=clone-functionary.key \</w:t>
            </w:r>
          </w:p>
          <w:p>
            <w:pPr>
              <w:spacing w:after="0" w:line="260"/>
            </w:pPr>
            <w:r>
              <w:rPr>
                <w:rFonts w:ascii="Consolas" w:cs="Consolas" w:eastAsia="Consolas" w:hAnsi="Consolas"/>
                <w:sz w:val="20"/>
                <w:szCs w:val="20"/>
              </w:rPr>
              <w:t xml:space="preserve">    --products=src/ \</w:t>
            </w:r>
          </w:p>
          <w:p>
            <w:pPr>
              <w:spacing w:after="0" w:line="260"/>
            </w:pPr>
            <w:r>
              <w:rPr>
                <w:rFonts w:ascii="Consolas" w:cs="Consolas" w:eastAsia="Consolas" w:hAnsi="Consolas"/>
                <w:sz w:val="20"/>
                <w:szCs w:val="20"/>
              </w:rPr>
              <w:t xml:space="preserve">    -- git clone https://github.com/example/repo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in-toto-run \</w:t>
            </w:r>
          </w:p>
          <w:p>
            <w:pPr>
              <w:spacing w:after="0" w:line="260"/>
            </w:pPr>
            <w:r>
              <w:rPr>
                <w:rFonts w:ascii="Consolas" w:cs="Consolas" w:eastAsia="Consolas" w:hAnsi="Consolas"/>
                <w:sz w:val="20"/>
                <w:szCs w:val="20"/>
              </w:rPr>
              <w:t xml:space="preserve">    --step-name=build \</w:t>
            </w:r>
          </w:p>
          <w:p>
            <w:pPr>
              <w:spacing w:after="0" w:line="260"/>
            </w:pPr>
            <w:r>
              <w:rPr>
                <w:rFonts w:ascii="Consolas" w:cs="Consolas" w:eastAsia="Consolas" w:hAnsi="Consolas"/>
                <w:sz w:val="20"/>
                <w:szCs w:val="20"/>
              </w:rPr>
              <w:t xml:space="preserve">    --key=build-functionary.key \</w:t>
            </w:r>
          </w:p>
          <w:p>
            <w:pPr>
              <w:spacing w:after="0" w:line="260"/>
            </w:pPr>
            <w:r>
              <w:rPr>
                <w:rFonts w:ascii="Consolas" w:cs="Consolas" w:eastAsia="Consolas" w:hAnsi="Consolas"/>
                <w:sz w:val="20"/>
                <w:szCs w:val="20"/>
              </w:rPr>
              <w:t xml:space="preserve">    --materials=src/ \</w:t>
            </w:r>
          </w:p>
          <w:p>
            <w:pPr>
              <w:spacing w:after="0" w:line="260"/>
            </w:pPr>
            <w:r>
              <w:rPr>
                <w:rFonts w:ascii="Consolas" w:cs="Consolas" w:eastAsia="Consolas" w:hAnsi="Consolas"/>
                <w:sz w:val="20"/>
                <w:szCs w:val="20"/>
              </w:rPr>
              <w:t xml:space="preserve">    --products=dist/ \</w:t>
            </w:r>
          </w:p>
          <w:p>
            <w:pPr>
              <w:spacing w:after="0" w:line="260"/>
            </w:pPr>
            <w:r>
              <w:rPr>
                <w:rFonts w:ascii="Consolas" w:cs="Consolas" w:eastAsia="Consolas" w:hAnsi="Consolas"/>
                <w:sz w:val="20"/>
                <w:szCs w:val="20"/>
              </w:rPr>
              <w:t xml:space="preserve">    -- ./build.sh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Verifier checks the final artifact + all link metadata</w:t>
            </w:r>
          </w:p>
          <w:p>
            <w:pPr>
              <w:spacing w:after="0" w:line="260"/>
            </w:pPr>
            <w:r>
              <w:rPr>
                <w:rFonts w:ascii="Consolas" w:cs="Consolas" w:eastAsia="Consolas" w:hAnsi="Consolas"/>
                <w:sz w:val="20"/>
                <w:szCs w:val="20"/>
              </w:rPr>
              <w:t xml:space="preserve">in-toto-verify \</w:t>
            </w:r>
          </w:p>
          <w:p>
            <w:pPr>
              <w:spacing w:after="0" w:line="260"/>
            </w:pPr>
            <w:r>
              <w:rPr>
                <w:rFonts w:ascii="Consolas" w:cs="Consolas" w:eastAsia="Consolas" w:hAnsi="Consolas"/>
                <w:sz w:val="20"/>
                <w:szCs w:val="20"/>
              </w:rPr>
              <w:t xml:space="preserve">    --layout layout.json \</w:t>
            </w:r>
          </w:p>
          <w:p>
            <w:pPr>
              <w:spacing w:after="0" w:line="260"/>
            </w:pPr>
            <w:r>
              <w:rPr>
                <w:rFonts w:ascii="Consolas" w:cs="Consolas" w:eastAsia="Consolas" w:hAnsi="Consolas"/>
                <w:sz w:val="20"/>
                <w:szCs w:val="20"/>
              </w:rPr>
              <w:t xml:space="preserve">    --layout-keys owner.key.pub</w:t>
            </w:r>
          </w:p>
        </w:tc>
      </w:tr>
    </w:tbl>
    <w:p>
      <w:pPr>
        <w:pStyle w:val="Heading2"/>
        <w:spacing w:after="160" w:before="280"/>
      </w:pPr>
      <w:r>
        <w:t xml:space="preserve">5.6 in-toto Today</w:t>
      </w:r>
    </w:p>
    <w:p>
      <w:pPr>
        <w:spacing w:after="120" w:line="300"/>
      </w:pPr>
      <w:r>
        <w:t xml:space="preserve">Most production users don't run the original `in-toto-run` CLI. Instead they consume in-toto INDIRECTLY through the tools that use its format:</w:t>
      </w:r>
    </w:p>
    <w:p>
      <w:pPr>
        <w:pStyle w:val="ListParagraph"/>
        <w:numPr>
          <w:ilvl w:val="0"/>
          <w:numId w:val="2"/>
        </w:numPr>
        <w:spacing w:after="80" w:line="290"/>
      </w:pPr>
      <w:r>
        <w:t xml:space="preserve">Cosign attestations are in-toto Statements.</w:t>
      </w:r>
    </w:p>
    <w:p>
      <w:pPr>
        <w:pStyle w:val="ListParagraph"/>
        <w:numPr>
          <w:ilvl w:val="0"/>
          <w:numId w:val="2"/>
        </w:numPr>
        <w:spacing w:after="80" w:line="290"/>
      </w:pPr>
      <w:r>
        <w:t xml:space="preserve">SLSA provenance is an in-toto Statement with predicate type `slsa-provenance/v1`.</w:t>
      </w:r>
    </w:p>
    <w:p>
      <w:pPr>
        <w:pStyle w:val="ListParagraph"/>
        <w:numPr>
          <w:ilvl w:val="0"/>
          <w:numId w:val="2"/>
        </w:numPr>
        <w:spacing w:after="80" w:line="290"/>
      </w:pPr>
      <w:r>
        <w:t xml:space="preserve">Tekton Chains generates in-toto attestations for Tekton-built artifacts.</w:t>
      </w:r>
    </w:p>
    <w:p>
      <w:pPr>
        <w:pStyle w:val="ListParagraph"/>
        <w:numPr>
          <w:ilvl w:val="0"/>
          <w:numId w:val="2"/>
        </w:numPr>
        <w:spacing w:after="80" w:line="290"/>
      </w:pPr>
      <w:r>
        <w:t xml:space="preserve">Witness adds advanced functionary-attestation features around in-toto.</w:t>
      </w:r>
    </w:p>
    <w:p>
      <w:pPr>
        <w:spacing w:after="120" w:line="300"/>
      </w:pPr>
      <w:r>
        <w:t xml:space="preserve">So in-toto is graduated, important, and largely invisible — the format you depend on without knowing it.</w:t>
      </w:r>
    </w:p>
    <w:p>
      <w:r>
        <w:br w:type="page"/>
      </w:r>
    </w:p>
    <w:p>
      <w:pPr>
        <w:pStyle w:val="Heading1"/>
        <w:spacing w:after="200" w:before="360"/>
      </w:pPr>
      <w:r>
        <w:t xml:space="preserve">6. Sigstore — Signing for Everyone (Cosign, Fulcio, Rekor)</w:t>
      </w:r>
    </w:p>
    <w:p>
      <w:pPr>
        <w:pStyle w:val="Heading2"/>
        <w:spacing w:after="160" w:before="280"/>
      </w:pPr>
      <w:r>
        <w:t xml:space="preserve">6.1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 (October 2024)</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Linux Foundation / Red Hat / Google / Chainguard collaboration, started 2021</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Free, public, transparent infrastructure for signing software artifacts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"Signing without keys to manage; provenance visible in a public log"</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reference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Modules 4 (verifyImages), 6 (build pipeline), 8 (Zero Trust attestations)</w:t>
            </w:r>
          </w:p>
        </w:tc>
      </w:tr>
    </w:tbl>
    <w:p>
      <w:pPr>
        <w:pStyle w:val="Heading2"/>
        <w:spacing w:after="160" w:before="280"/>
      </w:pPr>
      <w:r>
        <w:t xml:space="preserve">6.2 The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Component</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Cosign</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CLI tool for signing and verifying container images, blobs, and attestations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Fulcio</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Certificate authority that issues short-lived (10-minute) X.509 certs bound to OIDC identities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Rekor</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Append-only, public transparency log recording every signature; tamper-evident audit trail</w:t>
            </w:r>
          </w:p>
        </w:tc>
      </w:tr>
    </w:tbl>
    <w:p>
      <w:pPr>
        <w:pStyle w:val="Heading2"/>
        <w:spacing w:after="160" w:before="280"/>
      </w:pPr>
      <w:r>
        <w:t xml:space="preserve">6.3 The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Why Sigstore Is a Big Deal</w:t>
            </w:r>
          </w:p>
          <w:p>
            <w:pPr>
              <w:spacing w:after="60" w:line="280"/>
            </w:pPr>
            <w:r>
              <w:rPr>
                <w:sz w:val="22"/>
                <w:szCs w:val="22"/>
              </w:rPr>
              <w:t xml:space="preserve">Before Sigstore, image signing required setting up a key infrastructure: generate keys, distribute public keys to verifiers, rotate keys, recover from key loss, set up a CA. Most projects skipped it, because the pain was higher than the perceived benefit. Sigstore's bet was: make signing FREE and KEYLESS — sign with your existing OIDC identity, signature recorded in a public log, no keys to lose. The barrier dropped from days to seconds; signing went from "only large projects do this" to "the default in CI pipelines."</w:t>
            </w:r>
          </w:p>
        </w:tc>
      </w:tr>
    </w:tbl>
    <w:p>
      <w:pPr>
        <w:pStyle w:val="Heading2"/>
        <w:spacing w:after="160" w:before="280"/>
      </w:pPr>
      <w:r>
        <w:t xml:space="preserve">6.4 Keyless Signing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In a GitHub Actions workflow, with id-token: write permission</w:t>
            </w:r>
          </w:p>
          <w:p>
            <w:pPr>
              <w:spacing w:after="0" w:line="260"/>
            </w:pPr>
            <w:r>
              <w:rPr>
                <w:rFonts w:ascii="Consolas" w:cs="Consolas" w:eastAsia="Consolas" w:hAnsi="Consolas"/>
                <w:sz w:val="20"/>
                <w:szCs w:val="20"/>
              </w:rPr>
              <w:t xml:space="preserve">- name: Build and push image</w:t>
            </w:r>
          </w:p>
          <w:p>
            <w:pPr>
              <w:spacing w:after="0" w:line="260"/>
            </w:pPr>
            <w:r>
              <w:rPr>
                <w:rFonts w:ascii="Consolas" w:cs="Consolas" w:eastAsia="Consolas" w:hAnsi="Consolas"/>
                <w:sz w:val="20"/>
                <w:szCs w:val="20"/>
              </w:rPr>
              <w:t xml:space="preserve">  id: push</w:t>
            </w:r>
          </w:p>
          <w:p>
            <w:pPr>
              <w:spacing w:after="0" w:line="260"/>
            </w:pPr>
            <w:r>
              <w:rPr>
                <w:rFonts w:ascii="Consolas" w:cs="Consolas" w:eastAsia="Consolas" w:hAnsi="Consolas"/>
                <w:sz w:val="20"/>
                <w:szCs w:val="20"/>
              </w:rPr>
              <w:t xml:space="preserve">  uses: docker/build-push-action@v5</w:t>
            </w:r>
          </w:p>
          <w:p>
            <w:pPr>
              <w:spacing w:after="0" w:line="260"/>
            </w:pPr>
            <w:r>
              <w:rPr>
                <w:rFonts w:ascii="Consolas" w:cs="Consolas" w:eastAsia="Consolas" w:hAnsi="Consolas"/>
                <w:sz w:val="20"/>
                <w:szCs w:val="20"/>
              </w:rPr>
              <w:t xml:space="preserve">  with:</w:t>
            </w:r>
          </w:p>
          <w:p>
            <w:pPr>
              <w:spacing w:after="0" w:line="260"/>
            </w:pPr>
            <w:r>
              <w:rPr>
                <w:rFonts w:ascii="Consolas" w:cs="Consolas" w:eastAsia="Consolas" w:hAnsi="Consolas"/>
                <w:sz w:val="20"/>
                <w:szCs w:val="20"/>
              </w:rPr>
              <w:t xml:space="preserve">    push: true</w:t>
            </w:r>
          </w:p>
          <w:p>
            <w:pPr>
              <w:spacing w:after="0" w:line="260"/>
            </w:pPr>
            <w:r>
              <w:rPr>
                <w:rFonts w:ascii="Consolas" w:cs="Consolas" w:eastAsia="Consolas" w:hAnsi="Consolas"/>
                <w:sz w:val="20"/>
                <w:szCs w:val="20"/>
              </w:rPr>
              <w:t xml:space="preserve">    tags: registry.example.com/app:${{ github.sha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Sign with Cosign keyless</w:t>
            </w:r>
          </w:p>
          <w:p>
            <w:pPr>
              <w:spacing w:after="0" w:line="260"/>
            </w:pPr>
            <w:r>
              <w:rPr>
                <w:rFonts w:ascii="Consolas" w:cs="Consolas" w:eastAsia="Consolas" w:hAnsi="Consolas"/>
                <w:sz w:val="20"/>
                <w:szCs w:val="20"/>
              </w:rPr>
              <w:t xml:space="preserve">  env:</w:t>
            </w:r>
          </w:p>
          <w:p>
            <w:pPr>
              <w:spacing w:after="0" w:line="260"/>
            </w:pPr>
            <w:r>
              <w:rPr>
                <w:rFonts w:ascii="Consolas" w:cs="Consolas" w:eastAsia="Consolas" w:hAnsi="Consolas"/>
                <w:sz w:val="20"/>
                <w:szCs w:val="20"/>
              </w:rPr>
              <w:t xml:space="preserve">    DIGEST: ${{ steps.push.outputs.digest }}</w:t>
            </w:r>
          </w:p>
          <w:p>
            <w:pPr>
              <w:spacing w:after="0" w:line="260"/>
            </w:pPr>
            <w:r>
              <w:rPr>
                <w:rFonts w:ascii="Consolas" w:cs="Consolas" w:eastAsia="Consolas" w:hAnsi="Consolas"/>
                <w:sz w:val="20"/>
                <w:szCs w:val="20"/>
              </w:rPr>
              <w:t xml:space="preserve">    IMAGE: registry.example.com/app</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cosign sign --yes "$IMAGE@$DIGEST"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Behind the scenes:</w:t>
            </w:r>
          </w:p>
          <w:p>
            <w:pPr>
              <w:spacing w:after="0" w:line="260"/>
            </w:pPr>
            <w:r>
              <w:rPr>
                <w:rFonts w:ascii="Consolas" w:cs="Consolas" w:eastAsia="Consolas" w:hAnsi="Consolas"/>
                <w:sz w:val="20"/>
                <w:szCs w:val="20"/>
              </w:rPr>
              <w:t xml:space="preserve"># 1. cosign requests an OIDC ID token from GitHub Actions.</w:t>
            </w:r>
          </w:p>
          <w:p>
            <w:pPr>
              <w:spacing w:after="0" w:line="260"/>
            </w:pPr>
            <w:r>
              <w:rPr>
                <w:rFonts w:ascii="Consolas" w:cs="Consolas" w:eastAsia="Consolas" w:hAnsi="Consolas"/>
                <w:sz w:val="20"/>
                <w:szCs w:val="20"/>
              </w:rPr>
              <w:t xml:space="preserve"># 2. cosign sends that token to Fulcio.</w:t>
            </w:r>
          </w:p>
          <w:p>
            <w:pPr>
              <w:spacing w:after="0" w:line="260"/>
            </w:pPr>
            <w:r>
              <w:rPr>
                <w:rFonts w:ascii="Consolas" w:cs="Consolas" w:eastAsia="Consolas" w:hAnsi="Consolas"/>
                <w:sz w:val="20"/>
                <w:szCs w:val="20"/>
              </w:rPr>
              <w:t xml:space="preserve"># 3. Fulcio verifies the OIDC issuer + claims, mints a short-lived X.509 cert</w:t>
            </w:r>
          </w:p>
          <w:p>
            <w:pPr>
              <w:spacing w:after="0" w:line="260"/>
            </w:pPr>
            <w:r>
              <w:rPr>
                <w:rFonts w:ascii="Consolas" w:cs="Consolas" w:eastAsia="Consolas" w:hAnsi="Consolas"/>
                <w:sz w:val="20"/>
                <w:szCs w:val="20"/>
              </w:rPr>
              <w:t xml:space="preserve">#    bound to the GitHub Actions identity (subject + repo + workflow path).</w:t>
            </w:r>
          </w:p>
          <w:p>
            <w:pPr>
              <w:spacing w:after="0" w:line="260"/>
            </w:pPr>
            <w:r>
              <w:rPr>
                <w:rFonts w:ascii="Consolas" w:cs="Consolas" w:eastAsia="Consolas" w:hAnsi="Consolas"/>
                <w:sz w:val="20"/>
                <w:szCs w:val="20"/>
              </w:rPr>
              <w:t xml:space="preserve"># 4. cosign signs the image digest with the cert.</w:t>
            </w:r>
          </w:p>
          <w:p>
            <w:pPr>
              <w:spacing w:after="0" w:line="260"/>
            </w:pPr>
            <w:r>
              <w:rPr>
                <w:rFonts w:ascii="Consolas" w:cs="Consolas" w:eastAsia="Consolas" w:hAnsi="Consolas"/>
                <w:sz w:val="20"/>
                <w:szCs w:val="20"/>
              </w:rPr>
              <w:t xml:space="preserve"># 5. cosign records the signature in the Rekor transparency log.</w:t>
            </w:r>
          </w:p>
          <w:p>
            <w:pPr>
              <w:spacing w:after="0" w:line="260"/>
            </w:pPr>
            <w:r>
              <w:rPr>
                <w:rFonts w:ascii="Consolas" w:cs="Consolas" w:eastAsia="Consolas" w:hAnsi="Consolas"/>
                <w:sz w:val="20"/>
                <w:szCs w:val="20"/>
              </w:rPr>
              <w:t xml:space="preserve"># 6. cosign stores the signature next to the image in the registry.</w:t>
            </w:r>
          </w:p>
          <w:p>
            <w:pPr>
              <w:spacing w:after="0" w:line="260"/>
            </w:pPr>
            <w:r>
              <w:rPr>
                <w:rFonts w:ascii="Consolas" w:cs="Consolas" w:eastAsia="Consolas" w:hAnsi="Consolas"/>
                <w:sz w:val="20"/>
                <w:szCs w:val="20"/>
              </w:rPr>
              <w:t xml:space="preserve"># 7. The cert is discarded (only valid for ~10 minutes anyway).</w:t>
            </w:r>
          </w:p>
        </w:tc>
      </w:tr>
    </w:tbl>
    <w:p>
      <w:pPr>
        <w:pStyle w:val="Heading2"/>
        <w:spacing w:after="160" w:before="280"/>
      </w:pPr>
      <w:r>
        <w:t xml:space="preserve">6.5 Verification at Use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Verify by identity — no keys to manage on the verifier side either</w:t>
            </w:r>
          </w:p>
          <w:p>
            <w:pPr>
              <w:spacing w:after="0" w:line="260"/>
            </w:pPr>
            <w:r>
              <w:rPr>
                <w:rFonts w:ascii="Consolas" w:cs="Consolas" w:eastAsia="Consolas" w:hAnsi="Consolas"/>
                <w:sz w:val="20"/>
                <w:szCs w:val="20"/>
              </w:rPr>
              <w:t xml:space="preserve">cosign verify \</w:t>
            </w:r>
          </w:p>
          <w:p>
            <w:pPr>
              <w:spacing w:after="0" w:line="260"/>
            </w:pPr>
            <w:r>
              <w:rPr>
                <w:rFonts w:ascii="Consolas" w:cs="Consolas" w:eastAsia="Consolas" w:hAnsi="Consolas"/>
                <w:sz w:val="20"/>
                <w:szCs w:val="20"/>
              </w:rPr>
              <w:t xml:space="preserve">    --certificate-identity-regexp "https://github.com/example-org/.+" \</w:t>
            </w:r>
          </w:p>
          <w:p>
            <w:pPr>
              <w:spacing w:after="0" w:line="260"/>
            </w:pPr>
            <w:r>
              <w:rPr>
                <w:rFonts w:ascii="Consolas" w:cs="Consolas" w:eastAsia="Consolas" w:hAnsi="Consolas"/>
                <w:sz w:val="20"/>
                <w:szCs w:val="20"/>
              </w:rPr>
              <w:t xml:space="preserve">    --certificate-oidc-issuer "https://token.actions.githubusercontent.com" \</w:t>
            </w:r>
          </w:p>
          <w:p>
            <w:pPr>
              <w:spacing w:after="0" w:line="260"/>
            </w:pPr>
            <w:r>
              <w:rPr>
                <w:rFonts w:ascii="Consolas" w:cs="Consolas" w:eastAsia="Consolas" w:hAnsi="Consolas"/>
                <w:sz w:val="20"/>
                <w:szCs w:val="20"/>
              </w:rPr>
              <w:t xml:space="preserve">    registry.example.com/app@sha256:abc...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This proves:</w:t>
            </w:r>
          </w:p>
          <w:p>
            <w:pPr>
              <w:spacing w:after="0" w:line="260"/>
            </w:pPr>
            <w:r>
              <w:rPr>
                <w:rFonts w:ascii="Consolas" w:cs="Consolas" w:eastAsia="Consolas" w:hAnsi="Consolas"/>
                <w:sz w:val="20"/>
                <w:szCs w:val="20"/>
              </w:rPr>
              <w:t xml:space="preserve">#   - The image was signed by GitHub Actions running in example-org</w:t>
            </w:r>
          </w:p>
          <w:p>
            <w:pPr>
              <w:spacing w:after="0" w:line="260"/>
            </w:pPr>
            <w:r>
              <w:rPr>
                <w:rFonts w:ascii="Consolas" w:cs="Consolas" w:eastAsia="Consolas" w:hAnsi="Consolas"/>
                <w:sz w:val="20"/>
                <w:szCs w:val="20"/>
              </w:rPr>
              <w:t xml:space="preserve">#   - The signature is recorded in Rekor (tamper-evident proof)</w:t>
            </w:r>
          </w:p>
          <w:p>
            <w:pPr>
              <w:spacing w:after="0" w:line="260"/>
            </w:pPr>
            <w:r>
              <w:rPr>
                <w:rFonts w:ascii="Consolas" w:cs="Consolas" w:eastAsia="Consolas" w:hAnsi="Consolas"/>
                <w:sz w:val="20"/>
                <w:szCs w:val="20"/>
              </w:rPr>
              <w:t xml:space="preserve">#   - The cert was valid at signing time (10-minute window)</w:t>
            </w:r>
          </w:p>
          <w:p>
            <w:pPr>
              <w:spacing w:after="0" w:line="260"/>
            </w:pPr>
            <w:r>
              <w:rPr>
                <w:rFonts w:ascii="Consolas" w:cs="Consolas" w:eastAsia="Consolas" w:hAnsi="Consolas"/>
                <w:sz w:val="20"/>
                <w:szCs w:val="20"/>
              </w:rPr>
              <w:t xml:space="preserve"># Without ever having distributed a public key.</w:t>
            </w:r>
          </w:p>
        </w:tc>
      </w:tr>
    </w:tbl>
    <w:p>
      <w:pPr>
        <w:pStyle w:val="Heading2"/>
        <w:spacing w:after="160" w:before="280"/>
      </w:pPr>
      <w:r>
        <w:t xml:space="preserve">6.6 Beyond Container Images</w:t>
      </w:r>
    </w:p>
    <w:p>
      <w:pPr>
        <w:spacing w:after="120" w:line="300"/>
      </w:pPr>
      <w:r>
        <w:t xml:space="preserve">Cosign signs more than container images:</w:t>
      </w:r>
    </w:p>
    <w:p>
      <w:pPr>
        <w:pStyle w:val="ListParagraph"/>
        <w:numPr>
          <w:ilvl w:val="0"/>
          <w:numId w:val="2"/>
        </w:numPr>
        <w:spacing w:after="80" w:line="290"/>
      </w:pPr>
      <w:r>
        <w:t xml:space="preserve">Arbitrary blobs (`cosign sign-blob`) — npm tarballs, JAR files, .deb packages.</w:t>
      </w:r>
    </w:p>
    <w:p>
      <w:pPr>
        <w:pStyle w:val="ListParagraph"/>
        <w:numPr>
          <w:ilvl w:val="0"/>
          <w:numId w:val="2"/>
        </w:numPr>
        <w:spacing w:after="80" w:line="290"/>
      </w:pPr>
      <w:r>
        <w:t xml:space="preserve">Attestations — "this SBOM applies to that image," "this SLSA provenance applies to that artifact."</w:t>
      </w:r>
    </w:p>
    <w:p>
      <w:pPr>
        <w:pStyle w:val="ListParagraph"/>
        <w:numPr>
          <w:ilvl w:val="0"/>
          <w:numId w:val="2"/>
        </w:numPr>
        <w:spacing w:after="80" w:line="290"/>
      </w:pPr>
      <w:r>
        <w:t xml:space="preserve">Helm charts — Helm 3.8+ supports Cosign signing of OCI-distributed charts.</w:t>
      </w:r>
    </w:p>
    <w:p>
      <w:pPr>
        <w:pStyle w:val="ListParagraph"/>
        <w:numPr>
          <w:ilvl w:val="0"/>
          <w:numId w:val="2"/>
        </w:numPr>
        <w:spacing w:after="80" w:line="290"/>
      </w:pPr>
      <w:r>
        <w:t xml:space="preserve">Wasm modules — emerging support.</w:t>
      </w:r>
    </w:p>
    <w:p>
      <w:pPr>
        <w:pStyle w:val="Heading2"/>
        <w:spacing w:after="160" w:before="280"/>
      </w:pPr>
      <w:r>
        <w:t xml:space="preserve">6.7 Why Sigstore Is in the CNCF</w:t>
      </w:r>
    </w:p>
    <w:p>
      <w:pPr>
        <w:spacing w:after="120" w:line="300"/>
      </w:pPr>
      <w:r>
        <w:t xml:space="preserve">Originally a Linux Foundation project, Sigstore moved to the CNCF in 2022 because its primary use cases — container image signing, Kubernetes admission verification, supply chain provenance — overlap heavily with the CNCF's mission. Graduation in October 2024 made it a peer to Falco, OPA, and Kyverno in maturity signaling.</w:t>
      </w:r>
    </w:p>
    <w:p>
      <w:pPr>
        <w:pStyle w:val="Heading2"/>
        <w:spacing w:after="160" w:before="280"/>
      </w:pPr>
      <w:r>
        <w:t xml:space="preserve">6.8 The Public Infrastructure</w:t>
      </w:r>
    </w:p>
    <w:p>
      <w:pPr>
        <w:pStyle w:val="ListParagraph"/>
        <w:numPr>
          <w:ilvl w:val="0"/>
          <w:numId w:val="2"/>
        </w:numPr>
        <w:spacing w:after="80" w:line="290"/>
      </w:pPr>
      <w:r>
        <w:t xml:space="preserve">**rekor.sigstore.dev** — the public Rekor instance; default for keyless signing.</w:t>
      </w:r>
    </w:p>
    <w:p>
      <w:pPr>
        <w:pStyle w:val="ListParagraph"/>
        <w:numPr>
          <w:ilvl w:val="0"/>
          <w:numId w:val="2"/>
        </w:numPr>
        <w:spacing w:after="80" w:line="290"/>
      </w:pPr>
      <w:r>
        <w:t xml:space="preserve">**fulcio.sigstore.dev** — the public Fulcio CA.</w:t>
      </w:r>
    </w:p>
    <w:p>
      <w:pPr>
        <w:pStyle w:val="ListParagraph"/>
        <w:numPr>
          <w:ilvl w:val="0"/>
          <w:numId w:val="2"/>
        </w:numPr>
        <w:spacing w:after="80" w:line="290"/>
      </w:pPr>
      <w:r>
        <w:t xml:space="preserve">Both are free, ad-supported... no, they're free, period. Operated by the Sigstore community.</w:t>
      </w:r>
    </w:p>
    <w:p>
      <w:pPr>
        <w:pStyle w:val="ListParagraph"/>
        <w:numPr>
          <w:ilvl w:val="0"/>
          <w:numId w:val="2"/>
        </w:numPr>
        <w:spacing w:after="80" w:line="290"/>
      </w:pPr>
      <w:r>
        <w:t xml:space="preserve">**Private Sigstore** — for orgs that want their own infra, the same software can be self-hosted.</w:t>
      </w:r>
    </w:p>
    <w:p>
      <w:r>
        <w:br w:type="page"/>
      </w:r>
    </w:p>
    <w:p>
      <w:pPr>
        <w:pStyle w:val="Heading1"/>
        <w:spacing w:after="200" w:before="360"/>
      </w:pPr>
      <w:r>
        <w:t xml:space="preserve">7. SPIFFE / SPIRE — Workload Identity (Graduated)</w:t>
      </w:r>
    </w:p>
    <w:p>
      <w:pPr>
        <w:pStyle w:val="Heading2"/>
        <w:spacing w:after="160" w:before="280"/>
      </w:pPr>
      <w:r>
        <w:t xml:space="preserve">7.1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 together (September 2022)</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Scytale, donated 2018; Scytale acquired by HPE in 2020</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Vendor-neutral, cryptographic, attested workload identity</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 URI per workload, an X.509 cert or JWT proving it, refreshed automatically"</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reference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Modules 7 (secrets / workload ID) and 8 (Zero Trust)</w:t>
            </w:r>
          </w:p>
        </w:tc>
      </w:tr>
    </w:tbl>
    <w:p>
      <w:pPr>
        <w:pStyle w:val="Heading2"/>
        <w:spacing w:after="160" w:before="280"/>
      </w:pPr>
      <w:r>
        <w:t xml:space="preserve">7.2 Why They're Counted Together</w:t>
      </w:r>
    </w:p>
    <w:p>
      <w:pPr>
        <w:spacing w:after="120" w:line="300"/>
      </w:pPr>
      <w:r>
        <w:t xml:space="preserve">SPIFFE is a SPECIFICATION ("what does workload identity look like?"). SPIRE is a REFERENCE IMPLEMENTATION ("here's a server + agent that does it"). The CNCF treats them as one project for governance because they evolve together — changes to the spec drive changes to SPIRE and vice versa.</w:t>
      </w:r>
    </w:p>
    <w:p>
      <w:pPr>
        <w:pStyle w:val="Heading2"/>
        <w:spacing w:after="160" w:before="280"/>
      </w:pPr>
      <w:r>
        <w:t xml:space="preserve">7.3 The Key Concepts (Quick Recap)</w:t>
      </w:r>
    </w:p>
    <w:p>
      <w:pPr>
        <w:pStyle w:val="ListParagraph"/>
        <w:numPr>
          <w:ilvl w:val="0"/>
          <w:numId w:val="2"/>
        </w:numPr>
        <w:spacing w:after="80" w:line="290"/>
      </w:pPr>
      <w:r>
        <w:t xml:space="preserve">**SPIFFE ID** — a URI uniquely identifying a workload: `spiffe://example.org/ns/payments/sa/api`.</w:t>
      </w:r>
    </w:p>
    <w:p>
      <w:pPr>
        <w:pStyle w:val="ListParagraph"/>
        <w:numPr>
          <w:ilvl w:val="0"/>
          <w:numId w:val="2"/>
        </w:numPr>
        <w:spacing w:after="80" w:line="290"/>
      </w:pPr>
      <w:r>
        <w:t xml:space="preserve">**SVID** (SPIFFE Verifiable Identity Document) — a credential proving an ID. X.509 SVID for mTLS, JWT SVID for HTTP/etc.</w:t>
      </w:r>
    </w:p>
    <w:p>
      <w:pPr>
        <w:pStyle w:val="ListParagraph"/>
        <w:numPr>
          <w:ilvl w:val="0"/>
          <w:numId w:val="2"/>
        </w:numPr>
        <w:spacing w:after="80" w:line="290"/>
      </w:pPr>
      <w:r>
        <w:t xml:space="preserve">**Trust Domain** — a unit of identity scope (typically one organization).</w:t>
      </w:r>
    </w:p>
    <w:p>
      <w:pPr>
        <w:pStyle w:val="ListParagraph"/>
        <w:numPr>
          <w:ilvl w:val="0"/>
          <w:numId w:val="2"/>
        </w:numPr>
        <w:spacing w:after="80" w:line="290"/>
      </w:pPr>
      <w:r>
        <w:t xml:space="preserve">**Workload API** — a local Unix socket every workload uses to fetch its current SVID.</w:t>
      </w:r>
    </w:p>
    <w:p>
      <w:pPr>
        <w:pStyle w:val="ListParagraph"/>
        <w:numPr>
          <w:ilvl w:val="0"/>
          <w:numId w:val="2"/>
        </w:numPr>
        <w:spacing w:after="80" w:line="290"/>
      </w:pPr>
      <w:r>
        <w:t xml:space="preserve">**Attestation** — kernel-evidence-based identification of a workload (process, container, K8s metadata).</w:t>
      </w:r>
    </w:p>
    <w:p>
      <w:pPr>
        <w:pStyle w:val="Heading2"/>
        <w:spacing w:after="160" w:before="280"/>
      </w:pPr>
      <w:r>
        <w:t xml:space="preserve">7.4 Why It Matters at Scale</w:t>
      </w:r>
    </w:p>
    <w:p>
      <w:pPr>
        <w:spacing w:after="120" w:line="300"/>
      </w:pPr>
      <w:r>
        <w:t xml:space="preserve">Single-cluster, single-cloud organizations get away with cloud-specific workload identity (IRSA, GKE WI, Azure AD WI). SPIFFE wins in three scenarios:</w:t>
      </w:r>
    </w:p>
    <w:p>
      <w:pPr>
        <w:pStyle w:val="ListParagraph"/>
        <w:numPr>
          <w:ilvl w:val="0"/>
          <w:numId w:val="2"/>
        </w:numPr>
        <w:spacing w:after="80" w:line="290"/>
      </w:pPr>
      <w:r>
        <w:t xml:space="preserve">**Multi-cluster** — workloads across clusters need consistent identity.</w:t>
      </w:r>
    </w:p>
    <w:p>
      <w:pPr>
        <w:pStyle w:val="ListParagraph"/>
        <w:numPr>
          <w:ilvl w:val="0"/>
          <w:numId w:val="2"/>
        </w:numPr>
        <w:spacing w:after="80" w:line="290"/>
      </w:pPr>
      <w:r>
        <w:t xml:space="preserve">**Multi-cloud / hybrid** — same workload moved between AWS / GCP / on-prem keeps its identity.</w:t>
      </w:r>
    </w:p>
    <w:p>
      <w:pPr>
        <w:pStyle w:val="ListParagraph"/>
        <w:numPr>
          <w:ilvl w:val="0"/>
          <w:numId w:val="2"/>
        </w:numPr>
        <w:spacing w:after="80" w:line="290"/>
      </w:pPr>
      <w:r>
        <w:t xml:space="preserve">**Federation** — partner organizations can trust each other's SPIFFE IDs without sharing a CA.</w:t>
      </w:r>
    </w:p>
    <w:p>
      <w:pPr>
        <w:spacing w:after="120" w:line="300"/>
      </w:pPr>
      <w:r>
        <w:t xml:space="preserve">If you're not in one of those scenarios, native cloud workload identity is simpler. SPIFFE is overkill for the small case and essential for the large one.</w:t>
      </w:r>
    </w:p>
    <w:p>
      <w:pPr>
        <w:pStyle w:val="Heading2"/>
        <w:spacing w:after="160" w:before="280"/>
      </w:pPr>
      <w:r>
        <w:t xml:space="preserve">7.5 Service Mesh Integration</w:t>
      </w:r>
    </w:p>
    <w:p>
      <w:pPr>
        <w:spacing w:after="120" w:line="300"/>
      </w:pPr>
      <w:r>
        <w:t xml:space="preserve">Service meshes (Istio, Linkerd, Cilium) implement workload identity natively. Most use SPIFFE-COMPATIBLE identity formats internally, even if they don't explicitly run SPIRE. Increasingly, service meshes can be configured to use external SPIRE for identity, which:</w:t>
      </w:r>
    </w:p>
    <w:p>
      <w:pPr>
        <w:pStyle w:val="ListParagraph"/>
        <w:numPr>
          <w:ilvl w:val="0"/>
          <w:numId w:val="2"/>
        </w:numPr>
        <w:spacing w:after="80" w:line="290"/>
      </w:pPr>
      <w:r>
        <w:t xml:space="preserve">Lets you federate identity across mesh installations.</w:t>
      </w:r>
    </w:p>
    <w:p>
      <w:pPr>
        <w:pStyle w:val="ListParagraph"/>
        <w:numPr>
          <w:ilvl w:val="0"/>
          <w:numId w:val="2"/>
        </w:numPr>
        <w:spacing w:after="80" w:line="290"/>
      </w:pPr>
      <w:r>
        <w:t xml:space="preserve">Provides identity to non-meshed workloads alongside meshed ones.</w:t>
      </w:r>
    </w:p>
    <w:p>
      <w:pPr>
        <w:pStyle w:val="ListParagraph"/>
        <w:numPr>
          <w:ilvl w:val="0"/>
          <w:numId w:val="2"/>
        </w:numPr>
        <w:spacing w:after="80" w:line="290"/>
      </w:pPr>
      <w:r>
        <w:t xml:space="preserve">Centralizes identity management.</w:t>
      </w:r>
    </w:p>
    <w:p>
      <w:pPr>
        <w:pStyle w:val="Heading2"/>
        <w:spacing w:after="160" w:before="280"/>
      </w:pPr>
      <w:r>
        <w:t xml:space="preserve">7.6 The Ecosystem</w:t>
      </w:r>
    </w:p>
    <w:p>
      <w:pPr>
        <w:pStyle w:val="ListParagraph"/>
        <w:numPr>
          <w:ilvl w:val="0"/>
          <w:numId w:val="2"/>
        </w:numPr>
        <w:spacing w:after="80" w:line="290"/>
      </w:pPr>
      <w:r>
        <w:t xml:space="preserve">**spiffe-helper** — runs alongside applications that don't natively understand SVIDs; renders them as files.</w:t>
      </w:r>
    </w:p>
    <w:p>
      <w:pPr>
        <w:pStyle w:val="ListParagraph"/>
        <w:numPr>
          <w:ilvl w:val="0"/>
          <w:numId w:val="2"/>
        </w:numPr>
        <w:spacing w:after="80" w:line="290"/>
      </w:pPr>
      <w:r>
        <w:t xml:space="preserve">**Istio + SPIRE** — Istio can use SPIRE as its identity backplane for cross-cluster federation.</w:t>
      </w:r>
    </w:p>
    <w:p>
      <w:pPr>
        <w:pStyle w:val="ListParagraph"/>
        <w:numPr>
          <w:ilvl w:val="0"/>
          <w:numId w:val="2"/>
        </w:numPr>
        <w:spacing w:after="80" w:line="290"/>
      </w:pPr>
      <w:r>
        <w:t xml:space="preserve">**Cilium + SPIFFE** — Cilium service mesh uses SPIFFE for cross-cluster mesh identity.</w:t>
      </w:r>
    </w:p>
    <w:p>
      <w:pPr>
        <w:pStyle w:val="ListParagraph"/>
        <w:numPr>
          <w:ilvl w:val="0"/>
          <w:numId w:val="2"/>
        </w:numPr>
        <w:spacing w:after="80" w:line="290"/>
      </w:pPr>
      <w:r>
        <w:t xml:space="preserve">**Vault + SPIFFE** — Vault accepts JWT SVIDs as a trusted authentication method.</w:t>
      </w:r>
    </w:p>
    <w:p>
      <w:pPr>
        <w:pStyle w:val="ListParagraph"/>
        <w:numPr>
          <w:ilvl w:val="0"/>
          <w:numId w:val="2"/>
        </w:numPr>
        <w:spacing w:after="80" w:line="290"/>
      </w:pPr>
      <w:r>
        <w:t xml:space="preserve">**SPIFFE-aware AWS / GCP federation** — exchange a JWT SVID for AWS / GCP creds.</w:t>
      </w:r>
    </w:p>
    <w:p>
      <w:r>
        <w:br w:type="page"/>
      </w:r>
    </w:p>
    <w:p>
      <w:pPr>
        <w:pStyle w:val="Heading1"/>
        <w:spacing w:after="200" w:before="360"/>
      </w:pPr>
      <w:r>
        <w:t xml:space="preserve">8. TUF — The Update Framework (Graduated)</w:t>
      </w:r>
    </w:p>
    <w:p>
      <w:pPr>
        <w:pStyle w:val="Heading2"/>
        <w:spacing w:after="160" w:before="280"/>
      </w:pPr>
      <w:r>
        <w:t xml:space="preserve">8.1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 (December 2019)</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NYU Secure Systems Lab; the same lab that built in-toto</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Securing software update systems against compromise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"Even if the update server is compromised, attackers cannot make clients install malicious updates"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reference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Touched at the supply-chain level in Module 6</w:t>
            </w:r>
          </w:p>
        </w:tc>
      </w:tr>
    </w:tbl>
    <w:p>
      <w:pPr>
        <w:pStyle w:val="Heading2"/>
        <w:spacing w:after="160" w:before="280"/>
      </w:pPr>
      <w:r>
        <w:t xml:space="preserve">8.2 The Problem TUF Solves</w:t>
      </w:r>
    </w:p>
    <w:p>
      <w:pPr>
        <w:spacing w:after="120" w:line="300"/>
      </w:pPr>
      <w:r>
        <w:t xml:space="preserve">Most software is updated through some kind of update system — `apt`, `yum`, `pip`, `npm`, container registries, app stores. If an attacker compromises the update SERVER, they can typically push malicious updates to every client. TUF defends against this scenario specifically — the threat model is "the update infrastructure is compromised" — and provides cryptographic guarantees that limit what attackers can do even with full control of the server.</w:t>
      </w:r>
    </w:p>
    <w:p>
      <w:pPr>
        <w:pStyle w:val="Heading2"/>
        <w:spacing w:after="160" w:before="280"/>
      </w:pPr>
      <w:r>
        <w:t xml:space="preserve">8.3 The Threats TUF Defends Against</w:t>
      </w:r>
    </w:p>
    <w:p>
      <w:pPr>
        <w:pStyle w:val="ListParagraph"/>
        <w:numPr>
          <w:ilvl w:val="0"/>
          <w:numId w:val="2"/>
        </w:numPr>
        <w:spacing w:after="80" w:line="290"/>
      </w:pPr>
      <w:r>
        <w:t xml:space="preserve">**Arbitrary package** — server tries to install a different package than the one requested.</w:t>
      </w:r>
    </w:p>
    <w:p>
      <w:pPr>
        <w:pStyle w:val="ListParagraph"/>
        <w:numPr>
          <w:ilvl w:val="0"/>
          <w:numId w:val="2"/>
        </w:numPr>
        <w:spacing w:after="80" w:line="290"/>
      </w:pPr>
      <w:r>
        <w:t xml:space="preserve">**Rollback attack** — server claims an old, vulnerable version is the latest.</w:t>
      </w:r>
    </w:p>
    <w:p>
      <w:pPr>
        <w:pStyle w:val="ListParagraph"/>
        <w:numPr>
          <w:ilvl w:val="0"/>
          <w:numId w:val="2"/>
        </w:numPr>
        <w:spacing w:after="80" w:line="290"/>
      </w:pPr>
      <w:r>
        <w:t xml:space="preserve">**Indefinite freeze** — server stops sending new updates so clients become stale.</w:t>
      </w:r>
    </w:p>
    <w:p>
      <w:pPr>
        <w:pStyle w:val="ListParagraph"/>
        <w:numPr>
          <w:ilvl w:val="0"/>
          <w:numId w:val="2"/>
        </w:numPr>
        <w:spacing w:after="80" w:line="290"/>
      </w:pPr>
      <w:r>
        <w:t xml:space="preserve">**Endless data** — server sends infinite data to exhaust client resources.</w:t>
      </w:r>
    </w:p>
    <w:p>
      <w:pPr>
        <w:pStyle w:val="ListParagraph"/>
        <w:numPr>
          <w:ilvl w:val="0"/>
          <w:numId w:val="2"/>
        </w:numPr>
        <w:spacing w:after="80" w:line="290"/>
      </w:pPr>
      <w:r>
        <w:t xml:space="preserve">**Slow retrieval** — server intentionally serves slowly to delay updates.</w:t>
      </w:r>
    </w:p>
    <w:p>
      <w:pPr>
        <w:pStyle w:val="ListParagraph"/>
        <w:numPr>
          <w:ilvl w:val="0"/>
          <w:numId w:val="2"/>
        </w:numPr>
        <w:spacing w:after="80" w:line="290"/>
      </w:pPr>
      <w:r>
        <w:t xml:space="preserve">**Mix-and-match** — server combines old metadata with new packages to confuse clients.</w:t>
      </w:r>
    </w:p>
    <w:p>
      <w:pPr>
        <w:pStyle w:val="ListParagraph"/>
        <w:numPr>
          <w:ilvl w:val="0"/>
          <w:numId w:val="2"/>
        </w:numPr>
        <w:spacing w:after="80" w:line="290"/>
      </w:pPr>
      <w:r>
        <w:t xml:space="preserve">**Wrong software** — server replaces a benign package with a malicious one.</w:t>
      </w:r>
    </w:p>
    <w:p>
      <w:pPr>
        <w:pStyle w:val="ListParagraph"/>
        <w:numPr>
          <w:ilvl w:val="0"/>
          <w:numId w:val="2"/>
        </w:numPr>
        <w:spacing w:after="80" w:line="290"/>
      </w:pPr>
      <w:r>
        <w:t xml:space="preserve">**Malicious mirror** — a compromised mirror sends manipulated packages.</w:t>
      </w:r>
    </w:p>
    <w:p>
      <w:pPr>
        <w:pStyle w:val="Heading2"/>
        <w:spacing w:after="160" w:before="280"/>
      </w:pPr>
      <w:r>
        <w:t xml:space="preserve">8.4 The Mechanism — Multi-Role Signing</w:t>
      </w:r>
    </w:p>
    <w:p>
      <w:pPr>
        <w:spacing w:after="120" w:line="300"/>
      </w:pPr>
      <w:r>
        <w:t xml:space="preserve">TUF defines several SIGNING ROLES, each with different trust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c>
          <w:tcPr>
            <w:tcW w:type="dxa" w:w="4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Job</w:t>
            </w:r>
          </w:p>
        </w:tc>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Trust assumption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Root</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Authoritative; signs the keys that sign everything else</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Highest — kept offline, used rarely</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Targets</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Lists the actual packages and their hashes</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Online but limited authority</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Snapshot</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Lists the current set of metadata files (prevents mix-and-match)</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Online</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Timestamp</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Provides freshness signal so clients detect freezes</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Online, frequent</w:t>
            </w:r>
          </w:p>
        </w:tc>
      </w:tr>
    </w:tbl>
    <w:p>
      <w:pPr>
        <w:spacing w:after="120" w:line="300"/>
      </w:pPr>
      <w:r>
        <w:t xml:space="preserve">By splitting authority, TUF ensures no single key compromise breaks the whole system. Even if Timestamp's key is stolen, attackers can only freeze updates; they cannot push malicious packages without ALSO compromising Targets.</w:t>
      </w:r>
    </w:p>
    <w:p>
      <w:pPr>
        <w:pStyle w:val="Heading2"/>
        <w:spacing w:after="160" w:before="280"/>
      </w:pPr>
      <w:r>
        <w:t xml:space="preserve">8.5 Where TUF Is Used</w:t>
      </w:r>
    </w:p>
    <w:p>
      <w:pPr>
        <w:pStyle w:val="ListParagraph"/>
        <w:numPr>
          <w:ilvl w:val="0"/>
          <w:numId w:val="2"/>
        </w:numPr>
        <w:spacing w:after="80" w:line="290"/>
      </w:pPr>
      <w:r>
        <w:t xml:space="preserve">**Sigstore** uses TUF to distribute the keys that root the Sigstore trust chain (Fulcio CA cert, Rekor public key).</w:t>
      </w:r>
    </w:p>
    <w:p>
      <w:pPr>
        <w:pStyle w:val="ListParagraph"/>
        <w:numPr>
          <w:ilvl w:val="0"/>
          <w:numId w:val="2"/>
        </w:numPr>
        <w:spacing w:after="80" w:line="290"/>
      </w:pPr>
      <w:r>
        <w:t xml:space="preserve">**Notary v1 (and v2)** uses TUF as its underlying metadata model.</w:t>
      </w:r>
    </w:p>
    <w:p>
      <w:pPr>
        <w:pStyle w:val="ListParagraph"/>
        <w:numPr>
          <w:ilvl w:val="0"/>
          <w:numId w:val="2"/>
        </w:numPr>
        <w:spacing w:after="80" w:line="290"/>
      </w:pPr>
      <w:r>
        <w:t xml:space="preserve">**Docker Content Trust** uses TUF (via Notary) for image-signing metadata.</w:t>
      </w:r>
    </w:p>
    <w:p>
      <w:pPr>
        <w:pStyle w:val="ListParagraph"/>
        <w:numPr>
          <w:ilvl w:val="0"/>
          <w:numId w:val="2"/>
        </w:numPr>
        <w:spacing w:after="80" w:line="290"/>
      </w:pPr>
      <w:r>
        <w:t xml:space="preserve">**PEP 458** — Python's adopted TUF-based design for PyPI security.</w:t>
      </w:r>
    </w:p>
    <w:p>
      <w:pPr>
        <w:pStyle w:val="ListParagraph"/>
        <w:numPr>
          <w:ilvl w:val="0"/>
          <w:numId w:val="2"/>
        </w:numPr>
        <w:spacing w:after="80" w:line="290"/>
      </w:pPr>
      <w:r>
        <w:t xml:space="preserve">**Go modules** — uses some TUF concepts for its sumdb.</w:t>
      </w:r>
    </w:p>
    <w:p>
      <w:pPr>
        <w:pStyle w:val="ListParagraph"/>
        <w:numPr>
          <w:ilvl w:val="0"/>
          <w:numId w:val="2"/>
        </w:numPr>
        <w:spacing w:after="80" w:line="290"/>
      </w:pPr>
      <w:r>
        <w:t xml:space="preserve">Several other ecosystems with package managers.</w:t>
      </w:r>
    </w:p>
    <w:p>
      <w:pPr>
        <w:pStyle w:val="Heading2"/>
        <w:spacing w:after="160" w:before="280"/>
      </w:pPr>
      <w:r>
        <w:t xml:space="preserve">8.6 What TUF Is NOT</w:t>
      </w:r>
    </w:p>
    <w:p>
      <w:pPr>
        <w:pStyle w:val="ListParagraph"/>
        <w:numPr>
          <w:ilvl w:val="0"/>
          <w:numId w:val="2"/>
        </w:numPr>
        <w:spacing w:after="80" w:line="290"/>
      </w:pPr>
      <w:r>
        <w:t xml:space="preserve">It is NOT a signing tool — that's Notary, Cosign, etc.</w:t>
      </w:r>
    </w:p>
    <w:p>
      <w:pPr>
        <w:pStyle w:val="ListParagraph"/>
        <w:numPr>
          <w:ilvl w:val="0"/>
          <w:numId w:val="2"/>
        </w:numPr>
        <w:spacing w:after="80" w:line="290"/>
      </w:pPr>
      <w:r>
        <w:t xml:space="preserve">It is NOT a SBOM format — that's CycloneDX / SPDX.</w:t>
      </w:r>
    </w:p>
    <w:p>
      <w:pPr>
        <w:pStyle w:val="ListParagraph"/>
        <w:numPr>
          <w:ilvl w:val="0"/>
          <w:numId w:val="2"/>
        </w:numPr>
        <w:spacing w:after="80" w:line="290"/>
      </w:pPr>
      <w:r>
        <w:t xml:space="preserve">It is NOT itself a registry — it provides a metadata layer for any registry-like system.</w:t>
      </w:r>
    </w:p>
    <w:p>
      <w:pPr>
        <w:spacing w:after="120" w:line="300"/>
      </w:pPr>
      <w:r>
        <w:t xml:space="preserve">TUF is foundational plumbing — most production users consume it indirectly through tools that implement it (Sigstore, Notary, etc.).</w:t>
      </w:r>
    </w:p>
    <w:p>
      <w:r>
        <w:br w:type="page"/>
      </w:r>
    </w:p>
    <w:p>
      <w:pPr>
        <w:pStyle w:val="Heading1"/>
        <w:spacing w:after="200" w:before="360"/>
      </w:pPr>
      <w:r>
        <w:t xml:space="preserve">9. Notary — Image Signing (Older Path)</w:t>
      </w:r>
    </w:p>
    <w:p>
      <w:pPr>
        <w:pStyle w:val="Heading2"/>
        <w:spacing w:after="160" w:before="280"/>
      </w:pPr>
      <w:r>
        <w:t xml:space="preserve">9.1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 (Notary v1, December 2019)</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Docker, donated 2017</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Container image signing</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"Older signing system, largely superseded by Cosign / Sigstore for new use"</w:t>
            </w:r>
          </w:p>
        </w:tc>
      </w:tr>
    </w:tbl>
    <w:p>
      <w:pPr>
        <w:pStyle w:val="Heading2"/>
        <w:spacing w:after="160" w:before="280"/>
      </w:pPr>
      <w:r>
        <w:t xml:space="preserve">9.2 What Notary Is</w:t>
      </w:r>
    </w:p>
    <w:p>
      <w:pPr>
        <w:spacing w:after="120" w:line="300"/>
      </w:pPr>
      <w:r>
        <w:rPr>
          <w:b/>
          <w:bCs/>
        </w:rPr>
        <w:t xml:space="preserve">Notary </w:t>
      </w:r>
      <w:r>
        <w:t xml:space="preserve">is a project for cryptographically signing collections of arbitrary data — most commonly, container images. Notary v1 was the original implementation (donated by Docker), built on TUF as its underlying metadata format. Docker Content Trust is built on Notary v1. Notary v2 was a redesign focused specifically on container image signing, with simplified architecture and OCI registry integration.</w:t>
      </w:r>
    </w:p>
    <w:p>
      <w:pPr>
        <w:pStyle w:val="Heading2"/>
        <w:spacing w:after="160" w:before="280"/>
      </w:pPr>
      <w:r>
        <w:t xml:space="preserve">9.3 Why It's Less Common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Honest Status</w:t>
            </w:r>
          </w:p>
          <w:p>
            <w:pPr>
              <w:spacing w:after="60" w:line="280"/>
            </w:pPr>
            <w:r>
              <w:rPr>
                <w:sz w:val="22"/>
                <w:szCs w:val="22"/>
              </w:rPr>
              <w:t xml:space="preserve">For new projects, Cosign / Sigstore is the recommended path for container image signing. Notary is still graduated and still maintained, but the ecosystem momentum is firmly with Sigstore — better keyless story, more tooling, broader adoption. Notary remains relevant if you're already on Docker Content Trust, in air-gapped environments, or working with vendors who use Notary v2 specifically.</w:t>
            </w:r>
          </w:p>
        </w:tc>
      </w:tr>
    </w:tbl>
    <w:p>
      <w:pPr>
        <w:pStyle w:val="Heading2"/>
        <w:spacing w:after="160" w:before="280"/>
      </w:pPr>
      <w:r>
        <w:t xml:space="preserve">9.4 Notary v1 vs. Notary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3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Notary v1</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Notary v2</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Released</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2017</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2024 (1.0 GA in 2024)</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Architecture</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Separate Notary server + signer + database</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OCI-native — signatures stored as artifacts in the registry</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Backing format</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TUF metadata</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Custom; aligned with OCI artifact spec</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Keys</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Long-lived, manual rotation</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Long-lived (no keyless option built in)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Integration</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Docker Content Trust, JFrog, Harbor</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OCI registry-native; `notation` CLI</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Active development</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Maintenance mode</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Active</w:t>
            </w:r>
          </w:p>
        </w:tc>
      </w:tr>
    </w:tbl>
    <w:p>
      <w:pPr>
        <w:pStyle w:val="Heading2"/>
        <w:spacing w:after="160" w:before="280"/>
      </w:pPr>
      <w:r>
        <w:t xml:space="preserve">9.5 The `notation` CLI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notation is the CLI for Notary v2</w:t>
            </w:r>
          </w:p>
          <w:p>
            <w:pPr>
              <w:spacing w:after="0" w:line="260"/>
            </w:pPr>
            <w:r>
              <w:rPr>
                <w:rFonts w:ascii="Consolas" w:cs="Consolas" w:eastAsia="Consolas" w:hAnsi="Consolas"/>
                <w:sz w:val="20"/>
                <w:szCs w:val="20"/>
              </w:rPr>
              <w:t xml:space="preserve"># Sign with a local key</w:t>
            </w:r>
          </w:p>
          <w:p>
            <w:pPr>
              <w:spacing w:after="0" w:line="260"/>
            </w:pPr>
            <w:r>
              <w:rPr>
                <w:rFonts w:ascii="Consolas" w:cs="Consolas" w:eastAsia="Consolas" w:hAnsi="Consolas"/>
                <w:sz w:val="20"/>
                <w:szCs w:val="20"/>
              </w:rPr>
              <w:t xml:space="preserve">notation sign \</w:t>
            </w:r>
          </w:p>
          <w:p>
            <w:pPr>
              <w:spacing w:after="0" w:line="260"/>
            </w:pPr>
            <w:r>
              <w:rPr>
                <w:rFonts w:ascii="Consolas" w:cs="Consolas" w:eastAsia="Consolas" w:hAnsi="Consolas"/>
                <w:sz w:val="20"/>
                <w:szCs w:val="20"/>
              </w:rPr>
              <w:t xml:space="preserve">    --key my-key \</w:t>
            </w:r>
          </w:p>
          <w:p>
            <w:pPr>
              <w:spacing w:after="0" w:line="260"/>
            </w:pPr>
            <w:r>
              <w:rPr>
                <w:rFonts w:ascii="Consolas" w:cs="Consolas" w:eastAsia="Consolas" w:hAnsi="Consolas"/>
                <w:sz w:val="20"/>
                <w:szCs w:val="20"/>
              </w:rPr>
              <w:t xml:space="preserve">    registry.example.com/app:v1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w:t>
            </w:r>
          </w:p>
          <w:p>
            <w:pPr>
              <w:spacing w:after="0" w:line="260"/>
            </w:pPr>
            <w:r>
              <w:rPr>
                <w:rFonts w:ascii="Consolas" w:cs="Consolas" w:eastAsia="Consolas" w:hAnsi="Consolas"/>
                <w:sz w:val="20"/>
                <w:szCs w:val="20"/>
              </w:rPr>
              <w:t xml:space="preserve">notation verify \</w:t>
            </w:r>
          </w:p>
          <w:p>
            <w:pPr>
              <w:spacing w:after="0" w:line="260"/>
            </w:pPr>
            <w:r>
              <w:rPr>
                <w:rFonts w:ascii="Consolas" w:cs="Consolas" w:eastAsia="Consolas" w:hAnsi="Consolas"/>
                <w:sz w:val="20"/>
                <w:szCs w:val="20"/>
              </w:rPr>
              <w:t xml:space="preserve">    --policy verification-policy.json \</w:t>
            </w:r>
          </w:p>
          <w:p>
            <w:pPr>
              <w:spacing w:after="0" w:line="260"/>
            </w:pPr>
            <w:r>
              <w:rPr>
                <w:rFonts w:ascii="Consolas" w:cs="Consolas" w:eastAsia="Consolas" w:hAnsi="Consolas"/>
                <w:sz w:val="20"/>
                <w:szCs w:val="20"/>
              </w:rPr>
              <w:t xml:space="preserve">    registry.example.com/app:v1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signature is stored as an OCI artifact alongside the image,</w:t>
            </w:r>
          </w:p>
          <w:p>
            <w:pPr>
              <w:spacing w:after="0" w:line="260"/>
            </w:pPr>
            <w:r>
              <w:rPr>
                <w:rFonts w:ascii="Consolas" w:cs="Consolas" w:eastAsia="Consolas" w:hAnsi="Consolas"/>
                <w:sz w:val="20"/>
                <w:szCs w:val="20"/>
              </w:rPr>
              <w:t xml:space="preserve"># discoverable via OCI artifact references.</w:t>
            </w:r>
          </w:p>
        </w:tc>
      </w:tr>
    </w:tbl>
    <w:p>
      <w:pPr>
        <w:pStyle w:val="Heading2"/>
        <w:spacing w:after="160" w:before="280"/>
      </w:pPr>
      <w:r>
        <w:t xml:space="preserve">9.6 When to Use Notary</w:t>
      </w:r>
    </w:p>
    <w:p>
      <w:pPr>
        <w:pStyle w:val="ListParagraph"/>
        <w:numPr>
          <w:ilvl w:val="0"/>
          <w:numId w:val="2"/>
        </w:numPr>
        <w:spacing w:after="80" w:line="290"/>
      </w:pPr>
      <w:r>
        <w:t xml:space="preserve">If you're standardized on Docker Content Trust (Notary v1).</w:t>
      </w:r>
    </w:p>
    <w:p>
      <w:pPr>
        <w:pStyle w:val="ListParagraph"/>
        <w:numPr>
          <w:ilvl w:val="0"/>
          <w:numId w:val="2"/>
        </w:numPr>
        <w:spacing w:after="80" w:line="290"/>
      </w:pPr>
      <w:r>
        <w:t xml:space="preserve">If you're in an air-gapped environment without Sigstore public infrastructure access (and don't want to self-host Sigstore).</w:t>
      </w:r>
    </w:p>
    <w:p>
      <w:pPr>
        <w:pStyle w:val="ListParagraph"/>
        <w:numPr>
          <w:ilvl w:val="0"/>
          <w:numId w:val="2"/>
        </w:numPr>
        <w:spacing w:after="80" w:line="290"/>
      </w:pPr>
      <w:r>
        <w:t xml:space="preserve">If you have a vendor relationship that uses Notary v2 specifically.</w:t>
      </w:r>
    </w:p>
    <w:p>
      <w:pPr>
        <w:pStyle w:val="ListParagraph"/>
        <w:numPr>
          <w:ilvl w:val="0"/>
          <w:numId w:val="2"/>
        </w:numPr>
        <w:spacing w:after="80" w:line="290"/>
      </w:pPr>
      <w:r>
        <w:t xml:space="preserve">If your registry (e.g., Azure Container Registry) has native Notary v2 integration that fits your workflow.</w:t>
      </w:r>
    </w:p>
    <w:p>
      <w:pPr>
        <w:pStyle w:val="Heading2"/>
        <w:spacing w:after="160" w:before="280"/>
      </w:pPr>
      <w:r>
        <w:t xml:space="preserve">9.7 When NOT to Use Notary (Most New Projects)</w:t>
      </w:r>
    </w:p>
    <w:p>
      <w:pPr>
        <w:pStyle w:val="ListParagraph"/>
        <w:numPr>
          <w:ilvl w:val="0"/>
          <w:numId w:val="2"/>
        </w:numPr>
        <w:spacing w:after="80" w:line="290"/>
      </w:pPr>
      <w:r>
        <w:t xml:space="preserve">Greenfield container signing → Cosign / Sigstore. Better tooling, keyless option, broader adoption.</w:t>
      </w:r>
    </w:p>
    <w:p>
      <w:pPr>
        <w:pStyle w:val="ListParagraph"/>
        <w:numPr>
          <w:ilvl w:val="0"/>
          <w:numId w:val="2"/>
        </w:numPr>
        <w:spacing w:after="80" w:line="290"/>
      </w:pPr>
      <w:r>
        <w:t xml:space="preserve">Cross-platform (non-image) signing → Cosign signs blobs too.</w:t>
      </w:r>
    </w:p>
    <w:p>
      <w:pPr>
        <w:pStyle w:val="ListParagraph"/>
        <w:numPr>
          <w:ilvl w:val="0"/>
          <w:numId w:val="2"/>
        </w:numPr>
        <w:spacing w:after="80" w:line="290"/>
      </w:pPr>
      <w:r>
        <w:t xml:space="preserve">Attestations beyond signatures → Cosign + in-toto Statement format is the ecosystem standard.</w:t>
      </w:r>
    </w:p>
    <w:p>
      <w:r>
        <w:br w:type="page"/>
      </w:r>
    </w:p>
    <w:p>
      <w:pPr>
        <w:pStyle w:val="Heading1"/>
        <w:spacing w:after="200" w:before="360"/>
      </w:pPr>
      <w:r>
        <w:t xml:space="preserve">10. Tetragon — eBPF Security Observability (Sandbox)</w:t>
      </w:r>
    </w:p>
    <w:p>
      <w:pPr>
        <w:pStyle w:val="Heading2"/>
        <w:spacing w:after="160" w:before="280"/>
      </w:pPr>
      <w:r>
        <w:t xml:space="preserve">10.1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Sandbox (joined CNCF as part of Cilium ecosystem)</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Isovalent (the company behind Cilium)</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eBPF-based security observability and PREVENTION (not just detection)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"Falco's younger sibling that can also BLOCK in the kernel before bad things happen"</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Module reference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Mentioned in Module 5 (vs. Falco) and Module 8 (assume-breach)</w:t>
            </w:r>
          </w:p>
        </w:tc>
      </w:tr>
    </w:tbl>
    <w:p>
      <w:pPr>
        <w:pStyle w:val="Heading2"/>
        <w:spacing w:after="160" w:before="280"/>
      </w:pPr>
      <w:r>
        <w:t xml:space="preserve">10.2 What Tetragon Adds</w:t>
      </w:r>
    </w:p>
    <w:p>
      <w:pPr>
        <w:spacing w:after="120" w:line="300"/>
      </w:pPr>
      <w:r>
        <w:t xml:space="preserve">Falco watches syscalls and emits alerts. Tetragon does the same observation but adds the ability to BLOCK — to take an enforcement action inline, before the syscall completes. Examples of what Tetragon can do that Falco cannot:</w:t>
      </w:r>
    </w:p>
    <w:p>
      <w:pPr>
        <w:pStyle w:val="ListParagraph"/>
        <w:numPr>
          <w:ilvl w:val="0"/>
          <w:numId w:val="2"/>
        </w:numPr>
        <w:spacing w:after="80" w:line="290"/>
      </w:pPr>
      <w:r>
        <w:t xml:space="preserve">Send SIGKILL to a process the moment it makes a forbidden syscall.</w:t>
      </w:r>
    </w:p>
    <w:p>
      <w:pPr>
        <w:pStyle w:val="ListParagraph"/>
        <w:numPr>
          <w:ilvl w:val="0"/>
          <w:numId w:val="2"/>
        </w:numPr>
        <w:spacing w:after="80" w:line="290"/>
      </w:pPr>
      <w:r>
        <w:t xml:space="preserve">Override a syscall return value to make the operation appear to fail.</w:t>
      </w:r>
    </w:p>
    <w:p>
      <w:pPr>
        <w:pStyle w:val="ListParagraph"/>
        <w:numPr>
          <w:ilvl w:val="0"/>
          <w:numId w:val="2"/>
        </w:numPr>
        <w:spacing w:after="80" w:line="290"/>
      </w:pPr>
      <w:r>
        <w:t xml:space="preserve">Drop a connection at the kernel layer.</w:t>
      </w:r>
    </w:p>
    <w:p>
      <w:pPr>
        <w:spacing w:after="120" w:line="300"/>
      </w:pPr>
      <w:r>
        <w:t xml:space="preserve">This shifts runtime security from "detect and alert" toward "detect and PREVENT," which has obvious appeal for the most dangerous attack patterns (privilege escalation, container escape primitives, kernel-exploit attempts).</w:t>
      </w:r>
    </w:p>
    <w:p>
      <w:pPr>
        <w:pStyle w:val="Heading2"/>
        <w:spacing w:after="160" w:before="280"/>
      </w:pPr>
      <w:r>
        <w:t xml:space="preserve">10.3 The TracingPolicy CRD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Example: alert AND kill any process that calls a specific syscall</w:t>
            </w:r>
          </w:p>
          <w:p>
            <w:pPr>
              <w:spacing w:after="0" w:line="260"/>
            </w:pPr>
            <w:r>
              <w:rPr>
                <w:rFonts w:ascii="Consolas" w:cs="Consolas" w:eastAsia="Consolas" w:hAnsi="Consolas"/>
                <w:sz w:val="20"/>
                <w:szCs w:val="20"/>
              </w:rPr>
              <w:t xml:space="preserve">apiVersion: cilium.io/v1alpha1</w:t>
            </w:r>
          </w:p>
          <w:p>
            <w:pPr>
              <w:spacing w:after="0" w:line="260"/>
            </w:pPr>
            <w:r>
              <w:rPr>
                <w:rFonts w:ascii="Consolas" w:cs="Consolas" w:eastAsia="Consolas" w:hAnsi="Consolas"/>
                <w:sz w:val="20"/>
                <w:szCs w:val="20"/>
              </w:rPr>
              <w:t xml:space="preserve">kind: TracingPolicy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kill-on-suspicious-syscall</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kprobes:</w:t>
            </w:r>
          </w:p>
          <w:p>
            <w:pPr>
              <w:spacing w:after="0" w:line="260"/>
            </w:pPr>
            <w:r>
              <w:rPr>
                <w:rFonts w:ascii="Consolas" w:cs="Consolas" w:eastAsia="Consolas" w:hAnsi="Consolas"/>
                <w:sz w:val="20"/>
                <w:szCs w:val="20"/>
              </w:rPr>
              <w:t xml:space="preserve">    - call: "sys_setuid"</w:t>
            </w:r>
          </w:p>
          <w:p>
            <w:pPr>
              <w:spacing w:after="0" w:line="260"/>
            </w:pPr>
            <w:r>
              <w:rPr>
                <w:rFonts w:ascii="Consolas" w:cs="Consolas" w:eastAsia="Consolas" w:hAnsi="Consolas"/>
                <w:sz w:val="20"/>
                <w:szCs w:val="20"/>
              </w:rPr>
              <w:t xml:space="preserve">      syscall: true</w:t>
            </w:r>
          </w:p>
          <w:p>
            <w:pPr>
              <w:spacing w:after="0" w:line="260"/>
            </w:pPr>
            <w:r>
              <w:rPr>
                <w:rFonts w:ascii="Consolas" w:cs="Consolas" w:eastAsia="Consolas" w:hAnsi="Consolas"/>
                <w:sz w:val="20"/>
                <w:szCs w:val="20"/>
              </w:rPr>
              <w:t xml:space="preserve">      args:</w:t>
            </w:r>
          </w:p>
          <w:p>
            <w:pPr>
              <w:spacing w:after="0" w:line="260"/>
            </w:pPr>
            <w:r>
              <w:rPr>
                <w:rFonts w:ascii="Consolas" w:cs="Consolas" w:eastAsia="Consolas" w:hAnsi="Consolas"/>
                <w:sz w:val="20"/>
                <w:szCs w:val="20"/>
              </w:rPr>
              <w:t xml:space="preserve">        - index: 0</w:t>
            </w:r>
          </w:p>
          <w:p>
            <w:pPr>
              <w:spacing w:after="0" w:line="260"/>
            </w:pPr>
            <w:r>
              <w:rPr>
                <w:rFonts w:ascii="Consolas" w:cs="Consolas" w:eastAsia="Consolas" w:hAnsi="Consolas"/>
                <w:sz w:val="20"/>
                <w:szCs w:val="20"/>
              </w:rPr>
              <w:t xml:space="preserve">          type: "int"</w:t>
            </w:r>
          </w:p>
          <w:p>
            <w:pPr>
              <w:spacing w:after="0" w:line="260"/>
            </w:pPr>
            <w:r>
              <w:rPr>
                <w:rFonts w:ascii="Consolas" w:cs="Consolas" w:eastAsia="Consolas" w:hAnsi="Consolas"/>
                <w:sz w:val="20"/>
                <w:szCs w:val="20"/>
              </w:rPr>
              <w:t xml:space="preserve">      selectors:</w:t>
            </w:r>
          </w:p>
          <w:p>
            <w:pPr>
              <w:spacing w:after="0" w:line="260"/>
            </w:pPr>
            <w:r>
              <w:rPr>
                <w:rFonts w:ascii="Consolas" w:cs="Consolas" w:eastAsia="Consolas" w:hAnsi="Consolas"/>
                <w:sz w:val="20"/>
                <w:szCs w:val="20"/>
              </w:rPr>
              <w:t xml:space="preserve">        - matchActions:</w:t>
            </w:r>
          </w:p>
          <w:p>
            <w:pPr>
              <w:spacing w:after="0" w:line="260"/>
            </w:pPr>
            <w:r>
              <w:rPr>
                <w:rFonts w:ascii="Consolas" w:cs="Consolas" w:eastAsia="Consolas" w:hAnsi="Consolas"/>
                <w:sz w:val="20"/>
                <w:szCs w:val="20"/>
              </w:rPr>
              <w:t xml:space="preserve">            - action: Sigkill</w:t>
            </w:r>
          </w:p>
          <w:p>
            <w:pPr>
              <w:spacing w:after="0" w:line="260"/>
            </w:pPr>
            <w:r>
              <w:rPr>
                <w:rFonts w:ascii="Consolas" w:cs="Consolas" w:eastAsia="Consolas" w:hAnsi="Consolas"/>
                <w:sz w:val="20"/>
                <w:szCs w:val="20"/>
              </w:rPr>
              <w:t xml:space="preserve">          matchArgs:</w:t>
            </w:r>
          </w:p>
          <w:p>
            <w:pPr>
              <w:spacing w:after="0" w:line="260"/>
            </w:pPr>
            <w:r>
              <w:rPr>
                <w:rFonts w:ascii="Consolas" w:cs="Consolas" w:eastAsia="Consolas" w:hAnsi="Consolas"/>
                <w:sz w:val="20"/>
                <w:szCs w:val="20"/>
              </w:rPr>
              <w:t xml:space="preserve">            - index: 0</w:t>
            </w:r>
          </w:p>
          <w:p>
            <w:pPr>
              <w:spacing w:after="0" w:line="260"/>
            </w:pPr>
            <w:r>
              <w:rPr>
                <w:rFonts w:ascii="Consolas" w:cs="Consolas" w:eastAsia="Consolas" w:hAnsi="Consolas"/>
                <w:sz w:val="20"/>
                <w:szCs w:val="20"/>
              </w:rPr>
              <w:t xml:space="preserve">              operator: "Equal"</w:t>
            </w:r>
          </w:p>
          <w:p>
            <w:pPr>
              <w:spacing w:after="0" w:line="260"/>
            </w:pPr>
            <w:r>
              <w:rPr>
                <w:rFonts w:ascii="Consolas" w:cs="Consolas" w:eastAsia="Consolas" w:hAnsi="Consolas"/>
                <w:sz w:val="20"/>
                <w:szCs w:val="20"/>
              </w:rPr>
              <w:t xml:space="preserve">              values: ["0"]    # setuid(0) attempt -&gt; kill the process</w:t>
            </w:r>
          </w:p>
        </w:tc>
      </w:tr>
    </w:tbl>
    <w:p>
      <w:pPr>
        <w:spacing w:after="120" w:line="300"/>
      </w:pPr>
      <w:r>
        <w:t xml:space="preserve">TracingPolicy is to Tetragon what `falco_rules.yaml` is to Falco — the language for expressing what to watch and (uniquely to Tetragon) what to do about it.</w:t>
      </w:r>
    </w:p>
    <w:p>
      <w:pPr>
        <w:pStyle w:val="Heading2"/>
        <w:spacing w:after="160" w:before="280"/>
      </w:pPr>
      <w:r>
        <w:t xml:space="preserve">10.4 The Cilium Connection</w:t>
      </w:r>
    </w:p>
    <w:p>
      <w:pPr>
        <w:spacing w:after="120" w:line="300"/>
      </w:pPr>
      <w:r>
        <w:t xml:space="preserve">Tetragon shares lineage with Cilium (eBPF networking and service mesh). They are sister projects from the same vendor and share a lot of underlying machinery:</w:t>
      </w:r>
    </w:p>
    <w:p>
      <w:pPr>
        <w:pStyle w:val="ListParagraph"/>
        <w:numPr>
          <w:ilvl w:val="0"/>
          <w:numId w:val="2"/>
        </w:numPr>
        <w:spacing w:after="80" w:line="290"/>
      </w:pPr>
      <w:r>
        <w:t xml:space="preserve">Tetragon can run STANDALONE without Cilium.</w:t>
      </w:r>
    </w:p>
    <w:p>
      <w:pPr>
        <w:pStyle w:val="ListParagraph"/>
        <w:numPr>
          <w:ilvl w:val="0"/>
          <w:numId w:val="2"/>
        </w:numPr>
        <w:spacing w:after="80" w:line="290"/>
      </w:pPr>
      <w:r>
        <w:t xml:space="preserve">Tetragon can run AS PART of Cilium for unified networking + security policy enforcement.</w:t>
      </w:r>
    </w:p>
    <w:p>
      <w:pPr>
        <w:pStyle w:val="ListParagraph"/>
        <w:numPr>
          <w:ilvl w:val="0"/>
          <w:numId w:val="2"/>
        </w:numPr>
        <w:spacing w:after="80" w:line="290"/>
      </w:pPr>
      <w:r>
        <w:t xml:space="preserve">Both share the eBPF expertise and codebase that Isovalent invested in.</w:t>
      </w:r>
    </w:p>
    <w:p>
      <w:pPr>
        <w:pStyle w:val="Heading2"/>
        <w:spacing w:after="160" w:before="280"/>
      </w:pPr>
      <w:r>
        <w:t xml:space="preserve">10.5 Tetragon vs. Falco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Dimension</w:t>
            </w:r>
          </w:p>
        </w:tc>
        <w:tc>
          <w:tcPr>
            <w:tcW w:type="dxa" w:w="31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Falco</w:t>
            </w:r>
          </w:p>
        </w:tc>
        <w:tc>
          <w:tcPr>
            <w:tcW w:type="dxa" w:w="31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Tetragon</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Maturity</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 2024</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Sandbox (CNCF), but production-deployed at scale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Detection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In-kernel prevention</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(alert only, response via Falco Talon)</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(kill, override, drop in-kernel)</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Rule language</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YAML (Falco rules)</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YAML (TracingPolicy CRD)</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eBPF only</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Modern eBPF preferred; legacy kmod option</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eBPF only</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Service mesh integration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Plugins extend to other sources</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Tight integration with Cilium</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Audit history</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Two audits, public reports</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Less mature audit story (sandbox)</w:t>
            </w:r>
          </w:p>
        </w:tc>
      </w:tr>
    </w:tbl>
    <w:p>
      <w:pPr>
        <w:pStyle w:val="Heading2"/>
        <w:spacing w:after="160" w:before="280"/>
      </w:pPr>
      <w:r>
        <w:t xml:space="preserve">10.6 When To Reach for Tetragon</w:t>
      </w:r>
    </w:p>
    <w:p>
      <w:pPr>
        <w:pStyle w:val="ListParagraph"/>
        <w:numPr>
          <w:ilvl w:val="0"/>
          <w:numId w:val="2"/>
        </w:numPr>
        <w:spacing w:after="80" w:line="290"/>
      </w:pPr>
      <w:r>
        <w:t xml:space="preserve">You already use Cilium for networking; consolidating on the Isovalent eBPF stack is appealing.</w:t>
      </w:r>
    </w:p>
    <w:p>
      <w:pPr>
        <w:pStyle w:val="ListParagraph"/>
        <w:numPr>
          <w:ilvl w:val="0"/>
          <w:numId w:val="2"/>
        </w:numPr>
        <w:spacing w:after="80" w:line="290"/>
      </w:pPr>
      <w:r>
        <w:t xml:space="preserve">You need IN-KERNEL PREVENTION for the most dangerous attack patterns, not just alerting.</w:t>
      </w:r>
    </w:p>
    <w:p>
      <w:pPr>
        <w:pStyle w:val="ListParagraph"/>
        <w:numPr>
          <w:ilvl w:val="0"/>
          <w:numId w:val="2"/>
        </w:numPr>
        <w:spacing w:after="80" w:line="290"/>
      </w:pPr>
      <w:r>
        <w:t xml:space="preserve">You're in a high-security environment where milliseconds-after-detection vs. milliseconds-during-detection matters.</w:t>
      </w:r>
    </w:p>
    <w:p>
      <w:pPr>
        <w:pStyle w:val="ListParagraph"/>
        <w:numPr>
          <w:ilvl w:val="0"/>
          <w:numId w:val="2"/>
        </w:numPr>
        <w:spacing w:after="80" w:line="290"/>
      </w:pPr>
      <w:r>
        <w:t xml:space="preserve">You have engineers comfortable with eBPF / Cilium operationally.</w:t>
      </w:r>
    </w:p>
    <w:p>
      <w:pPr>
        <w:pStyle w:val="Heading2"/>
        <w:spacing w:after="160" w:before="280"/>
      </w:pPr>
      <w:r>
        <w:t xml:space="preserve">10.7 When To Stick With Falco</w:t>
      </w:r>
    </w:p>
    <w:p>
      <w:pPr>
        <w:pStyle w:val="ListParagraph"/>
        <w:numPr>
          <w:ilvl w:val="0"/>
          <w:numId w:val="2"/>
        </w:numPr>
        <w:spacing w:after="80" w:line="290"/>
      </w:pPr>
      <w:r>
        <w:t xml:space="preserve">You want graduated maturity and the largest ecosystem (rule libraries, integrations).</w:t>
      </w:r>
    </w:p>
    <w:p>
      <w:pPr>
        <w:pStyle w:val="ListParagraph"/>
        <w:numPr>
          <w:ilvl w:val="0"/>
          <w:numId w:val="2"/>
        </w:numPr>
        <w:spacing w:after="80" w:line="290"/>
      </w:pPr>
      <w:r>
        <w:t xml:space="preserve">You don't need in-kernel prevention; alert + Falco Talon for response is enough.</w:t>
      </w:r>
    </w:p>
    <w:p>
      <w:pPr>
        <w:pStyle w:val="ListParagraph"/>
        <w:numPr>
          <w:ilvl w:val="0"/>
          <w:numId w:val="2"/>
        </w:numPr>
        <w:spacing w:after="80" w:line="290"/>
      </w:pPr>
      <w:r>
        <w:t xml:space="preserve">Your security team's expertise is more YAML-and-Helm than eBPF.</w:t>
      </w:r>
    </w:p>
    <w:p>
      <w:pPr>
        <w:pStyle w:val="ListParagraph"/>
        <w:numPr>
          <w:ilvl w:val="0"/>
          <w:numId w:val="2"/>
        </w:numPr>
        <w:spacing w:after="80" w:line="290"/>
      </w:pPr>
      <w:r>
        <w:t xml:space="preserve">You need plugins for non-syscall sources (K8s audit, CloudTrail, Okta — first-class in Falco).</w:t>
      </w:r>
    </w:p>
    <w:p>
      <w:pPr>
        <w:pStyle w:val="Heading2"/>
        <w:spacing w:after="160" w:before="280"/>
      </w:pPr>
      <w:r>
        <w:t xml:space="preserve">10.8 Can You Run Both</w:t>
      </w:r>
    </w:p>
    <w:p>
      <w:pPr>
        <w:spacing w:after="120" w:line="300"/>
      </w:pPr>
      <w:r>
        <w:t xml:space="preserve">Yes — and some organizations do. Tetragon for the high-confidence prevention rules (kernel-exploit primitives, container escape attempts), Falco for everything else with its richer ecosystem and rule library. The trade-off is operational overhead of two systems; usually one wins.</w:t>
      </w:r>
    </w:p>
    <w:p>
      <w:r>
        <w:br w:type="page"/>
      </w:r>
    </w:p>
    <w:p>
      <w:pPr>
        <w:pStyle w:val="Heading1"/>
        <w:spacing w:after="200" w:before="360"/>
      </w:pPr>
      <w:r>
        <w:t xml:space="preserve">11. Confidential Containers — Hardware Isolation (Sandbox)</w:t>
      </w:r>
    </w:p>
    <w:p>
      <w:pPr>
        <w:pStyle w:val="Heading2"/>
        <w:spacing w:after="160" w:before="280"/>
      </w:pPr>
      <w:r>
        <w:t xml:space="preserve">11.1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Stage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Sandbox</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Origin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Multi-vendor (IBM, Red Hat, Microsoft, Intel, AMD, etc.)</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Concern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Running container workloads inside hardware-enforced trusted execution environments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Mental model</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"What if the cluster operator could not see my data, even with full root on the node?"</w:t>
            </w:r>
          </w:p>
        </w:tc>
      </w:tr>
    </w:tbl>
    <w:p>
      <w:pPr>
        <w:pStyle w:val="Heading2"/>
        <w:spacing w:after="160" w:before="280"/>
      </w:pPr>
      <w:r>
        <w:t xml:space="preserve">11.2 What Trusted Execution Environments Are</w:t>
      </w:r>
    </w:p>
    <w:p>
      <w:pPr>
        <w:spacing w:after="120" w:line="300"/>
      </w:pPr>
      <w:r>
        <w:rPr>
          <w:b/>
          <w:bCs/>
        </w:rPr>
        <w:t xml:space="preserve">A Trusted Execution Environment (TEE) </w:t>
      </w:r>
      <w:r>
        <w:t xml:space="preserve">is a hardware-enforced isolated region of a CPU where code runs encrypted in memory and is unreadable to anything outside that region — including the kernel, the hypervisor, and the cloud operator. Modern TEEs include Intel TDX (Trust Domain Extensions), AMD SEV-SNP (Secure Encrypted Virtualization), Intel SGX (Software Guard Extensions), and ARM CCA (Confidential Compute Architecture).</w:t>
      </w:r>
    </w:p>
    <w:p>
      <w:pPr>
        <w:pStyle w:val="Heading2"/>
        <w:spacing w:after="160" w:before="280"/>
      </w:pPr>
      <w:r>
        <w:t xml:space="preserve">11.3 The Problem CoCo Solves</w:t>
      </w:r>
    </w:p>
    <w:p>
      <w:pPr>
        <w:spacing w:after="120" w:line="300"/>
      </w:pPr>
      <w:r>
        <w:t xml:space="preserve">In a normal cloud deployment, you trust:</w:t>
      </w:r>
    </w:p>
    <w:p>
      <w:pPr>
        <w:pStyle w:val="ListParagraph"/>
        <w:numPr>
          <w:ilvl w:val="0"/>
          <w:numId w:val="2"/>
        </w:numPr>
        <w:spacing w:after="80" w:line="290"/>
      </w:pPr>
      <w:r>
        <w:t xml:space="preserve">The cloud provider's operators (they could read your memory if they wanted).</w:t>
      </w:r>
    </w:p>
    <w:p>
      <w:pPr>
        <w:pStyle w:val="ListParagraph"/>
        <w:numPr>
          <w:ilvl w:val="0"/>
          <w:numId w:val="2"/>
        </w:numPr>
        <w:spacing w:after="80" w:line="290"/>
      </w:pPr>
      <w:r>
        <w:t xml:space="preserve">The hypervisor.</w:t>
      </w:r>
    </w:p>
    <w:p>
      <w:pPr>
        <w:pStyle w:val="ListParagraph"/>
        <w:numPr>
          <w:ilvl w:val="0"/>
          <w:numId w:val="2"/>
        </w:numPr>
        <w:spacing w:after="80" w:line="290"/>
      </w:pPr>
      <w:r>
        <w:t xml:space="preserve">The host OS.</w:t>
      </w:r>
    </w:p>
    <w:p>
      <w:pPr>
        <w:pStyle w:val="ListParagraph"/>
        <w:numPr>
          <w:ilvl w:val="0"/>
          <w:numId w:val="2"/>
        </w:numPr>
        <w:spacing w:after="80" w:line="290"/>
      </w:pPr>
      <w:r>
        <w:t xml:space="preserve">Anyone with root on the host.</w:t>
      </w:r>
    </w:p>
    <w:p>
      <w:pPr>
        <w:spacing w:after="120" w:line="300"/>
      </w:pPr>
      <w:r>
        <w:t xml:space="preserve">For most workloads, this is acceptable. For the most sensitive workloads — handling cryptographic keys, processing PII for regulated industries, training proprietary AI models on confidential data — it is not. Confidential Containers (CoCo) shrinks the trust boundary to JUST the hardware, the firmware, and your code. Even your cloud provider's root user cannot read your in-memory data.</w:t>
      </w:r>
    </w:p>
    <w:p>
      <w:pPr>
        <w:pStyle w:val="Heading2"/>
        <w:spacing w:after="160" w:before="280"/>
      </w:pPr>
      <w:r>
        <w:t xml:space="preserve">11.4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Normal Kubernetes Pod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Cloud operator can see:               │</w:t>
            </w:r>
          </w:p>
          <w:p>
            <w:pPr>
              <w:spacing w:after="0" w:line="260"/>
            </w:pPr>
            <w:r>
              <w:rPr>
                <w:rFonts w:ascii="Consolas" w:cs="Consolas" w:eastAsia="Consolas" w:hAnsi="Consolas"/>
                <w:sz w:val="20"/>
                <w:szCs w:val="20"/>
              </w:rPr>
              <w:t xml:space="preserve">   │ • Memory contents (with sufficient access)   │</w:t>
            </w:r>
          </w:p>
          <w:p>
            <w:pPr>
              <w:spacing w:after="0" w:line="260"/>
            </w:pPr>
            <w:r>
              <w:rPr>
                <w:rFonts w:ascii="Consolas" w:cs="Consolas" w:eastAsia="Consolas" w:hAnsi="Consolas"/>
                <w:sz w:val="20"/>
                <w:szCs w:val="20"/>
              </w:rPr>
              <w:t xml:space="preserve">   │ • Disk contents                              │</w:t>
            </w:r>
          </w:p>
          <w:p>
            <w:pPr>
              <w:spacing w:after="0" w:line="260"/>
            </w:pPr>
            <w:r>
              <w:rPr>
                <w:rFonts w:ascii="Consolas" w:cs="Consolas" w:eastAsia="Consolas" w:hAnsi="Consolas"/>
                <w:sz w:val="20"/>
                <w:szCs w:val="20"/>
              </w:rPr>
              <w:t xml:space="preserve">   │ • Network                                    │</w:t>
            </w:r>
          </w:p>
          <w:p>
            <w:pPr>
              <w:spacing w:after="0" w:line="260"/>
            </w:pPr>
            <w:r>
              <w:rPr>
                <w:rFonts w:ascii="Consolas" w:cs="Consolas" w:eastAsia="Consolas" w:hAnsi="Consolas"/>
                <w:sz w:val="20"/>
                <w:szCs w:val="20"/>
              </w:rPr>
              <w:t xml:space="preserve">   │ • Container image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Confidential Container Pod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TEE-protected enclave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Encrypted memory                      │ │</w:t>
            </w:r>
          </w:p>
          <w:p>
            <w:pPr>
              <w:spacing w:after="0" w:line="260"/>
            </w:pPr>
            <w:r>
              <w:rPr>
                <w:rFonts w:ascii="Consolas" w:cs="Consolas" w:eastAsia="Consolas" w:hAnsi="Consolas"/>
                <w:sz w:val="20"/>
                <w:szCs w:val="20"/>
              </w:rPr>
              <w:t xml:space="preserve">   │   │  Encrypted disk                        │ │</w:t>
            </w:r>
          </w:p>
          <w:p>
            <w:pPr>
              <w:spacing w:after="0" w:line="260"/>
            </w:pPr>
            <w:r>
              <w:rPr>
                <w:rFonts w:ascii="Consolas" w:cs="Consolas" w:eastAsia="Consolas" w:hAnsi="Consolas"/>
                <w:sz w:val="20"/>
                <w:szCs w:val="20"/>
              </w:rPr>
              <w:t xml:space="preserve">   │   │  Verified container image              │ │</w:t>
            </w:r>
          </w:p>
          <w:p>
            <w:pPr>
              <w:spacing w:after="0" w:line="260"/>
            </w:pPr>
            <w:r>
              <w:rPr>
                <w:rFonts w:ascii="Consolas" w:cs="Consolas" w:eastAsia="Consolas" w:hAnsi="Consolas"/>
                <w:sz w:val="20"/>
                <w:szCs w:val="20"/>
              </w:rPr>
              <w:t xml:space="preserve">   │   │  Your code runs here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Cloud operator can see:                     │</w:t>
            </w:r>
          </w:p>
          <w:p>
            <w:pPr>
              <w:spacing w:after="0" w:line="260"/>
            </w:pPr>
            <w:r>
              <w:rPr>
                <w:rFonts w:ascii="Consolas" w:cs="Consolas" w:eastAsia="Consolas" w:hAnsi="Consolas"/>
                <w:sz w:val="20"/>
                <w:szCs w:val="20"/>
              </w:rPr>
              <w:t xml:space="preserve">   │ • Encrypted bytes only                       │</w:t>
            </w:r>
          </w:p>
          <w:p>
            <w:pPr>
              <w:spacing w:after="0" w:line="260"/>
            </w:pPr>
            <w:r>
              <w:rPr>
                <w:rFonts w:ascii="Consolas" w:cs="Consolas" w:eastAsia="Consolas" w:hAnsi="Consolas"/>
                <w:sz w:val="20"/>
                <w:szCs w:val="20"/>
              </w:rPr>
              <w:t xml:space="preserve">   │ • Network metadata (encrypted payloads)      │</w:t>
            </w:r>
          </w:p>
          <w:p>
            <w:pPr>
              <w:spacing w:after="0" w:line="260"/>
            </w:pPr>
            <w:r>
              <w:rPr>
                <w:rFonts w:ascii="Consolas" w:cs="Consolas" w:eastAsia="Consolas" w:hAnsi="Consolas"/>
                <w:sz w:val="20"/>
                <w:szCs w:val="20"/>
              </w:rPr>
              <w:t xml:space="preserve">   │ • The fact that SOMETHING is running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11.5 The Components</w:t>
      </w:r>
    </w:p>
    <w:p>
      <w:pPr>
        <w:pStyle w:val="ListParagraph"/>
        <w:numPr>
          <w:ilvl w:val="0"/>
          <w:numId w:val="2"/>
        </w:numPr>
        <w:spacing w:after="80" w:line="290"/>
      </w:pPr>
      <w:r>
        <w:t xml:space="preserve">**Kata Containers** — runs each pod in a small VM (already a graduated CNCF project).</w:t>
      </w:r>
    </w:p>
    <w:p>
      <w:pPr>
        <w:pStyle w:val="ListParagraph"/>
        <w:numPr>
          <w:ilvl w:val="0"/>
          <w:numId w:val="2"/>
        </w:numPr>
        <w:spacing w:after="80" w:line="290"/>
      </w:pPr>
      <w:r>
        <w:t xml:space="preserve">**TEE-aware Kata** — the Kata VM runs INSIDE a TEE (TDX, SEV, etc.).</w:t>
      </w:r>
    </w:p>
    <w:p>
      <w:pPr>
        <w:pStyle w:val="ListParagraph"/>
        <w:numPr>
          <w:ilvl w:val="0"/>
          <w:numId w:val="2"/>
        </w:numPr>
        <w:spacing w:after="80" w:line="290"/>
      </w:pPr>
      <w:r>
        <w:t xml:space="preserve">**Trustee / Attestation Service** — verifies attestation evidence from the TEE before releasing secrets to it.</w:t>
      </w:r>
    </w:p>
    <w:p>
      <w:pPr>
        <w:pStyle w:val="ListParagraph"/>
        <w:numPr>
          <w:ilvl w:val="0"/>
          <w:numId w:val="2"/>
        </w:numPr>
        <w:spacing w:after="80" w:line="290"/>
      </w:pPr>
      <w:r>
        <w:t xml:space="preserve">**Confidential Data Hub** — secrets are released to the workload only after attestation succeeds.</w:t>
      </w:r>
    </w:p>
    <w:p>
      <w:pPr>
        <w:pStyle w:val="Heading2"/>
        <w:spacing w:after="160" w:before="280"/>
      </w:pPr>
      <w:r>
        <w:t xml:space="preserve">11.6 The Attestation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1. Pod scheduled to a TEE-capable node</w:t>
            </w:r>
          </w:p>
          <w:p>
            <w:pPr>
              <w:spacing w:after="0" w:line="260"/>
            </w:pPr>
            <w:r>
              <w:rPr>
                <w:rFonts w:ascii="Consolas" w:cs="Consolas" w:eastAsia="Consolas" w:hAnsi="Consolas"/>
                <w:sz w:val="20"/>
                <w:szCs w:val="20"/>
              </w:rPr>
              <w:t xml:space="preserve">2. TEE measures the workload (image, kernel, initrd) at boot</w:t>
            </w:r>
          </w:p>
          <w:p>
            <w:pPr>
              <w:spacing w:after="0" w:line="260"/>
            </w:pPr>
            <w:r>
              <w:rPr>
                <w:rFonts w:ascii="Consolas" w:cs="Consolas" w:eastAsia="Consolas" w:hAnsi="Consolas"/>
                <w:sz w:val="20"/>
                <w:szCs w:val="20"/>
              </w:rPr>
              <w:t xml:space="preserve">3. TEE generates attestation evidence — a signed quote from the hardware</w:t>
            </w:r>
          </w:p>
          <w:p>
            <w:pPr>
              <w:spacing w:after="0" w:line="260"/>
            </w:pPr>
            <w:r>
              <w:rPr>
                <w:rFonts w:ascii="Consolas" w:cs="Consolas" w:eastAsia="Consolas" w:hAnsi="Consolas"/>
                <w:sz w:val="20"/>
                <w:szCs w:val="20"/>
              </w:rPr>
              <w:t xml:space="preserve">4. Confidential Data Hub sends quote to Trustee for verification</w:t>
            </w:r>
          </w:p>
          <w:p>
            <w:pPr>
              <w:spacing w:after="0" w:line="260"/>
            </w:pPr>
            <w:r>
              <w:rPr>
                <w:rFonts w:ascii="Consolas" w:cs="Consolas" w:eastAsia="Consolas" w:hAnsi="Consolas"/>
                <w:sz w:val="20"/>
                <w:szCs w:val="20"/>
              </w:rPr>
              <w:t xml:space="preserve">5. Trustee verifies:</w:t>
            </w:r>
          </w:p>
          <w:p>
            <w:pPr>
              <w:spacing w:after="0" w:line="260"/>
            </w:pPr>
            <w:r>
              <w:rPr>
                <w:rFonts w:ascii="Consolas" w:cs="Consolas" w:eastAsia="Consolas" w:hAnsi="Consolas"/>
                <w:sz w:val="20"/>
                <w:szCs w:val="20"/>
              </w:rPr>
              <w:t xml:space="preserve">     - The hardware is genuine (signed by Intel/AMD/etc.)</w:t>
            </w:r>
          </w:p>
          <w:p>
            <w:pPr>
              <w:spacing w:after="0" w:line="260"/>
            </w:pPr>
            <w:r>
              <w:rPr>
                <w:rFonts w:ascii="Consolas" w:cs="Consolas" w:eastAsia="Consolas" w:hAnsi="Consolas"/>
                <w:sz w:val="20"/>
                <w:szCs w:val="20"/>
              </w:rPr>
              <w:t xml:space="preserve">     - The measurements match the expected (signed) image</w:t>
            </w:r>
          </w:p>
          <w:p>
            <w:pPr>
              <w:spacing w:after="0" w:line="260"/>
            </w:pPr>
            <w:r>
              <w:rPr>
                <w:rFonts w:ascii="Consolas" w:cs="Consolas" w:eastAsia="Consolas" w:hAnsi="Consolas"/>
                <w:sz w:val="20"/>
                <w:szCs w:val="20"/>
              </w:rPr>
              <w:t xml:space="preserve">     - The workload identity matches policy</w:t>
            </w:r>
          </w:p>
          <w:p>
            <w:pPr>
              <w:spacing w:after="0" w:line="260"/>
            </w:pPr>
            <w:r>
              <w:rPr>
                <w:rFonts w:ascii="Consolas" w:cs="Consolas" w:eastAsia="Consolas" w:hAnsi="Consolas"/>
                <w:sz w:val="20"/>
                <w:szCs w:val="20"/>
              </w:rPr>
              <w:t xml:space="preserve">6. On successful attestation, Trustee releases secrets (KMS keys,</w:t>
            </w:r>
          </w:p>
          <w:p>
            <w:pPr>
              <w:spacing w:after="0" w:line="260"/>
            </w:pPr>
            <w:r>
              <w:rPr>
                <w:rFonts w:ascii="Consolas" w:cs="Consolas" w:eastAsia="Consolas" w:hAnsi="Consolas"/>
                <w:sz w:val="20"/>
                <w:szCs w:val="20"/>
              </w:rPr>
              <w:t xml:space="preserve">   data decryption keys) to the TEE</w:t>
            </w:r>
          </w:p>
          <w:p>
            <w:pPr>
              <w:spacing w:after="0" w:line="260"/>
            </w:pPr>
            <w:r>
              <w:rPr>
                <w:rFonts w:ascii="Consolas" w:cs="Consolas" w:eastAsia="Consolas" w:hAnsi="Consolas"/>
                <w:sz w:val="20"/>
                <w:szCs w:val="20"/>
              </w:rPr>
              <w:t xml:space="preserve">7. Workload starts with access to its secrets</w:t>
            </w:r>
          </w:p>
          <w:p>
            <w:pPr>
              <w:spacing w:after="0" w:line="260"/>
            </w:pPr>
            <w:r>
              <w:rPr>
                <w:rFonts w:ascii="Consolas" w:cs="Consolas" w:eastAsia="Consolas" w:hAnsi="Consolas"/>
                <w:sz w:val="20"/>
                <w:szCs w:val="20"/>
              </w:rPr>
              <w:t xml:space="preserve">8. If attestation fails (modified image, debugging tampered, wrong hardware),</w:t>
            </w:r>
          </w:p>
          <w:p>
            <w:pPr>
              <w:spacing w:after="0" w:line="260"/>
            </w:pPr>
            <w:r>
              <w:rPr>
                <w:rFonts w:ascii="Consolas" w:cs="Consolas" w:eastAsia="Consolas" w:hAnsi="Consolas"/>
                <w:sz w:val="20"/>
                <w:szCs w:val="20"/>
              </w:rPr>
              <w:t xml:space="preserve">   no secrets — the workload cannot decrypt and cannot proceed</w:t>
            </w:r>
          </w:p>
        </w:tc>
      </w:tr>
    </w:tbl>
    <w:p>
      <w:pPr>
        <w:pStyle w:val="Heading2"/>
        <w:spacing w:after="160" w:before="280"/>
      </w:pPr>
      <w:r>
        <w:t xml:space="preserve">11.7 Use Cases</w:t>
      </w:r>
    </w:p>
    <w:p>
      <w:pPr>
        <w:pStyle w:val="ListParagraph"/>
        <w:numPr>
          <w:ilvl w:val="0"/>
          <w:numId w:val="2"/>
        </w:numPr>
        <w:spacing w:after="80" w:line="290"/>
      </w:pPr>
      <w:r>
        <w:t xml:space="preserve">**Highly regulated industries** — finance, healthcare, government — where the cloud provider must be cryptographically excluded from the trust boundary.</w:t>
      </w:r>
    </w:p>
    <w:p>
      <w:pPr>
        <w:pStyle w:val="ListParagraph"/>
        <w:numPr>
          <w:ilvl w:val="0"/>
          <w:numId w:val="2"/>
        </w:numPr>
        <w:spacing w:after="80" w:line="290"/>
      </w:pPr>
      <w:r>
        <w:t xml:space="preserve">**Multi-party computation** — multiple organizations contribute encrypted data; computation happens in the TEE so no party sees others' inputs.</w:t>
      </w:r>
    </w:p>
    <w:p>
      <w:pPr>
        <w:pStyle w:val="ListParagraph"/>
        <w:numPr>
          <w:ilvl w:val="0"/>
          <w:numId w:val="2"/>
        </w:numPr>
        <w:spacing w:after="80" w:line="290"/>
      </w:pPr>
      <w:r>
        <w:t xml:space="preserve">**Confidential AI training** — train on customer data without your operators ever being able to read it.</w:t>
      </w:r>
    </w:p>
    <w:p>
      <w:pPr>
        <w:pStyle w:val="ListParagraph"/>
        <w:numPr>
          <w:ilvl w:val="0"/>
          <w:numId w:val="2"/>
        </w:numPr>
        <w:spacing w:after="80" w:line="290"/>
      </w:pPr>
      <w:r>
        <w:t xml:space="preserve">**Cryptographic key handling** — KMS-style services that need to keep master keys out of operator reach.</w:t>
      </w:r>
    </w:p>
    <w:p>
      <w:pPr>
        <w:pStyle w:val="Heading2"/>
        <w:spacing w:after="160" w:before="280"/>
      </w:pPr>
      <w:r>
        <w:t xml:space="preserve">11.8 The Honest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Where CoCo Is Today</w:t>
            </w:r>
          </w:p>
          <w:p>
            <w:pPr>
              <w:spacing w:after="60" w:line="280"/>
            </w:pPr>
            <w:r>
              <w:rPr>
                <w:sz w:val="22"/>
                <w:szCs w:val="22"/>
              </w:rPr>
              <w:t xml:space="preserve">Confidential Containers is sandbox; it is real and usable but not yet trivial. Hardware support is now widely available across AWS, Azure, GCP. The integration story is improving each release. For 99% of workloads, you don't need this — perimeter prevention + Zero Trust + audit + runtime detection is sufficient. For the 1% where it matters, CoCo is the cloud-native answer.</w:t>
            </w:r>
          </w:p>
        </w:tc>
      </w:tr>
    </w:tbl>
    <w:p>
      <w:pPr>
        <w:pStyle w:val="Heading2"/>
        <w:spacing w:after="160" w:before="280"/>
      </w:pPr>
      <w:r>
        <w:t xml:space="preserve">11.9 Cloud-Provider Confidential VM Offerings</w:t>
      </w:r>
    </w:p>
    <w:p>
      <w:pPr>
        <w:spacing w:after="120" w:line="300"/>
      </w:pPr>
      <w:r>
        <w:t xml:space="preserve">Even outside CoCo, the major clouds offer confidential computing primitives that workloads can use directly:</w:t>
      </w:r>
    </w:p>
    <w:p>
      <w:pPr>
        <w:pStyle w:val="ListParagraph"/>
        <w:numPr>
          <w:ilvl w:val="0"/>
          <w:numId w:val="2"/>
        </w:numPr>
        <w:spacing w:after="80" w:line="290"/>
      </w:pPr>
      <w:r>
        <w:t xml:space="preserve">**AWS Nitro Enclaves** — VM-based isolation enclaves on EC2.</w:t>
      </w:r>
    </w:p>
    <w:p>
      <w:pPr>
        <w:pStyle w:val="ListParagraph"/>
        <w:numPr>
          <w:ilvl w:val="0"/>
          <w:numId w:val="2"/>
        </w:numPr>
        <w:spacing w:after="80" w:line="290"/>
      </w:pPr>
      <w:r>
        <w:t xml:space="preserve">**GCP Confidential VMs** — TDX/SEV-based VMs.</w:t>
      </w:r>
    </w:p>
    <w:p>
      <w:pPr>
        <w:pStyle w:val="ListParagraph"/>
        <w:numPr>
          <w:ilvl w:val="0"/>
          <w:numId w:val="2"/>
        </w:numPr>
        <w:spacing w:after="80" w:line="290"/>
      </w:pPr>
      <w:r>
        <w:t xml:space="preserve">**Azure Confidential Computing** — Confidential VMs (TDX/SEV) and SGX-based options.</w:t>
      </w:r>
    </w:p>
    <w:p>
      <w:pPr>
        <w:spacing w:after="120" w:line="300"/>
      </w:pPr>
      <w:r>
        <w:t xml:space="preserve">CoCo brings these into the K8s scheduling model so you can use them with `kubectl` and runtimeClass selection rather than out-of-band provisioning.</w:t>
      </w:r>
    </w:p>
    <w:p>
      <w:r>
        <w:br w:type="page"/>
      </w:r>
    </w:p>
    <w:p>
      <w:pPr>
        <w:pStyle w:val="Heading1"/>
        <w:spacing w:after="200" w:before="360"/>
      </w:pPr>
      <w:r>
        <w:t xml:space="preserve">12. Adjacent Sandbox Projects Worth Knowing</w:t>
      </w:r>
    </w:p>
    <w:p>
      <w:pPr>
        <w:spacing w:after="120" w:line="300"/>
      </w:pPr>
      <w:r>
        <w:t xml:space="preserve">Beyond Tetragon and Confidential Containers, several sandbox security projects are worth tracking even if you wouldn't deploy them in production today. These are the projects most likely to mature into production-grade options in the next 1-3 years.</w:t>
      </w:r>
    </w:p>
    <w:p>
      <w:pPr>
        <w:pStyle w:val="Heading2"/>
        <w:spacing w:after="160" w:before="280"/>
      </w:pPr>
      <w:r>
        <w:t xml:space="preserve">12.1 KubeArmor</w:t>
      </w:r>
    </w:p>
    <w:p>
      <w:pPr>
        <w:pStyle w:val="ListParagraph"/>
        <w:numPr>
          <w:ilvl w:val="0"/>
          <w:numId w:val="2"/>
        </w:numPr>
        <w:spacing w:after="80" w:line="290"/>
      </w:pPr>
      <w:r>
        <w:t xml:space="preserve">**Concern**: Runtime policy enforcement using Linux Security Modules (LSM) — AppArmor, SELinux, BPF-LSM.</w:t>
      </w:r>
    </w:p>
    <w:p>
      <w:pPr>
        <w:pStyle w:val="ListParagraph"/>
        <w:numPr>
          <w:ilvl w:val="0"/>
          <w:numId w:val="2"/>
        </w:numPr>
        <w:spacing w:after="80" w:line="290"/>
      </w:pPr>
      <w:r>
        <w:t xml:space="preserve">**What's different**: rather than alerting (Falco) or kernel-level kill (Tetragon), KubeArmor leverages LSM hooks for granular file/process/network policy enforcement.</w:t>
      </w:r>
    </w:p>
    <w:p>
      <w:pPr>
        <w:pStyle w:val="ListParagraph"/>
        <w:numPr>
          <w:ilvl w:val="0"/>
          <w:numId w:val="2"/>
        </w:numPr>
        <w:spacing w:after="80" w:line="290"/>
      </w:pPr>
      <w:r>
        <w:t xml:space="preserve">**Status**: CNCF sandbox; production-deployed by some users.</w:t>
      </w:r>
    </w:p>
    <w:p>
      <w:pPr>
        <w:pStyle w:val="Heading2"/>
        <w:spacing w:after="160" w:before="280"/>
      </w:pPr>
      <w:r>
        <w:t xml:space="preserve">12.2 Keylime</w:t>
      </w:r>
    </w:p>
    <w:p>
      <w:pPr>
        <w:pStyle w:val="ListParagraph"/>
        <w:numPr>
          <w:ilvl w:val="0"/>
          <w:numId w:val="2"/>
        </w:numPr>
        <w:spacing w:after="80" w:line="290"/>
      </w:pPr>
      <w:r>
        <w:t xml:space="preserve">**Concern**: Remote attestation of nodes / VMs via TPM (Trusted Platform Module).</w:t>
      </w:r>
    </w:p>
    <w:p>
      <w:pPr>
        <w:pStyle w:val="ListParagraph"/>
        <w:numPr>
          <w:ilvl w:val="0"/>
          <w:numId w:val="2"/>
        </w:numPr>
        <w:spacing w:after="80" w:line="290"/>
      </w:pPr>
      <w:r>
        <w:t xml:space="preserve">**Use case**: prove that a node hasn't been tampered with at the firmware level before admitting it to the cluster.</w:t>
      </w:r>
    </w:p>
    <w:p>
      <w:pPr>
        <w:pStyle w:val="ListParagraph"/>
        <w:numPr>
          <w:ilvl w:val="0"/>
          <w:numId w:val="2"/>
        </w:numPr>
        <w:spacing w:after="80" w:line="290"/>
      </w:pPr>
      <w:r>
        <w:t xml:space="preserve">**Status**: CNCF sandbox; valuable for high-assurance environments.</w:t>
      </w:r>
    </w:p>
    <w:p>
      <w:pPr>
        <w:pStyle w:val="Heading2"/>
        <w:spacing w:after="160" w:before="280"/>
      </w:pPr>
      <w:r>
        <w:t xml:space="preserve">12.3 OpenFGA</w:t>
      </w:r>
    </w:p>
    <w:p>
      <w:pPr>
        <w:pStyle w:val="ListParagraph"/>
        <w:numPr>
          <w:ilvl w:val="0"/>
          <w:numId w:val="2"/>
        </w:numPr>
        <w:spacing w:after="80" w:line="290"/>
      </w:pPr>
      <w:r>
        <w:t xml:space="preserve">**Concern**: Fine-grained authorization, modeled on Google's Zanzibar paper.</w:t>
      </w:r>
    </w:p>
    <w:p>
      <w:pPr>
        <w:pStyle w:val="ListParagraph"/>
        <w:numPr>
          <w:ilvl w:val="0"/>
          <w:numId w:val="2"/>
        </w:numPr>
        <w:spacing w:after="80" w:line="290"/>
      </w:pPr>
      <w:r>
        <w:t xml:space="preserve">**What's different**: relationship-based access control ("Alice has access because she's in Group X which is on Project Y's editors list").</w:t>
      </w:r>
    </w:p>
    <w:p>
      <w:pPr>
        <w:pStyle w:val="ListParagraph"/>
        <w:numPr>
          <w:ilvl w:val="0"/>
          <w:numId w:val="2"/>
        </w:numPr>
        <w:spacing w:after="80" w:line="290"/>
      </w:pPr>
      <w:r>
        <w:t xml:space="preserve">**Status**: CNCF sandbox; emerging alternative to OPA for application-level authz.</w:t>
      </w:r>
    </w:p>
    <w:p>
      <w:pPr>
        <w:pStyle w:val="Heading2"/>
        <w:spacing w:after="160" w:before="280"/>
      </w:pPr>
      <w:r>
        <w:t xml:space="preserve">12.4 Cosign-Equivalent: kpack, cartographer (related)</w:t>
      </w:r>
    </w:p>
    <w:p>
      <w:pPr>
        <w:pStyle w:val="ListParagraph"/>
        <w:numPr>
          <w:ilvl w:val="0"/>
          <w:numId w:val="2"/>
        </w:numPr>
        <w:spacing w:after="80" w:line="290"/>
      </w:pPr>
      <w:r>
        <w:t xml:space="preserve">Not directly security, but build pipelines that produce signed images natively.</w:t>
      </w:r>
    </w:p>
    <w:p>
      <w:pPr>
        <w:pStyle w:val="ListParagraph"/>
        <w:numPr>
          <w:ilvl w:val="0"/>
          <w:numId w:val="2"/>
        </w:numPr>
        <w:spacing w:after="80" w:line="290"/>
      </w:pPr>
      <w:r>
        <w:t xml:space="preserve">**kpack** generates and signs OCI images from source on Kubernetes.</w:t>
      </w:r>
    </w:p>
    <w:p>
      <w:pPr>
        <w:pStyle w:val="ListParagraph"/>
        <w:numPr>
          <w:ilvl w:val="0"/>
          <w:numId w:val="2"/>
        </w:numPr>
        <w:spacing w:after="80" w:line="290"/>
      </w:pPr>
      <w:r>
        <w:t xml:space="preserve">**Tekton Chains** (graduated as part of Tekton) signs Tekton-built artifacts.</w:t>
      </w:r>
    </w:p>
    <w:p>
      <w:pPr>
        <w:pStyle w:val="Heading2"/>
        <w:spacing w:after="160" w:before="280"/>
      </w:pPr>
      <w:r>
        <w:t xml:space="preserve">12.5 Kuadrant</w:t>
      </w:r>
    </w:p>
    <w:p>
      <w:pPr>
        <w:pStyle w:val="ListParagraph"/>
        <w:numPr>
          <w:ilvl w:val="0"/>
          <w:numId w:val="2"/>
        </w:numPr>
        <w:spacing w:after="80" w:line="290"/>
      </w:pPr>
      <w:r>
        <w:t xml:space="preserve">**Concern**: AuthN/AuthZ + rate-limiting + WAF for Kubernetes Gateway API.</w:t>
      </w:r>
    </w:p>
    <w:p>
      <w:pPr>
        <w:pStyle w:val="ListParagraph"/>
        <w:numPr>
          <w:ilvl w:val="0"/>
          <w:numId w:val="2"/>
        </w:numPr>
        <w:spacing w:after="80" w:line="290"/>
      </w:pPr>
      <w:r>
        <w:t xml:space="preserve">**Use case**: turn the K8s Gateway API into a production-grade API gateway with security policies (auth, rate-limit, WAF) declared as CRDs.</w:t>
      </w:r>
    </w:p>
    <w:p>
      <w:pPr>
        <w:pStyle w:val="ListParagraph"/>
        <w:numPr>
          <w:ilvl w:val="0"/>
          <w:numId w:val="2"/>
        </w:numPr>
        <w:spacing w:after="80" w:line="290"/>
      </w:pPr>
      <w:r>
        <w:t xml:space="preserve">**Status**: CNCF incubating (joined 2024).</w:t>
      </w:r>
    </w:p>
    <w:p>
      <w:pPr>
        <w:pStyle w:val="Heading2"/>
        <w:spacing w:after="160" w:before="280"/>
      </w:pPr>
      <w:r>
        <w:t xml:space="preserve">12.6 Karmada and Multi-Cluster Security</w:t>
      </w:r>
    </w:p>
    <w:p>
      <w:pPr>
        <w:pStyle w:val="ListParagraph"/>
        <w:numPr>
          <w:ilvl w:val="0"/>
          <w:numId w:val="2"/>
        </w:numPr>
        <w:spacing w:after="80" w:line="290"/>
      </w:pPr>
      <w:r>
        <w:t xml:space="preserve">**Concern**: While Karmada itself is multi-cluster orchestration, its evolution touches multi-cluster security (consistent policies across clusters).</w:t>
      </w:r>
    </w:p>
    <w:p>
      <w:pPr>
        <w:pStyle w:val="ListParagraph"/>
        <w:numPr>
          <w:ilvl w:val="0"/>
          <w:numId w:val="2"/>
        </w:numPr>
        <w:spacing w:after="80" w:line="290"/>
      </w:pPr>
      <w:r>
        <w:t xml:space="preserve">**Status**: Incubating; relevant if you operate multiple clusters.</w:t>
      </w:r>
    </w:p>
    <w:p>
      <w:pPr>
        <w:pStyle w:val="Heading2"/>
        <w:spacing w:after="160" w:before="280"/>
      </w:pPr>
      <w:r>
        <w:t xml:space="preserve">12.7 Trousseau / Secrets Store CSI Driver</w:t>
      </w:r>
    </w:p>
    <w:p>
      <w:pPr>
        <w:pStyle w:val="ListParagraph"/>
        <w:numPr>
          <w:ilvl w:val="0"/>
          <w:numId w:val="2"/>
        </w:numPr>
        <w:spacing w:after="80" w:line="290"/>
      </w:pPr>
      <w:r>
        <w:t xml:space="preserve">**Concern**: Secrets management via CSI volume mounts.</w:t>
      </w:r>
    </w:p>
    <w:p>
      <w:pPr>
        <w:pStyle w:val="ListParagraph"/>
        <w:numPr>
          <w:ilvl w:val="0"/>
          <w:numId w:val="2"/>
        </w:numPr>
        <w:spacing w:after="80" w:line="290"/>
      </w:pPr>
      <w:r>
        <w:t xml:space="preserve">**Secrets Store CSI Driver** — vendor-neutral way to mount external secrets as files in pods. Module 7 mentioned this.</w:t>
      </w:r>
    </w:p>
    <w:p>
      <w:pPr>
        <w:pStyle w:val="ListParagraph"/>
        <w:numPr>
          <w:ilvl w:val="0"/>
          <w:numId w:val="2"/>
        </w:numPr>
        <w:spacing w:after="80" w:line="290"/>
      </w:pPr>
      <w:r>
        <w:t xml:space="preserve">**Status**: Was sandbox, archived; many providers shifted to External Secrets Operator path.</w:t>
      </w:r>
    </w:p>
    <w:p>
      <w:pPr>
        <w:pStyle w:val="Heading2"/>
        <w:spacing w:after="160" w:before="280"/>
      </w:pPr>
      <w:r>
        <w:t xml:space="preserve">12.8 Krane and rbac-tool</w:t>
      </w:r>
    </w:p>
    <w:p>
      <w:pPr>
        <w:pStyle w:val="ListParagraph"/>
        <w:numPr>
          <w:ilvl w:val="0"/>
          <w:numId w:val="2"/>
        </w:numPr>
        <w:spacing w:after="80" w:line="290"/>
      </w:pPr>
      <w:r>
        <w:t xml:space="preserve">**Concern**: Visualization and analysis of Kubernetes RBAC.</w:t>
      </w:r>
    </w:p>
    <w:p>
      <w:pPr>
        <w:pStyle w:val="ListParagraph"/>
        <w:numPr>
          <w:ilvl w:val="0"/>
          <w:numId w:val="2"/>
        </w:numPr>
        <w:spacing w:after="80" w:line="290"/>
      </w:pPr>
      <w:r>
        <w:t xml:space="preserve">Not graduated CNCF projects, but tools that show up in the security landscape repeatedly. Worth knowing of.</w:t>
      </w:r>
    </w:p>
    <w:p>
      <w:pPr>
        <w:pStyle w:val="Heading2"/>
        <w:spacing w:after="160" w:before="280"/>
      </w:pPr>
      <w:r>
        <w:t xml:space="preserve">12.9 The Ones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Three Worth Tracking Closely</w:t>
            </w:r>
          </w:p>
          <w:p>
            <w:pPr>
              <w:spacing w:after="60" w:line="280"/>
            </w:pPr>
            <w:r>
              <w:rPr>
                <w:sz w:val="22"/>
                <w:szCs w:val="22"/>
              </w:rPr>
              <w:t xml:space="preserve">1. **Tetragon** — likely to incubate within a year or two; in-kernel prevention is the next runtime-security frontier.</w:t>
            </w:r>
          </w:p>
          <w:p>
            <w:pPr>
              <w:spacing w:after="60" w:line="280"/>
            </w:pPr>
            <w:r>
              <w:rPr>
                <w:sz w:val="22"/>
                <w:szCs w:val="22"/>
              </w:rPr>
              <w:t xml:space="preserve">2. **Confidential Containers** — confidential computing is becoming standard cloud capability; CoCo is the K8s-side abstraction.</w:t>
            </w:r>
          </w:p>
          <w:p>
            <w:pPr>
              <w:spacing w:after="60" w:line="280"/>
            </w:pPr>
            <w:r>
              <w:rPr>
                <w:sz w:val="22"/>
                <w:szCs w:val="22"/>
              </w:rPr>
              <w:t xml:space="preserve">3. **OpenFGA** — fine-grained authz is a recurring need; Zanzibar-style relationship-based ACLs are gaining traction.</w:t>
            </w:r>
          </w:p>
        </w:tc>
      </w:tr>
    </w:tbl>
    <w:p>
      <w:r>
        <w:br w:type="page"/>
      </w:r>
    </w:p>
    <w:p>
      <w:pPr>
        <w:pStyle w:val="Heading1"/>
        <w:spacing w:after="200" w:before="360"/>
      </w:pPr>
      <w:r>
        <w:t xml:space="preserve">13. The Project Map by Concern</w:t>
      </w:r>
    </w:p>
    <w:p>
      <w:pPr>
        <w:spacing w:after="120" w:line="300"/>
      </w:pPr>
      <w:r>
        <w:t xml:space="preserve">A reference table mapping every concern in this curriculum to the relevant CNCF projects. Use this when designing a new system or evaluating a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Concern</w:t>
            </w:r>
          </w:p>
        </w:tc>
        <w:tc>
          <w:tcPr>
            <w:tcW w:type="dxa" w:w="31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Mature option (graduated)</w:t>
            </w:r>
          </w:p>
        </w:tc>
        <w:tc>
          <w:tcPr>
            <w:tcW w:type="dxa" w:w="31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Sandbox / emerging</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Image scanning</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Trivy (graduated)</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 signing</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Cosign / Sigstore (graduated)</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Notary v2 (graduated)</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SBOM generation</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Trivy / Syft (Anchore, not CNCF)</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Supply chain attestation format</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in-toto (graduated)</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Update integrity</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TUF (graduated)</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Admission policy (general)</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OPA / Gatekeeper (graduated)</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Admission policy (K8s-native)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Kyverno (graduated)</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Runtime detection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Falco (graduated)</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Tetragon (sandbox)</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Runtime prevention (in-kernel)</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Tetragon (sandbox)</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Workload identity</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SPIFFE / SPIRE (graduated)</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Service-to-service mTLS</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Linkerd / Istio / Cilium (graduated)</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Network microsegmentation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Cilium / Calico (graduated)</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Hardware-isolated workloads</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Confidential Containers (sandbox)</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Node attestation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Keylime (sandbox)</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LSM-based runtime enforcement</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KubeArmor (sandbox)</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External secrets sync</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External Secrets Operator (graduated)</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Sealed Secrets in git</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Sealed Secrets (community, not CNCF graduated)</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CIS Benchmark scanning</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kube-bench (Aqua, not CNCF)</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Security CRD aggregation</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Trivy Operator / Starboard (Aqua)</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Fine-grained authz</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OPA (graduated)</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OpenFGA (sandbox)</w:t>
            </w:r>
          </w:p>
        </w:tc>
      </w:tr>
    </w:tbl>
    <w:p>
      <w:pPr>
        <w:pStyle w:val="Heading2"/>
        <w:spacing w:after="160" w:before="280"/>
      </w:pPr>
      <w:r>
        <w:t xml:space="preserve">13.1 The Projects Most Teams End Up Running</w:t>
      </w:r>
    </w:p>
    <w:p>
      <w:pPr>
        <w:spacing w:after="120" w:line="300"/>
      </w:pPr>
      <w:r>
        <w:t xml:space="preserve">In a typical cloud-native security stack, the following CNCF projects are present:</w:t>
      </w:r>
    </w:p>
    <w:p>
      <w:pPr>
        <w:pStyle w:val="ListParagraph"/>
        <w:numPr>
          <w:ilvl w:val="0"/>
          <w:numId w:val="2"/>
        </w:numPr>
        <w:spacing w:after="80" w:line="290"/>
      </w:pPr>
      <w:r>
        <w:t xml:space="preserve">**Kubernetes** — the foundation.</w:t>
      </w:r>
    </w:p>
    <w:p>
      <w:pPr>
        <w:pStyle w:val="ListParagraph"/>
        <w:numPr>
          <w:ilvl w:val="0"/>
          <w:numId w:val="2"/>
        </w:numPr>
        <w:spacing w:after="80" w:line="290"/>
      </w:pPr>
      <w:r>
        <w:t xml:space="preserve">**Cilium** OR **Calico** — CNI with NetworkPolicy enforcement.</w:t>
      </w:r>
    </w:p>
    <w:p>
      <w:pPr>
        <w:pStyle w:val="ListParagraph"/>
        <w:numPr>
          <w:ilvl w:val="0"/>
          <w:numId w:val="2"/>
        </w:numPr>
        <w:spacing w:after="80" w:line="290"/>
      </w:pPr>
      <w:r>
        <w:t xml:space="preserve">**Trivy** — image scanning in CI and via Trivy Operator at runtime.</w:t>
      </w:r>
    </w:p>
    <w:p>
      <w:pPr>
        <w:pStyle w:val="ListParagraph"/>
        <w:numPr>
          <w:ilvl w:val="0"/>
          <w:numId w:val="2"/>
        </w:numPr>
        <w:spacing w:after="80" w:line="290"/>
      </w:pPr>
      <w:r>
        <w:t xml:space="preserve">**Cosign** — image signing in CI.</w:t>
      </w:r>
    </w:p>
    <w:p>
      <w:pPr>
        <w:pStyle w:val="ListParagraph"/>
        <w:numPr>
          <w:ilvl w:val="0"/>
          <w:numId w:val="2"/>
        </w:numPr>
        <w:spacing w:after="80" w:line="290"/>
      </w:pPr>
      <w:r>
        <w:t xml:space="preserve">**Kyverno** OR **OPA / Gatekeeper** — admission policy.</w:t>
      </w:r>
    </w:p>
    <w:p>
      <w:pPr>
        <w:pStyle w:val="ListParagraph"/>
        <w:numPr>
          <w:ilvl w:val="0"/>
          <w:numId w:val="2"/>
        </w:numPr>
        <w:spacing w:after="80" w:line="290"/>
      </w:pPr>
      <w:r>
        <w:t xml:space="preserve">**Falco** — runtime detection.</w:t>
      </w:r>
    </w:p>
    <w:p>
      <w:pPr>
        <w:pStyle w:val="ListParagraph"/>
        <w:numPr>
          <w:ilvl w:val="0"/>
          <w:numId w:val="2"/>
        </w:numPr>
        <w:spacing w:after="80" w:line="290"/>
      </w:pPr>
      <w:r>
        <w:t xml:space="preserve">**External Secrets Operator** — secrets sync from external store.</w:t>
      </w:r>
    </w:p>
    <w:p>
      <w:pPr>
        <w:pStyle w:val="ListParagraph"/>
        <w:numPr>
          <w:ilvl w:val="0"/>
          <w:numId w:val="2"/>
        </w:numPr>
        <w:spacing w:after="80" w:line="290"/>
      </w:pPr>
      <w:r>
        <w:t xml:space="preserve">**cert-manager** — TLS automation (graduated).</w:t>
      </w:r>
    </w:p>
    <w:p>
      <w:pPr>
        <w:pStyle w:val="ListParagraph"/>
        <w:numPr>
          <w:ilvl w:val="0"/>
          <w:numId w:val="2"/>
        </w:numPr>
        <w:spacing w:after="80" w:line="290"/>
      </w:pPr>
      <w:r>
        <w:t xml:space="preserve">**Istio** OR **Linkerd** OR **Cilium Service Mesh** — mTLS and L7 policy (sometimes).</w:t>
      </w:r>
    </w:p>
    <w:p>
      <w:pPr>
        <w:spacing w:after="120" w:line="300"/>
      </w:pPr>
      <w:r>
        <w:t xml:space="preserve">That's eight to ten CNCF projects forming the security stack — graduated or near-graduated, all production-grade.</w:t>
      </w:r>
    </w:p>
    <w:p>
      <w:r>
        <w:br w:type="page"/>
      </w:r>
    </w:p>
    <w:p>
      <w:pPr>
        <w:pStyle w:val="Heading1"/>
        <w:spacing w:after="200" w:before="360"/>
      </w:pPr>
      <w:r>
        <w:t xml:space="preserve">14. How to Evaluate a CNCF Project for Adoption</w:t>
      </w:r>
    </w:p>
    <w:p>
      <w:pPr>
        <w:pStyle w:val="Heading2"/>
        <w:spacing w:after="160" w:before="280"/>
      </w:pPr>
      <w:r>
        <w:t xml:space="preserve">14.1 Beyond the Marketing Page</w:t>
      </w:r>
    </w:p>
    <w:p>
      <w:pPr>
        <w:spacing w:after="120" w:line="300"/>
      </w:pPr>
      <w:r>
        <w:t xml:space="preserve">CNCF status, GitHub stars, and conference mentions are signals — not decisions. Before adopting a CNCF project, evaluate it across these dimensions:</w:t>
      </w:r>
    </w:p>
    <w:p>
      <w:pPr>
        <w:pStyle w:val="Heading2"/>
        <w:spacing w:after="160" w:before="280"/>
      </w:pPr>
      <w:r>
        <w:t xml:space="preserve">14.2 Maturity Signals</w:t>
      </w:r>
    </w:p>
    <w:p>
      <w:pPr>
        <w:pStyle w:val="ListParagraph"/>
        <w:numPr>
          <w:ilvl w:val="0"/>
          <w:numId w:val="2"/>
        </w:numPr>
        <w:spacing w:after="80" w:line="290"/>
      </w:pPr>
      <w:r>
        <w:t xml:space="preserve">**Stage** — Sandbox, Incubating, Graduated. Treat Sandbox as experimental; Incubating as production-viable; Graduated as production-grade.</w:t>
      </w:r>
    </w:p>
    <w:p>
      <w:pPr>
        <w:pStyle w:val="ListParagraph"/>
        <w:numPr>
          <w:ilvl w:val="0"/>
          <w:numId w:val="2"/>
        </w:numPr>
        <w:spacing w:after="80" w:line="290"/>
      </w:pPr>
      <w:r>
        <w:t xml:space="preserve">**Audit reports** — Graduated projects have published audits. Read them — not just the conclusion.</w:t>
      </w:r>
    </w:p>
    <w:p>
      <w:pPr>
        <w:pStyle w:val="ListParagraph"/>
        <w:numPr>
          <w:ilvl w:val="0"/>
          <w:numId w:val="2"/>
        </w:numPr>
        <w:spacing w:after="80" w:line="290"/>
      </w:pPr>
      <w:r>
        <w:t xml:space="preserve">**Release cadence** — regular releases (every ~3-6 months) signal active development. 18-month gaps are concerning.</w:t>
      </w:r>
    </w:p>
    <w:p>
      <w:pPr>
        <w:pStyle w:val="ListParagraph"/>
        <w:numPr>
          <w:ilvl w:val="0"/>
          <w:numId w:val="2"/>
        </w:numPr>
        <w:spacing w:after="80" w:line="290"/>
      </w:pPr>
      <w:r>
        <w:t xml:space="preserve">**CVE history** — how does the project handle disclosures? Look for a SECURITY.md, a CVE log, named contacts.</w:t>
      </w:r>
    </w:p>
    <w:p>
      <w:pPr>
        <w:pStyle w:val="ListParagraph"/>
        <w:numPr>
          <w:ilvl w:val="0"/>
          <w:numId w:val="2"/>
        </w:numPr>
        <w:spacing w:after="80" w:line="290"/>
      </w:pPr>
      <w:r>
        <w:t xml:space="preserve">**API stability** — has the API broken in the last year? Will it break in the next?</w:t>
      </w:r>
    </w:p>
    <w:p>
      <w:pPr>
        <w:pStyle w:val="Heading2"/>
        <w:spacing w:after="160" w:before="280"/>
      </w:pPr>
      <w:r>
        <w:t xml:space="preserve">14.3 Community Health</w:t>
      </w:r>
    </w:p>
    <w:p>
      <w:pPr>
        <w:pStyle w:val="ListParagraph"/>
        <w:numPr>
          <w:ilvl w:val="0"/>
          <w:numId w:val="2"/>
        </w:numPr>
        <w:spacing w:after="80" w:line="290"/>
      </w:pPr>
      <w:r>
        <w:t xml:space="preserve">**Contributor diversity** — projects dominated by one company are at higher risk if that company changes priorities.</w:t>
      </w:r>
    </w:p>
    <w:p>
      <w:pPr>
        <w:pStyle w:val="ListParagraph"/>
        <w:numPr>
          <w:ilvl w:val="0"/>
          <w:numId w:val="2"/>
        </w:numPr>
        <w:spacing w:after="80" w:line="290"/>
      </w:pPr>
      <w:r>
        <w:t xml:space="preserve">**End-user adoption** — published case studies, talks at KubeCon, maintainer talks.</w:t>
      </w:r>
    </w:p>
    <w:p>
      <w:pPr>
        <w:pStyle w:val="ListParagraph"/>
        <w:numPr>
          <w:ilvl w:val="0"/>
          <w:numId w:val="2"/>
        </w:numPr>
        <w:spacing w:after="80" w:line="290"/>
      </w:pPr>
      <w:r>
        <w:t xml:space="preserve">**Slack / forum activity** — is there a community to ask when you're stuck at 2 AM?</w:t>
      </w:r>
    </w:p>
    <w:p>
      <w:pPr>
        <w:pStyle w:val="ListParagraph"/>
        <w:numPr>
          <w:ilvl w:val="0"/>
          <w:numId w:val="2"/>
        </w:numPr>
        <w:spacing w:after="80" w:line="290"/>
      </w:pPr>
      <w:r>
        <w:t xml:space="preserve">**Issue response time** — opened a sample issue or two; how long until a maintainer responds?</w:t>
      </w:r>
    </w:p>
    <w:p>
      <w:pPr>
        <w:pStyle w:val="ListParagraph"/>
        <w:numPr>
          <w:ilvl w:val="0"/>
          <w:numId w:val="2"/>
        </w:numPr>
        <w:spacing w:after="80" w:line="290"/>
      </w:pPr>
      <w:r>
        <w:t xml:space="preserve">**GitHub Insights** — commits per week, PRs per week, contributor count over time. CLOMonitor (cncf.io/clomonitor) tracks these.</w:t>
      </w:r>
    </w:p>
    <w:p>
      <w:pPr>
        <w:pStyle w:val="Heading2"/>
        <w:spacing w:after="160" w:before="280"/>
      </w:pPr>
      <w:r>
        <w:t xml:space="preserve">14.4 Operational Reality</w:t>
      </w:r>
    </w:p>
    <w:p>
      <w:pPr>
        <w:pStyle w:val="ListParagraph"/>
        <w:numPr>
          <w:ilvl w:val="0"/>
          <w:numId w:val="2"/>
        </w:numPr>
        <w:spacing w:after="80" w:line="290"/>
      </w:pPr>
      <w:r>
        <w:t xml:space="preserve">**Helm chart quality** — can you install with one command and have it work?</w:t>
      </w:r>
    </w:p>
    <w:p>
      <w:pPr>
        <w:pStyle w:val="ListParagraph"/>
        <w:numPr>
          <w:ilvl w:val="0"/>
          <w:numId w:val="2"/>
        </w:numPr>
        <w:spacing w:after="80" w:line="290"/>
      </w:pPr>
      <w:r>
        <w:t xml:space="preserve">**Resource overhead** — measured, not promised. Test in a staging cluster.</w:t>
      </w:r>
    </w:p>
    <w:p>
      <w:pPr>
        <w:pStyle w:val="ListParagraph"/>
        <w:numPr>
          <w:ilvl w:val="0"/>
          <w:numId w:val="2"/>
        </w:numPr>
        <w:spacing w:after="80" w:line="290"/>
      </w:pPr>
      <w:r>
        <w:t xml:space="preserve">**Documentation completeness** — quickstart, production guide, operator guide, reference, troubleshooting.</w:t>
      </w:r>
    </w:p>
    <w:p>
      <w:pPr>
        <w:pStyle w:val="ListParagraph"/>
        <w:numPr>
          <w:ilvl w:val="0"/>
          <w:numId w:val="2"/>
        </w:numPr>
        <w:spacing w:after="80" w:line="290"/>
      </w:pPr>
      <w:r>
        <w:t xml:space="preserve">**Kubernetes-version support** — what minor versions does it support? How long is the support window?</w:t>
      </w:r>
    </w:p>
    <w:p>
      <w:pPr>
        <w:pStyle w:val="ListParagraph"/>
        <w:numPr>
          <w:ilvl w:val="0"/>
          <w:numId w:val="2"/>
        </w:numPr>
        <w:spacing w:after="80" w:line="290"/>
      </w:pPr>
      <w:r>
        <w:t xml:space="preserve">**Upgrade story** — how does the project upgrade between minor versions? Has it broken people?</w:t>
      </w:r>
    </w:p>
    <w:p>
      <w:pPr>
        <w:pStyle w:val="Heading2"/>
        <w:spacing w:after="160" w:before="280"/>
      </w:pPr>
      <w:r>
        <w:t xml:space="preserve">14.5 Strategic Fit</w:t>
      </w:r>
    </w:p>
    <w:p>
      <w:pPr>
        <w:pStyle w:val="ListParagraph"/>
        <w:numPr>
          <w:ilvl w:val="0"/>
          <w:numId w:val="2"/>
        </w:numPr>
        <w:spacing w:after="80" w:line="290"/>
      </w:pPr>
      <w:r>
        <w:t xml:space="preserve">**Problem-solution fit** — does it solve YOUR problem, or a slightly different one?</w:t>
      </w:r>
    </w:p>
    <w:p>
      <w:pPr>
        <w:pStyle w:val="ListParagraph"/>
        <w:numPr>
          <w:ilvl w:val="0"/>
          <w:numId w:val="2"/>
        </w:numPr>
        <w:spacing w:after="80" w:line="290"/>
      </w:pPr>
      <w:r>
        <w:t xml:space="preserve">**Stack alignment** — does it integrate with what you already run?</w:t>
      </w:r>
    </w:p>
    <w:p>
      <w:pPr>
        <w:pStyle w:val="ListParagraph"/>
        <w:numPr>
          <w:ilvl w:val="0"/>
          <w:numId w:val="2"/>
        </w:numPr>
        <w:spacing w:after="80" w:line="290"/>
      </w:pPr>
      <w:r>
        <w:t xml:space="preserve">**Vendor neutrality** — is the project tied to one vendor's commercial offering, or genuinely independent?</w:t>
      </w:r>
    </w:p>
    <w:p>
      <w:pPr>
        <w:pStyle w:val="ListParagraph"/>
        <w:numPr>
          <w:ilvl w:val="0"/>
          <w:numId w:val="2"/>
        </w:numPr>
        <w:spacing w:after="80" w:line="290"/>
      </w:pPr>
      <w:r>
        <w:t xml:space="preserve">**Exit strategy** — if this project is archived or pivots, can you migrate?</w:t>
      </w:r>
    </w:p>
    <w:p>
      <w:pPr>
        <w:pStyle w:val="Heading2"/>
        <w:spacing w:after="160" w:before="280"/>
      </w:pPr>
      <w:r>
        <w:t xml:space="preserve">14.6 Pilot Methodology</w:t>
      </w:r>
    </w:p>
    <w:p>
      <w:pPr>
        <w:spacing w:after="120" w:line="300"/>
      </w:pPr>
      <w:r>
        <w:t xml:space="preserve">Don't roll a new security project into production based on documentation alone. The minimum sequence:</w:t>
      </w:r>
    </w:p>
    <w:p>
      <w:pPr>
        <w:pStyle w:val="ListParagraph"/>
        <w:numPr>
          <w:ilvl w:val="0"/>
          <w:numId w:val="2"/>
        </w:numPr>
        <w:spacing w:after="80" w:line="290"/>
      </w:pPr>
      <w:r>
        <w:t xml:space="preserve">**Day 1-7** — install in a dev cluster. Read every config option. Identify failure modes.</w:t>
      </w:r>
    </w:p>
    <w:p>
      <w:pPr>
        <w:pStyle w:val="ListParagraph"/>
        <w:numPr>
          <w:ilvl w:val="0"/>
          <w:numId w:val="2"/>
        </w:numPr>
        <w:spacing w:after="80" w:line="290"/>
      </w:pPr>
      <w:r>
        <w:t xml:space="preserve">**Day 7-30** — deploy in dev with audit / dryrun mode. Watch for false positives. Tune.</w:t>
      </w:r>
    </w:p>
    <w:p>
      <w:pPr>
        <w:pStyle w:val="ListParagraph"/>
        <w:numPr>
          <w:ilvl w:val="0"/>
          <w:numId w:val="2"/>
        </w:numPr>
        <w:spacing w:after="80" w:line="290"/>
      </w:pPr>
      <w:r>
        <w:t xml:space="preserve">**Day 30-60** — expand to staging. Stress-test. Measure resource usage and latency impact.</w:t>
      </w:r>
    </w:p>
    <w:p>
      <w:pPr>
        <w:pStyle w:val="ListParagraph"/>
        <w:numPr>
          <w:ilvl w:val="0"/>
          <w:numId w:val="2"/>
        </w:numPr>
        <w:spacing w:after="80" w:line="290"/>
      </w:pPr>
      <w:r>
        <w:t xml:space="preserve">**Day 60+** — production rollout, namespace by namespace, with audit-mode-first.</w:t>
      </w:r>
    </w:p>
    <w:p>
      <w:pPr>
        <w:pStyle w:val="ListParagraph"/>
        <w:numPr>
          <w:ilvl w:val="0"/>
          <w:numId w:val="2"/>
        </w:numPr>
        <w:spacing w:after="80" w:line="290"/>
      </w:pPr>
      <w:r>
        <w:t xml:space="preserve">**Throughout** — file issues with the maintainers. Their response IS part of the evaluation.</w:t>
      </w:r>
    </w:p>
    <w:p>
      <w:pPr>
        <w:pStyle w:val="Heading2"/>
        <w:spacing w:after="160" w:before="280"/>
      </w:pPr>
      <w:r>
        <w:t xml:space="preserve">14.7 The 90%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Pragmatic Rule</w:t>
            </w:r>
          </w:p>
          <w:p>
            <w:pPr>
              <w:spacing w:after="60" w:line="280"/>
            </w:pPr>
            <w:r>
              <w:rPr>
                <w:sz w:val="22"/>
                <w:szCs w:val="22"/>
              </w:rPr>
              <w:t xml:space="preserve">If a graduated CNCF project gets you to 90% of what you need, take it. The remaining 10% — a missing edge feature, a non-ideal default — is almost always cheaper to work around than to build a custom alternative or buy a commercial replacement. Most pain comes from buying / building because of a 10% gap, then discovering the new option's 90% has more gaps than the rejected one's 10% had.</w:t>
            </w:r>
          </w:p>
        </w:tc>
      </w:tr>
    </w:tbl>
    <w:p>
      <w:r>
        <w:br w:type="page"/>
      </w:r>
    </w:p>
    <w:p>
      <w:pPr>
        <w:pStyle w:val="Heading1"/>
        <w:spacing w:after="200" w:before="360"/>
      </w:pPr>
      <w:r>
        <w:t xml:space="preserve">15. Staying Current</w:t>
      </w:r>
    </w:p>
    <w:p>
      <w:pPr>
        <w:spacing w:after="120" w:line="300"/>
      </w:pPr>
      <w:r>
        <w:t xml:space="preserve">The CNCF security landscape changes faster than any book or curriculum can keep up with. To stay current without being overwhelmed:</w:t>
      </w:r>
    </w:p>
    <w:p>
      <w:pPr>
        <w:pStyle w:val="Heading2"/>
        <w:spacing w:after="160" w:before="280"/>
      </w:pPr>
      <w:r>
        <w:t xml:space="preserve">15.1 The Authoritative Sources</w:t>
      </w:r>
    </w:p>
    <w:p>
      <w:pPr>
        <w:pStyle w:val="ListParagraph"/>
        <w:numPr>
          <w:ilvl w:val="0"/>
          <w:numId w:val="2"/>
        </w:numPr>
        <w:spacing w:after="80" w:line="290"/>
      </w:pPr>
      <w:r>
        <w:t xml:space="preserve">**landscape.cncf.io** — searchable index, filter by Security &amp; Compliance category. Updated continuously.</w:t>
      </w:r>
    </w:p>
    <w:p>
      <w:pPr>
        <w:pStyle w:val="ListParagraph"/>
        <w:numPr>
          <w:ilvl w:val="0"/>
          <w:numId w:val="2"/>
        </w:numPr>
        <w:spacing w:after="80" w:line="290"/>
      </w:pPr>
      <w:r>
        <w:t xml:space="preserve">**TAG-Security** — github.com/cncf/tag-security. Whitepapers, security reviews, working groups.</w:t>
      </w:r>
    </w:p>
    <w:p>
      <w:pPr>
        <w:pStyle w:val="ListParagraph"/>
        <w:numPr>
          <w:ilvl w:val="0"/>
          <w:numId w:val="2"/>
        </w:numPr>
        <w:spacing w:after="80" w:line="290"/>
      </w:pPr>
      <w:r>
        <w:t xml:space="preserve">**CNCF blog** (cncf.io/blog) — project announcements and upgrades. RSS-friendly.</w:t>
      </w:r>
    </w:p>
    <w:p>
      <w:pPr>
        <w:pStyle w:val="ListParagraph"/>
        <w:numPr>
          <w:ilvl w:val="0"/>
          <w:numId w:val="2"/>
        </w:numPr>
        <w:spacing w:after="80" w:line="290"/>
      </w:pPr>
      <w:r>
        <w:t xml:space="preserve">**KubeCon CloudNativeCon** — the biggest event in the calendar; security track talks are recorded on YouTube.</w:t>
      </w:r>
    </w:p>
    <w:p>
      <w:pPr>
        <w:pStyle w:val="Heading2"/>
        <w:spacing w:after="160" w:before="280"/>
      </w:pPr>
      <w:r>
        <w:t xml:space="preserve">15.2 Project-Specific Sources</w:t>
      </w:r>
    </w:p>
    <w:p>
      <w:pPr>
        <w:pStyle w:val="ListParagraph"/>
        <w:numPr>
          <w:ilvl w:val="0"/>
          <w:numId w:val="2"/>
        </w:numPr>
        <w:spacing w:after="80" w:line="290"/>
      </w:pPr>
      <w:r>
        <w:t xml:space="preserve">Each project's GitHub `releases` and `discussions` — the truest signal of where it's going.</w:t>
      </w:r>
    </w:p>
    <w:p>
      <w:pPr>
        <w:pStyle w:val="ListParagraph"/>
        <w:numPr>
          <w:ilvl w:val="0"/>
          <w:numId w:val="2"/>
        </w:numPr>
        <w:spacing w:after="80" w:line="290"/>
      </w:pPr>
      <w:r>
        <w:t xml:space="preserve">Project maintainer office hours / community calls — most CNCF projects host weekly or biweekly community calls.</w:t>
      </w:r>
    </w:p>
    <w:p>
      <w:pPr>
        <w:pStyle w:val="ListParagraph"/>
        <w:numPr>
          <w:ilvl w:val="0"/>
          <w:numId w:val="2"/>
        </w:numPr>
        <w:spacing w:after="80" w:line="290"/>
      </w:pPr>
      <w:r>
        <w:t xml:space="preserve">Project Slack channels — #falco, #kyverno, #cosign, etc. on the Kubernetes Slack workspace and CNCF Slack.</w:t>
      </w:r>
    </w:p>
    <w:p>
      <w:pPr>
        <w:pStyle w:val="Heading2"/>
        <w:spacing w:after="160" w:before="280"/>
      </w:pPr>
      <w:r>
        <w:t xml:space="preserve">15.3 Curated Newsletters</w:t>
      </w:r>
    </w:p>
    <w:p>
      <w:pPr>
        <w:pStyle w:val="ListParagraph"/>
        <w:numPr>
          <w:ilvl w:val="0"/>
          <w:numId w:val="2"/>
        </w:numPr>
        <w:spacing w:after="80" w:line="290"/>
      </w:pPr>
      <w:r>
        <w:t xml:space="preserve">**KubeWeekly** — official CNCF newsletter.</w:t>
      </w:r>
    </w:p>
    <w:p>
      <w:pPr>
        <w:pStyle w:val="ListParagraph"/>
        <w:numPr>
          <w:ilvl w:val="0"/>
          <w:numId w:val="2"/>
        </w:numPr>
        <w:spacing w:after="80" w:line="290"/>
      </w:pPr>
      <w:r>
        <w:t xml:space="preserve">**Last Week in AWS** (security overlap).</w:t>
      </w:r>
    </w:p>
    <w:p>
      <w:pPr>
        <w:pStyle w:val="ListParagraph"/>
        <w:numPr>
          <w:ilvl w:val="0"/>
          <w:numId w:val="2"/>
        </w:numPr>
        <w:spacing w:after="80" w:line="290"/>
      </w:pPr>
      <w:r>
        <w:t xml:space="preserve">**The Cloud Native Security Whitepaper** — TAG-Security publishes major revisions every 1-2 years; required reading when a new version drops.</w:t>
      </w:r>
    </w:p>
    <w:p>
      <w:pPr>
        <w:pStyle w:val="Heading2"/>
        <w:spacing w:after="160" w:before="280"/>
      </w:pPr>
      <w:r>
        <w:t xml:space="preserve">15.4 Conferences</w:t>
      </w:r>
    </w:p>
    <w:p>
      <w:pPr>
        <w:pStyle w:val="ListParagraph"/>
        <w:numPr>
          <w:ilvl w:val="0"/>
          <w:numId w:val="2"/>
        </w:numPr>
        <w:spacing w:after="80" w:line="290"/>
      </w:pPr>
      <w:r>
        <w:t xml:space="preserve">**KubeCon CloudNativeCon** (NA / EU / China / Japan) — the main event. Even if you can't attend, watch the talks.</w:t>
      </w:r>
    </w:p>
    <w:p>
      <w:pPr>
        <w:pStyle w:val="ListParagraph"/>
        <w:numPr>
          <w:ilvl w:val="0"/>
          <w:numId w:val="2"/>
        </w:numPr>
        <w:spacing w:after="80" w:line="290"/>
      </w:pPr>
      <w:r>
        <w:t xml:space="preserve">**Cloud Native SecurityCon** — colocated with KubeCon; deeper security focus.</w:t>
      </w:r>
    </w:p>
    <w:p>
      <w:pPr>
        <w:pStyle w:val="ListParagraph"/>
        <w:numPr>
          <w:ilvl w:val="0"/>
          <w:numId w:val="2"/>
        </w:numPr>
        <w:spacing w:after="80" w:line="290"/>
      </w:pPr>
      <w:r>
        <w:t xml:space="preserve">**Black Hat / DEF CON** — not CNCF-specific, but cloud-native security tracks have grown massively.</w:t>
      </w:r>
    </w:p>
    <w:p>
      <w:pPr>
        <w:pStyle w:val="ListParagraph"/>
        <w:numPr>
          <w:ilvl w:val="0"/>
          <w:numId w:val="2"/>
        </w:numPr>
        <w:spacing w:after="80" w:line="290"/>
      </w:pPr>
      <w:r>
        <w:t xml:space="preserve">**FOSDEM** — free, hosts many CNCF project tracks; talks are recorded.</w:t>
      </w:r>
    </w:p>
    <w:p>
      <w:pPr>
        <w:pStyle w:val="Heading2"/>
        <w:spacing w:after="160" w:before="280"/>
      </w:pPr>
      <w:r>
        <w:t xml:space="preserve">15.5 Annual Read List</w:t>
      </w:r>
    </w:p>
    <w:p>
      <w:pPr>
        <w:pStyle w:val="ListParagraph"/>
        <w:numPr>
          <w:ilvl w:val="0"/>
          <w:numId w:val="2"/>
        </w:numPr>
        <w:spacing w:after="80" w:line="290"/>
      </w:pPr>
      <w:r>
        <w:t xml:space="preserve">**CNCF Cloud Native Security Whitepaper** (latest edition).</w:t>
      </w:r>
    </w:p>
    <w:p>
      <w:pPr>
        <w:pStyle w:val="ListParagraph"/>
        <w:numPr>
          <w:ilvl w:val="0"/>
          <w:numId w:val="2"/>
        </w:numPr>
        <w:spacing w:after="80" w:line="290"/>
      </w:pPr>
      <w:r>
        <w:t xml:space="preserve">**TAG-Security Software Supply Chain Best Practices**.</w:t>
      </w:r>
    </w:p>
    <w:p>
      <w:pPr>
        <w:pStyle w:val="ListParagraph"/>
        <w:numPr>
          <w:ilvl w:val="0"/>
          <w:numId w:val="2"/>
        </w:numPr>
        <w:spacing w:after="80" w:line="290"/>
      </w:pPr>
      <w:r>
        <w:t xml:space="preserve">**SLSA framework** at slsa.dev (annual updates).</w:t>
      </w:r>
    </w:p>
    <w:p>
      <w:pPr>
        <w:pStyle w:val="ListParagraph"/>
        <w:numPr>
          <w:ilvl w:val="0"/>
          <w:numId w:val="2"/>
        </w:numPr>
        <w:spacing w:after="80" w:line="290"/>
      </w:pPr>
      <w:r>
        <w:t xml:space="preserve">**OWASP Kubernetes Top 10**.</w:t>
      </w:r>
    </w:p>
    <w:p>
      <w:pPr>
        <w:pStyle w:val="ListParagraph"/>
        <w:numPr>
          <w:ilvl w:val="0"/>
          <w:numId w:val="2"/>
        </w:numPr>
        <w:spacing w:after="80" w:line="290"/>
      </w:pPr>
      <w:r>
        <w:t xml:space="preserve">**NSA / CISA Kubernetes Hardening Guidance** (latest).</w:t>
      </w:r>
    </w:p>
    <w:p>
      <w:pPr>
        <w:pStyle w:val="ListParagraph"/>
        <w:numPr>
          <w:ilvl w:val="0"/>
          <w:numId w:val="2"/>
        </w:numPr>
        <w:spacing w:after="80" w:line="290"/>
      </w:pPr>
      <w:r>
        <w:t xml:space="preserve">**Sigstore / TUF / in-toto specs** — at least once a year, re-read the latest spec.</w:t>
      </w:r>
    </w:p>
    <w:p>
      <w:pPr>
        <w:pStyle w:val="Heading2"/>
        <w:spacing w:after="160" w:before="280"/>
      </w:pPr>
      <w:r>
        <w:t xml:space="preserve">15.6 The Practitioner Discipline</w:t>
      </w:r>
    </w:p>
    <w:p>
      <w:pPr>
        <w:pStyle w:val="ListParagraph"/>
        <w:numPr>
          <w:ilvl w:val="0"/>
          <w:numId w:val="2"/>
        </w:numPr>
        <w:spacing w:after="80" w:line="290"/>
      </w:pPr>
      <w:r>
        <w:t xml:space="preserve">Every quarter — review the CNCF landscape security category for new projects and lifecycle promotions.</w:t>
      </w:r>
    </w:p>
    <w:p>
      <w:pPr>
        <w:pStyle w:val="ListParagraph"/>
        <w:numPr>
          <w:ilvl w:val="0"/>
          <w:numId w:val="2"/>
        </w:numPr>
        <w:spacing w:after="80" w:line="290"/>
      </w:pPr>
      <w:r>
        <w:t xml:space="preserve">Every six months — read the latest release notes for each project in your stack.</w:t>
      </w:r>
    </w:p>
    <w:p>
      <w:pPr>
        <w:pStyle w:val="ListParagraph"/>
        <w:numPr>
          <w:ilvl w:val="0"/>
          <w:numId w:val="2"/>
        </w:numPr>
        <w:spacing w:after="80" w:line="290"/>
      </w:pPr>
      <w:r>
        <w:t xml:space="preserve">Every year — re-evaluate one project in your stack. Does the project still fit, or has the ecosystem moved on?</w:t>
      </w:r>
    </w:p>
    <w:p>
      <w:pPr>
        <w:pStyle w:val="ListParagraph"/>
        <w:numPr>
          <w:ilvl w:val="0"/>
          <w:numId w:val="2"/>
        </w:numPr>
        <w:spacing w:after="80" w:line="290"/>
      </w:pPr>
      <w:r>
        <w:t xml:space="preserve">Every three years — major architecture review. The 2026 best stack will differ from the 2023 one.</w:t>
      </w:r>
    </w:p>
    <w:p>
      <w:pPr>
        <w:pStyle w:val="Heading2"/>
        <w:spacing w:after="160" w:before="280"/>
      </w:pPr>
      <w:r>
        <w:t xml:space="preserve">15.7 The Conferences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Honest Note</w:t>
            </w:r>
          </w:p>
          <w:p>
            <w:pPr>
              <w:spacing w:after="60" w:line="280"/>
            </w:pPr>
            <w:r>
              <w:rPr>
                <w:sz w:val="22"/>
                <w:szCs w:val="22"/>
              </w:rPr>
              <w:t xml:space="preserve">Most KubeCon talks are recorded and freely available on YouTube within weeks. You don't need to attend to benefit from the content. Attending IS valuable for the hallway conversations and live demos, but if budget is the issue, the recorded content is most of the value.</w:t>
            </w:r>
          </w:p>
        </w:tc>
      </w:tr>
    </w:tbl>
    <w:p>
      <w:r>
        <w:br w:type="page"/>
      </w:r>
    </w:p>
    <w:p>
      <w:pPr>
        <w:pStyle w:val="Heading1"/>
        <w:spacing w:after="200" w:before="360"/>
      </w:pPr>
      <w:r>
        <w:t xml:space="preserve">16. Glossary</w:t>
      </w:r>
    </w:p>
    <w:p>
      <w:pPr>
        <w:spacing w:after="120" w:line="300"/>
      </w:pPr>
      <w:r>
        <w:rPr>
          <w:b/>
          <w:bCs/>
        </w:rPr>
        <w:t xml:space="preserve">Attestation: </w:t>
      </w:r>
      <w:r>
        <w:t xml:space="preserve">A signed cryptographic claim about an artifact (e.g., its SBOM, its provenance), distinct from the artifact's signature.</w:t>
      </w:r>
    </w:p>
    <w:p>
      <w:pPr>
        <w:spacing w:after="120" w:line="300"/>
      </w:pPr>
      <w:r>
        <w:rPr>
          <w:b/>
          <w:bCs/>
        </w:rPr>
        <w:t xml:space="preserve">CLOMonitor: </w:t>
      </w:r>
      <w:r>
        <w:t xml:space="preserve">CNCF's project-health monitoring tool tracking governance, code quality, and community health.</w:t>
      </w:r>
    </w:p>
    <w:p>
      <w:pPr>
        <w:spacing w:after="120" w:line="300"/>
      </w:pPr>
      <w:r>
        <w:rPr>
          <w:b/>
          <w:bCs/>
        </w:rPr>
        <w:t xml:space="preserve">CNCF: </w:t>
      </w:r>
      <w:r>
        <w:t xml:space="preserve">Cloud Native Computing Foundation; vendor-neutral nonprofit hosting cloud-native open-source projects.</w:t>
      </w:r>
    </w:p>
    <w:p>
      <w:pPr>
        <w:spacing w:after="120" w:line="300"/>
      </w:pPr>
      <w:r>
        <w:rPr>
          <w:b/>
          <w:bCs/>
        </w:rPr>
        <w:t xml:space="preserve">Confidential Containers (CoCo): </w:t>
      </w:r>
      <w:r>
        <w:t xml:space="preserve">CNCF sandbox project for running container workloads inside hardware-enforced trusted execution environments.</w:t>
      </w:r>
    </w:p>
    <w:p>
      <w:pPr>
        <w:spacing w:after="120" w:line="300"/>
      </w:pPr>
      <w:r>
        <w:rPr>
          <w:b/>
          <w:bCs/>
        </w:rPr>
        <w:t xml:space="preserve">Cosign: </w:t>
      </w:r>
      <w:r>
        <w:t xml:space="preserve">Sigstore CLI for signing and verifying container images and attestations.</w:t>
      </w:r>
    </w:p>
    <w:p>
      <w:pPr>
        <w:spacing w:after="120" w:line="300"/>
      </w:pPr>
      <w:r>
        <w:rPr>
          <w:b/>
          <w:bCs/>
        </w:rPr>
        <w:t xml:space="preserve">Fulcio: </w:t>
      </w:r>
      <w:r>
        <w:t xml:space="preserve">Sigstore CA that issues short-lived X.509 certificates bound to OIDC identities.</w:t>
      </w:r>
    </w:p>
    <w:p>
      <w:pPr>
        <w:spacing w:after="120" w:line="300"/>
      </w:pPr>
      <w:r>
        <w:rPr>
          <w:b/>
          <w:bCs/>
        </w:rPr>
        <w:t xml:space="preserve">Functionary: </w:t>
      </w:r>
      <w:r>
        <w:t xml:space="preserve">in-toto term for an actor performing a step in a supply chain and signing metadata about it.</w:t>
      </w:r>
    </w:p>
    <w:p>
      <w:pPr>
        <w:spacing w:after="120" w:line="300"/>
      </w:pPr>
      <w:r>
        <w:rPr>
          <w:b/>
          <w:bCs/>
        </w:rPr>
        <w:t xml:space="preserve">Graduated: </w:t>
      </w:r>
      <w:r>
        <w:t xml:space="preserve">CNCF maturity level; highest tier, includes a published independent security audit.</w:t>
      </w:r>
    </w:p>
    <w:p>
      <w:pPr>
        <w:spacing w:after="120" w:line="300"/>
      </w:pPr>
      <w:r>
        <w:rPr>
          <w:b/>
          <w:bCs/>
        </w:rPr>
        <w:t xml:space="preserve">in-toto: </w:t>
      </w:r>
      <w:r>
        <w:t xml:space="preserve">CNCF graduated project for supply-chain integrity, defining the Statement format used by Cosign attestations.</w:t>
      </w:r>
    </w:p>
    <w:p>
      <w:pPr>
        <w:spacing w:after="120" w:line="300"/>
      </w:pPr>
      <w:r>
        <w:rPr>
          <w:b/>
          <w:bCs/>
        </w:rPr>
        <w:t xml:space="preserve">Incubating: </w:t>
      </w:r>
      <w:r>
        <w:t xml:space="preserve">CNCF maturity level between Sandbox and Graduated; production-viable for most users.</w:t>
      </w:r>
    </w:p>
    <w:p>
      <w:pPr>
        <w:spacing w:after="120" w:line="300"/>
      </w:pPr>
      <w:r>
        <w:rPr>
          <w:b/>
          <w:bCs/>
        </w:rPr>
        <w:t xml:space="preserve">Kata Containers: </w:t>
      </w:r>
      <w:r>
        <w:t xml:space="preserve">CNCF graduated project running each pod inside a small VM; basis of Confidential Containers.</w:t>
      </w:r>
    </w:p>
    <w:p>
      <w:pPr>
        <w:spacing w:after="120" w:line="300"/>
      </w:pPr>
      <w:r>
        <w:rPr>
          <w:b/>
          <w:bCs/>
        </w:rPr>
        <w:t xml:space="preserve">Keyless signing: </w:t>
      </w:r>
      <w:r>
        <w:t xml:space="preserve">Sigstore mode using OIDC + Fulcio + Rekor with no long-lived keys.</w:t>
      </w:r>
    </w:p>
    <w:p>
      <w:pPr>
        <w:spacing w:after="120" w:line="300"/>
      </w:pPr>
      <w:r>
        <w:rPr>
          <w:b/>
          <w:bCs/>
        </w:rPr>
        <w:t xml:space="preserve">Notary: </w:t>
      </w:r>
      <w:r>
        <w:t xml:space="preserve">CNCF graduated project for signing collections of data; v1 underpins Docker Content Trust.</w:t>
      </w:r>
    </w:p>
    <w:p>
      <w:pPr>
        <w:spacing w:after="120" w:line="300"/>
      </w:pPr>
      <w:r>
        <w:rPr>
          <w:b/>
          <w:bCs/>
        </w:rPr>
        <w:t xml:space="preserve">Notary v2 / `notation`: </w:t>
      </w:r>
      <w:r>
        <w:t xml:space="preserve">Redesigned Notary focused on container image signing as OCI artifacts.</w:t>
      </w:r>
    </w:p>
    <w:p>
      <w:pPr>
        <w:spacing w:after="120" w:line="300"/>
      </w:pPr>
      <w:r>
        <w:rPr>
          <w:b/>
          <w:bCs/>
        </w:rPr>
        <w:t xml:space="preserve">Rekor: </w:t>
      </w:r>
      <w:r>
        <w:t xml:space="preserve">Sigstore append-only public transparency log recording every signature.</w:t>
      </w:r>
    </w:p>
    <w:p>
      <w:pPr>
        <w:spacing w:after="120" w:line="300"/>
      </w:pPr>
      <w:r>
        <w:rPr>
          <w:b/>
          <w:bCs/>
        </w:rPr>
        <w:t xml:space="preserve">Sandbox: </w:t>
      </w:r>
      <w:r>
        <w:t xml:space="preserve">Earliest CNCF maturity level; experimental, not for production use.</w:t>
      </w:r>
    </w:p>
    <w:p>
      <w:pPr>
        <w:spacing w:after="120" w:line="300"/>
      </w:pPr>
      <w:r>
        <w:rPr>
          <w:b/>
          <w:bCs/>
        </w:rPr>
        <w:t xml:space="preserve">Sigstore: </w:t>
      </w:r>
      <w:r>
        <w:t xml:space="preserve">CNCF graduated project providing free public infrastructure for software signing (Cosign + Fulcio + Rekor).</w:t>
      </w:r>
    </w:p>
    <w:p>
      <w:pPr>
        <w:spacing w:after="120" w:line="300"/>
      </w:pPr>
      <w:r>
        <w:rPr>
          <w:b/>
          <w:bCs/>
        </w:rPr>
        <w:t xml:space="preserve">SLSA: </w:t>
      </w:r>
      <w:r>
        <w:t xml:space="preserve">Supply-chain Levels for Software Artifacts; OpenSSF framework using in-toto attestation format.</w:t>
      </w:r>
    </w:p>
    <w:p>
      <w:pPr>
        <w:spacing w:after="120" w:line="300"/>
      </w:pPr>
      <w:r>
        <w:rPr>
          <w:b/>
          <w:bCs/>
        </w:rPr>
        <w:t xml:space="preserve">SPIFFE: </w:t>
      </w:r>
      <w:r>
        <w:t xml:space="preserve">CNCF graduated specification for vendor-neutral workload identity.</w:t>
      </w:r>
    </w:p>
    <w:p>
      <w:pPr>
        <w:spacing w:after="120" w:line="300"/>
      </w:pPr>
      <w:r>
        <w:rPr>
          <w:b/>
          <w:bCs/>
        </w:rPr>
        <w:t xml:space="preserve">SPIRE: </w:t>
      </w:r>
      <w:r>
        <w:t xml:space="preserve">Reference implementation of SPIFFE; graduated together with SPIFFE.</w:t>
      </w:r>
    </w:p>
    <w:p>
      <w:pPr>
        <w:spacing w:after="120" w:line="300"/>
      </w:pPr>
      <w:r>
        <w:rPr>
          <w:b/>
          <w:bCs/>
        </w:rPr>
        <w:t xml:space="preserve">SVID: </w:t>
      </w:r>
      <w:r>
        <w:t xml:space="preserve">SPIFFE Verifiable Identity Document — a credential proving a SPIFFE ID.</w:t>
      </w:r>
    </w:p>
    <w:p>
      <w:pPr>
        <w:spacing w:after="120" w:line="300"/>
      </w:pPr>
      <w:r>
        <w:rPr>
          <w:b/>
          <w:bCs/>
        </w:rPr>
        <w:t xml:space="preserve">TAG-Security: </w:t>
      </w:r>
      <w:r>
        <w:t xml:space="preserve">CNCF Technical Advisory Group for security; publishes whitepapers and reviews.</w:t>
      </w:r>
    </w:p>
    <w:p>
      <w:pPr>
        <w:spacing w:after="120" w:line="300"/>
      </w:pPr>
      <w:r>
        <w:rPr>
          <w:b/>
          <w:bCs/>
        </w:rPr>
        <w:t xml:space="preserve">TEE (Trusted Execution Environment): </w:t>
      </w:r>
      <w:r>
        <w:t xml:space="preserve">Hardware-enforced isolated CPU region (Intel TDX, AMD SEV-SNP, etc.).</w:t>
      </w:r>
    </w:p>
    <w:p>
      <w:pPr>
        <w:spacing w:after="120" w:line="300"/>
      </w:pPr>
      <w:r>
        <w:rPr>
          <w:b/>
          <w:bCs/>
        </w:rPr>
        <w:t xml:space="preserve">Tetragon: </w:t>
      </w:r>
      <w:r>
        <w:t xml:space="preserve">CNCF sandbox project for eBPF-based runtime security observability and in-kernel prevention.</w:t>
      </w:r>
    </w:p>
    <w:p>
      <w:pPr>
        <w:spacing w:after="120" w:line="300"/>
      </w:pPr>
      <w:r>
        <w:rPr>
          <w:b/>
          <w:bCs/>
        </w:rPr>
        <w:t xml:space="preserve">Trust Domain: </w:t>
      </w:r>
      <w:r>
        <w:t xml:space="preserve">SPIFFE concept; namespace within which SPIFFE IDs are unique.</w:t>
      </w:r>
    </w:p>
    <w:p>
      <w:pPr>
        <w:spacing w:after="120" w:line="300"/>
      </w:pPr>
      <w:r>
        <w:rPr>
          <w:b/>
          <w:bCs/>
        </w:rPr>
        <w:t xml:space="preserve">TUF (The Update Framework): </w:t>
      </w:r>
      <w:r>
        <w:t xml:space="preserve">CNCF graduated project providing security guarantees for software update systems.</w:t>
      </w:r>
    </w:p>
    <w:p>
      <w:r>
        <w:br w:type="page"/>
      </w:r>
    </w:p>
    <w:p>
      <w:pPr>
        <w:pStyle w:val="Heading1"/>
        <w:spacing w:after="200" w:before="360"/>
      </w:pPr>
      <w:r>
        <w:t xml:space="preserve">17. Self-Assessment Checklist</w:t>
      </w:r>
    </w:p>
    <w:p>
      <w:pPr>
        <w:spacing w:after="120" w:line="300"/>
      </w:pPr>
      <w:r>
        <w:t xml:space="preserve">Use this checklist to verify your understanding of the CNCF security landscape.</w:t>
      </w:r>
    </w:p>
    <w:p>
      <w:pPr>
        <w:pStyle w:val="Heading2"/>
        <w:spacing w:after="160" w:before="280"/>
      </w:pPr>
      <w:r>
        <w:t xml:space="preserve">CNCF Foundation</w:t>
      </w:r>
    </w:p>
    <w:p>
      <w:pPr>
        <w:pStyle w:val="ListParagraph"/>
        <w:numPr>
          <w:ilvl w:val="0"/>
          <w:numId w:val="2"/>
        </w:numPr>
        <w:spacing w:after="80" w:line="290"/>
      </w:pPr>
      <w:r>
        <w:t xml:space="preserve">☐ I can describe what the CNCF is and what role it plays.</w:t>
      </w:r>
    </w:p>
    <w:p>
      <w:pPr>
        <w:pStyle w:val="ListParagraph"/>
        <w:numPr>
          <w:ilvl w:val="0"/>
          <w:numId w:val="2"/>
        </w:numPr>
        <w:spacing w:after="80" w:line="290"/>
      </w:pPr>
      <w:r>
        <w:t xml:space="preserve">☐ I know the three maturity levels (Sandbox / Incubating / Graduated).</w:t>
      </w:r>
    </w:p>
    <w:p>
      <w:pPr>
        <w:pStyle w:val="ListParagraph"/>
        <w:numPr>
          <w:ilvl w:val="0"/>
          <w:numId w:val="2"/>
        </w:numPr>
        <w:spacing w:after="80" w:line="290"/>
      </w:pPr>
      <w:r>
        <w:t xml:space="preserve">☐ I know that Graduated requires an independent third-party security audit.</w:t>
      </w:r>
    </w:p>
    <w:p>
      <w:pPr>
        <w:pStyle w:val="ListParagraph"/>
        <w:numPr>
          <w:ilvl w:val="0"/>
          <w:numId w:val="2"/>
        </w:numPr>
        <w:spacing w:after="80" w:line="290"/>
      </w:pPr>
      <w:r>
        <w:t xml:space="preserve">☐ I can navigate landscape.cncf.io to find security projects by category.</w:t>
      </w:r>
    </w:p>
    <w:p>
      <w:pPr>
        <w:pStyle w:val="Heading2"/>
        <w:spacing w:after="160" w:before="280"/>
      </w:pPr>
      <w:r>
        <w:t xml:space="preserve">Graduated Projects</w:t>
      </w:r>
    </w:p>
    <w:p>
      <w:pPr>
        <w:pStyle w:val="ListParagraph"/>
        <w:numPr>
          <w:ilvl w:val="0"/>
          <w:numId w:val="2"/>
        </w:numPr>
        <w:spacing w:after="80" w:line="290"/>
      </w:pPr>
      <w:r>
        <w:t xml:space="preserve">☐ I can name the graduated CNCF security projects from memory.</w:t>
      </w:r>
    </w:p>
    <w:p>
      <w:pPr>
        <w:pStyle w:val="ListParagraph"/>
        <w:numPr>
          <w:ilvl w:val="0"/>
          <w:numId w:val="2"/>
        </w:numPr>
        <w:spacing w:after="80" w:line="290"/>
      </w:pPr>
      <w:r>
        <w:t xml:space="preserve">☐ I know which problem each one solves.</w:t>
      </w:r>
    </w:p>
    <w:p>
      <w:pPr>
        <w:pStyle w:val="ListParagraph"/>
        <w:numPr>
          <w:ilvl w:val="0"/>
          <w:numId w:val="2"/>
        </w:numPr>
        <w:spacing w:after="80" w:line="290"/>
      </w:pPr>
      <w:r>
        <w:t xml:space="preserve">☐ I can explain why both OPA and Kyverno are graduated.</w:t>
      </w:r>
    </w:p>
    <w:p>
      <w:pPr>
        <w:pStyle w:val="ListParagraph"/>
        <w:numPr>
          <w:ilvl w:val="0"/>
          <w:numId w:val="2"/>
        </w:numPr>
        <w:spacing w:after="80" w:line="290"/>
      </w:pPr>
      <w:r>
        <w:t xml:space="preserve">☐ I understand how Sigstore's three components (Cosign / Fulcio / Rekor) work together.</w:t>
      </w:r>
    </w:p>
    <w:p>
      <w:pPr>
        <w:pStyle w:val="ListParagraph"/>
        <w:numPr>
          <w:ilvl w:val="0"/>
          <w:numId w:val="2"/>
        </w:numPr>
        <w:spacing w:after="80" w:line="290"/>
      </w:pPr>
      <w:r>
        <w:t xml:space="preserve">☐ I can explain when SPIFFE / SPIRE pays off vs. cloud-native workload identity.</w:t>
      </w:r>
    </w:p>
    <w:p>
      <w:pPr>
        <w:pStyle w:val="ListParagraph"/>
        <w:numPr>
          <w:ilvl w:val="0"/>
          <w:numId w:val="2"/>
        </w:numPr>
        <w:spacing w:after="80" w:line="290"/>
      </w:pPr>
      <w:r>
        <w:t xml:space="preserve">☐ I understand the relationship between in-toto and Sigstore (statement format reuse).</w:t>
      </w:r>
    </w:p>
    <w:p>
      <w:pPr>
        <w:pStyle w:val="ListParagraph"/>
        <w:numPr>
          <w:ilvl w:val="0"/>
          <w:numId w:val="2"/>
        </w:numPr>
        <w:spacing w:after="80" w:line="290"/>
      </w:pPr>
      <w:r>
        <w:t xml:space="preserve">☐ I know what TUF defends against and where it shows up (Sigstore, Notary, PyPI).</w:t>
      </w:r>
    </w:p>
    <w:p>
      <w:pPr>
        <w:pStyle w:val="ListParagraph"/>
        <w:numPr>
          <w:ilvl w:val="0"/>
          <w:numId w:val="2"/>
        </w:numPr>
        <w:spacing w:after="80" w:line="290"/>
      </w:pPr>
      <w:r>
        <w:t xml:space="preserve">☐ I know Notary's status today (older, mostly superseded by Sigstore).</w:t>
      </w:r>
    </w:p>
    <w:p>
      <w:pPr>
        <w:pStyle w:val="Heading2"/>
        <w:spacing w:after="160" w:before="280"/>
      </w:pPr>
      <w:r>
        <w:t xml:space="preserve">Incubating / Sandbox</w:t>
      </w:r>
    </w:p>
    <w:p>
      <w:pPr>
        <w:pStyle w:val="ListParagraph"/>
        <w:numPr>
          <w:ilvl w:val="0"/>
          <w:numId w:val="2"/>
        </w:numPr>
        <w:spacing w:after="80" w:line="290"/>
      </w:pPr>
      <w:r>
        <w:t xml:space="preserve">☐ I understand what Tetragon adds beyond Falco (in-kernel prevention).</w:t>
      </w:r>
    </w:p>
    <w:p>
      <w:pPr>
        <w:pStyle w:val="ListParagraph"/>
        <w:numPr>
          <w:ilvl w:val="0"/>
          <w:numId w:val="2"/>
        </w:numPr>
        <w:spacing w:after="80" w:line="290"/>
      </w:pPr>
      <w:r>
        <w:t xml:space="preserve">☐ I can explain the threat model that Confidential Containers addresses.</w:t>
      </w:r>
    </w:p>
    <w:p>
      <w:pPr>
        <w:pStyle w:val="ListParagraph"/>
        <w:numPr>
          <w:ilvl w:val="0"/>
          <w:numId w:val="2"/>
        </w:numPr>
        <w:spacing w:after="80" w:line="290"/>
      </w:pPr>
      <w:r>
        <w:t xml:space="preserve">☐ I can describe the CoCo attestation flow from boot to secret release.</w:t>
      </w:r>
    </w:p>
    <w:p>
      <w:pPr>
        <w:pStyle w:val="ListParagraph"/>
        <w:numPr>
          <w:ilvl w:val="0"/>
          <w:numId w:val="2"/>
        </w:numPr>
        <w:spacing w:after="80" w:line="290"/>
      </w:pPr>
      <w:r>
        <w:t xml:space="preserve">☐ I have a list of 2-3 sandbox projects I'm tracking.</w:t>
      </w:r>
    </w:p>
    <w:p>
      <w:pPr>
        <w:pStyle w:val="Heading2"/>
        <w:spacing w:after="160" w:before="280"/>
      </w:pPr>
      <w:r>
        <w:t xml:space="preserve">Project Mapping</w:t>
      </w:r>
    </w:p>
    <w:p>
      <w:pPr>
        <w:pStyle w:val="ListParagraph"/>
        <w:numPr>
          <w:ilvl w:val="0"/>
          <w:numId w:val="2"/>
        </w:numPr>
        <w:spacing w:after="80" w:line="290"/>
      </w:pPr>
      <w:r>
        <w:t xml:space="preserve">☐ I can match a security concern (image signing, runtime detection, policy, etc.) to its CNCF project.</w:t>
      </w:r>
    </w:p>
    <w:p>
      <w:pPr>
        <w:pStyle w:val="ListParagraph"/>
        <w:numPr>
          <w:ilvl w:val="0"/>
          <w:numId w:val="2"/>
        </w:numPr>
        <w:spacing w:after="80" w:line="290"/>
      </w:pPr>
      <w:r>
        <w:t xml:space="preserve">☐ I can identify gaps where no graduated CNCF project exists.</w:t>
      </w:r>
    </w:p>
    <w:p>
      <w:pPr>
        <w:pStyle w:val="ListParagraph"/>
        <w:numPr>
          <w:ilvl w:val="0"/>
          <w:numId w:val="2"/>
        </w:numPr>
        <w:spacing w:after="80" w:line="290"/>
      </w:pPr>
      <w:r>
        <w:t xml:space="preserve">☐ I know which CNCF projects my current stack includes.</w:t>
      </w:r>
    </w:p>
    <w:p>
      <w:pPr>
        <w:pStyle w:val="Heading2"/>
        <w:spacing w:after="160" w:before="280"/>
      </w:pPr>
      <w:r>
        <w:t xml:space="preserve">Evaluation</w:t>
      </w:r>
    </w:p>
    <w:p>
      <w:pPr>
        <w:pStyle w:val="ListParagraph"/>
        <w:numPr>
          <w:ilvl w:val="0"/>
          <w:numId w:val="2"/>
        </w:numPr>
        <w:spacing w:after="80" w:line="290"/>
      </w:pPr>
      <w:r>
        <w:t xml:space="preserve">☐ I have a methodology for evaluating a new CNCF project beyond marketing.</w:t>
      </w:r>
    </w:p>
    <w:p>
      <w:pPr>
        <w:pStyle w:val="ListParagraph"/>
        <w:numPr>
          <w:ilvl w:val="0"/>
          <w:numId w:val="2"/>
        </w:numPr>
        <w:spacing w:after="80" w:line="290"/>
      </w:pPr>
      <w:r>
        <w:t xml:space="preserve">☐ I have piloted at least one CNCF project end-to-end (dev → staging → prod with audit-mode-first).</w:t>
      </w:r>
    </w:p>
    <w:p>
      <w:pPr>
        <w:pStyle w:val="ListParagraph"/>
        <w:numPr>
          <w:ilvl w:val="0"/>
          <w:numId w:val="2"/>
        </w:numPr>
        <w:spacing w:after="80" w:line="290"/>
      </w:pPr>
      <w:r>
        <w:t xml:space="preserve">☐ I follow the 90% rule rather than perfectionism.</w:t>
      </w:r>
    </w:p>
    <w:p>
      <w:pPr>
        <w:pStyle w:val="Heading2"/>
        <w:spacing w:after="160" w:before="280"/>
      </w:pPr>
      <w:r>
        <w:t xml:space="preserve">Staying Current</w:t>
      </w:r>
    </w:p>
    <w:p>
      <w:pPr>
        <w:pStyle w:val="ListParagraph"/>
        <w:numPr>
          <w:ilvl w:val="0"/>
          <w:numId w:val="2"/>
        </w:numPr>
        <w:spacing w:after="80" w:line="290"/>
      </w:pPr>
      <w:r>
        <w:t xml:space="preserve">☐ I follow at least one CNCF source regularly (KubeWeekly, blog, etc.).</w:t>
      </w:r>
    </w:p>
    <w:p>
      <w:pPr>
        <w:pStyle w:val="ListParagraph"/>
        <w:numPr>
          <w:ilvl w:val="0"/>
          <w:numId w:val="2"/>
        </w:numPr>
        <w:spacing w:after="80" w:line="290"/>
      </w:pPr>
      <w:r>
        <w:t xml:space="preserve">☐ I review the landscape security category at least quarterly.</w:t>
      </w:r>
    </w:p>
    <w:p>
      <w:pPr>
        <w:pStyle w:val="ListParagraph"/>
        <w:numPr>
          <w:ilvl w:val="0"/>
          <w:numId w:val="2"/>
        </w:numPr>
        <w:spacing w:after="80" w:line="290"/>
      </w:pPr>
      <w:r>
        <w:t xml:space="preserve">☐ I read the CNCF Cloud Native Security Whitepaper when a new version drops.</w:t>
      </w:r>
    </w:p>
    <w:p>
      <w:pPr>
        <w:pStyle w:val="ListParagraph"/>
        <w:numPr>
          <w:ilvl w:val="0"/>
          <w:numId w:val="2"/>
        </w:numPr>
        <w:spacing w:after="80" w:line="290"/>
      </w:pPr>
      <w:r>
        <w:t xml:space="preserve">☐ I have a quarterly / annual review cadence for the projects in my stack.</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CNCF Security Projects — Comprehensive Study Guide</dc:title>
  <dc:creator>Study Guide Generator</dc:creator>
  <cp:lastModifiedBy>Un-named</cp:lastModifiedBy>
  <cp:revision>1</cp:revision>
  <dcterms:created xsi:type="dcterms:W3CDTF">2026-04-25T11:23:19.880Z</dcterms:created>
  <dcterms:modified xsi:type="dcterms:W3CDTF">2026-04-25T11:23:19.881Z</dcterms:modified>
</cp:coreProperties>
</file>

<file path=docProps/custom.xml><?xml version="1.0" encoding="utf-8"?>
<Properties xmlns="http://schemas.openxmlformats.org/officeDocument/2006/custom-properties" xmlns:vt="http://schemas.openxmlformats.org/officeDocument/2006/docPropsVTypes"/>
</file>