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F35"/>
          <w:sz w:val="80"/>
          <w:szCs w:val="80"/>
        </w:rPr>
        <w:t xml:space="preserve">SERVICE MESH</w:t>
      </w:r>
    </w:p>
    <w:p>
      <w:pPr>
        <w:spacing w:after="120"/>
        <w:jc w:val="center"/>
      </w:pPr>
      <w:r>
        <w:rPr>
          <w:rFonts w:ascii="Arial" w:cs="Arial" w:eastAsia="Arial" w:hAnsi="Arial"/>
          <w:b/>
          <w:bCs/>
          <w:color w:val="0D6EAF"/>
          <w:sz w:val="40"/>
          <w:szCs w:val="40"/>
        </w:rPr>
        <w:t xml:space="preserve">Module 4: When to Use (and When Not To)</w:t>
      </w:r>
    </w:p>
    <w:p>
      <w:pPr>
        <w:spacing w:after="360"/>
        <w:jc w:val="center"/>
      </w:pPr>
      <w:r>
        <w:rPr>
          <w:rFonts w:ascii="Arial" w:cs="Arial" w:eastAsia="Arial" w:hAnsi="Arial"/>
          <w:color w:val="666666"/>
          <w:sz w:val="28"/>
          <w:szCs w:val="28"/>
        </w:rPr>
        <w:t xml:space="preserve">Complete In-Depth Study Guide</w:t>
      </w:r>
    </w:p>
    <w:p>
      <w:pPr>
        <w:pBdr>
          <w:bottom w:val="single" w:color="0D6EAF" w:sz="12"/>
        </w:pBdr>
        <w:spacing w:after="280"/>
      </w:pPr>
    </w:p>
    <w:p>
      <w:pPr>
        <w:spacing w:after="70"/>
        <w:jc w:val="center"/>
      </w:pPr>
      <w:r>
        <w:rPr>
          <w:rFonts w:ascii="Arial" w:cs="Arial" w:eastAsia="Arial" w:hAnsi="Arial"/>
          <w:color w:val="555555"/>
          <w:sz w:val="22"/>
          <w:szCs w:val="22"/>
        </w:rPr>
        <w:t xml:space="preserve">1.  Service Mesh vs API Gateway — North-South vs East-West</w:t>
      </w:r>
    </w:p>
    <w:p>
      <w:pPr>
        <w:spacing w:after="70"/>
        <w:jc w:val="center"/>
      </w:pPr>
      <w:r>
        <w:rPr>
          <w:rFonts w:ascii="Arial" w:cs="Arial" w:eastAsia="Arial" w:hAnsi="Arial"/>
          <w:color w:val="555555"/>
          <w:sz w:val="22"/>
          <w:szCs w:val="22"/>
        </w:rPr>
        <w:t xml:space="preserve">2.  Service Mesh vs Library (Resilience4j) — Infrastructure vs In-Code</w:t>
      </w:r>
    </w:p>
    <w:p>
      <w:pPr>
        <w:spacing w:after="70"/>
        <w:jc w:val="center"/>
      </w:pPr>
      <w:r>
        <w:rPr>
          <w:rFonts w:ascii="Arial" w:cs="Arial" w:eastAsia="Arial" w:hAnsi="Arial"/>
          <w:color w:val="555555"/>
          <w:sz w:val="22"/>
          <w:szCs w:val="22"/>
        </w:rPr>
        <w:t xml:space="preserve">3.  When to Adopt — Concrete Signals and Thresholds</w:t>
      </w:r>
    </w:p>
    <w:p>
      <w:pPr>
        <w:spacing w:after="70"/>
        <w:jc w:val="center"/>
      </w:pPr>
      <w:r>
        <w:rPr>
          <w:rFonts w:ascii="Arial" w:cs="Arial" w:eastAsia="Arial" w:hAnsi="Arial"/>
          <w:color w:val="555555"/>
          <w:sz w:val="22"/>
          <w:szCs w:val="22"/>
        </w:rPr>
        <w:t xml:space="preserve">4.  When to Skip — Honest Assessment of the Costs</w:t>
      </w:r>
    </w:p>
    <w:p>
      <w:pPr>
        <w:spacing w:after="70"/>
        <w:jc w:val="center"/>
      </w:pPr>
      <w:r>
        <w:rPr>
          <w:rFonts w:ascii="Arial" w:cs="Arial" w:eastAsia="Arial" w:hAnsi="Arial"/>
          <w:color w:val="555555"/>
          <w:sz w:val="22"/>
          <w:szCs w:val="22"/>
        </w:rPr>
        <w:t xml:space="preserve">5.  Operational Costs — Learning Curve, Overhead, Debugging</w:t>
      </w:r>
    </w:p>
    <w:p>
      <w:pPr>
        <w:spacing w:after="70"/>
        <w:jc w:val="center"/>
      </w:pPr>
      <w:r>
        <w:rPr>
          <w:rFonts w:ascii="Arial" w:cs="Arial" w:eastAsia="Arial" w:hAnsi="Arial"/>
          <w:color w:val="555555"/>
          <w:sz w:val="22"/>
          <w:szCs w:val="22"/>
        </w:rPr>
        <w:t xml:space="preserve">6.  Progressive Adoption — Observability → mTLS → Traffic Management</w:t>
      </w:r>
    </w:p>
    <w:p>
      <w:pPr>
        <w:spacing w:after="70"/>
        <w:jc w:val="center"/>
      </w:pPr>
      <w:r>
        <w:rPr>
          <w:rFonts w:ascii="Arial" w:cs="Arial" w:eastAsia="Arial" w:hAnsi="Arial"/>
          <w:color w:val="555555"/>
          <w:sz w:val="22"/>
          <w:szCs w:val="22"/>
        </w:rPr>
        <w:t xml:space="preserve">7.  Decision Framework — Scoring, Readiness Checklist, Scenarios</w:t>
      </w:r>
    </w:p>
    <w:p>
      <w:pPr>
        <w:spacing w:after="70"/>
        <w:jc w:val="center"/>
      </w:pPr>
      <w:r>
        <w:rPr>
          <w:rFonts w:ascii="Arial" w:cs="Arial" w:eastAsia="Arial" w:hAnsi="Arial"/>
          <w:color w:val="555555"/>
          <w:sz w:val="22"/>
          <w:szCs w:val="22"/>
        </w:rPr>
        <w:t xml:space="preserve">8.  Study Review &amp; Practice Questions</w:t>
      </w:r>
    </w:p>
    <w:p>
      <w:pPr>
        <w:spacing w:after="70"/>
        <w:jc w:val="center"/>
      </w:pPr>
      <w:r>
        <w:rPr>
          <w:rFonts w:ascii="Arial" w:cs="Arial" w:eastAsia="Arial" w:hAnsi="Arial"/>
          <w:color w:val="555555"/>
          <w:sz w:val="22"/>
          <w:szCs w:val="22"/>
        </w:rPr>
        <w:t xml:space="preserve">9.  Glossary</w:t>
      </w:r>
    </w:p>
    <w:p>
      <w:r>
        <w:br w:type="page"/>
      </w:r>
    </w:p>
    <w:p>
      <w:pPr>
        <w:pStyle w:val="Heading1"/>
        <w:spacing w:after="120" w:before="360"/>
      </w:pPr>
      <w:r>
        <w:rPr>
          <w:rFonts w:ascii="Arial" w:cs="Arial" w:eastAsia="Arial" w:hAnsi="Arial"/>
          <w:b/>
          <w:bCs/>
          <w:color w:val="0D1F35"/>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F35"/>
          <w:sz w:val="40"/>
          <w:szCs w:val="40"/>
        </w:rPr>
        <w:t xml:space="preserve">Introduction</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A service mesh is not always the right answer. It is a powerful, expensive tool — powerful because it moves complex networking concerns to infrastructure; expensive because it imposes real operational, resource, and learning costs. Adopting a service mesh prematurely is one of the most common architectural mistakes in the distributed systems space.</w:t>
      </w:r>
    </w:p>
    <w:p>
      <w:pPr>
        <w:spacing w:after="160"/>
      </w:pPr>
      <w:r>
        <w:rPr>
          <w:rFonts w:ascii="Arial" w:cs="Arial" w:eastAsia="Arial" w:hAnsi="Arial"/>
          <w:b w:val="false"/>
          <w:bCs w:val="false"/>
          <w:color w:val="333333"/>
          <w:sz w:val="22"/>
          <w:szCs w:val="22"/>
        </w:rPr>
        <w:t xml:space="preserve">This module provides the judgment framework to make the right decision: when the benefits clearly outweigh the costs, how to tell when you are not ready, what the operational costs actually are in concrete terms, and how to adopt progressively so that each phase delivers value before adding the next layer of complexity.</w:t>
      </w:r>
    </w:p>
    <w:p>
      <w:pPr>
        <w:spacing w:after="160"/>
      </w:pPr>
      <w:r>
        <w:rPr>
          <w:rFonts w:ascii="Arial" w:cs="Arial" w:eastAsia="Arial" w:hAnsi="Arial"/>
          <w:b w:val="false"/>
          <w:bCs w:val="false"/>
          <w:color w:val="333333"/>
          <w:sz w:val="22"/>
          <w:szCs w:val="22"/>
        </w:rPr>
        <w:t xml:space="preserve">The three core comparisons in this module — mesh vs API gateway, mesh vs library, and the adoption signals — are the most frequently asked architectural questions about service meshes. This module gives you the complete, honest, evidence-based answers.</w:t>
      </w:r>
    </w:p>
    <w:p>
      <w:r>
        <w:br w:type="page"/>
      </w:r>
    </w:p>
    <w:p>
      <w:pPr>
        <w:pStyle w:val="Heading1"/>
        <w:spacing w:after="120" w:before="360"/>
      </w:pPr>
      <w:r>
        <w:rPr>
          <w:rFonts w:ascii="Arial" w:cs="Arial" w:eastAsia="Arial" w:hAnsi="Arial"/>
          <w:b/>
          <w:bCs/>
          <w:color w:val="0D1F35"/>
          <w:sz w:val="40"/>
          <w:szCs w:val="40"/>
        </w:rPr>
        <w:t xml:space="preserve">1. Service Mesh vs API Gateway</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The service mesh vs API gateway question is one of the most persistently misunderstood architectural decisions. Both technologies involve proxies. Both can do some routing. Both can provide some security. But they solve fundamentally different problems at different layers of a distributed system, and conflating them leads to over-engineering, under-protecting, or deploying the wrong tool for the wrong job.</w:t>
      </w:r>
    </w:p>
    <w:p>
      <w:pPr>
        <w:pStyle w:val="Heading2"/>
        <w:spacing w:after="100" w:before="280"/>
      </w:pPr>
      <w:r>
        <w:rPr>
          <w:rFonts w:ascii="Arial" w:cs="Arial" w:eastAsia="Arial" w:hAnsi="Arial"/>
          <w:b/>
          <w:bCs/>
          <w:color w:val="0D6EAF"/>
          <w:sz w:val="28"/>
          <w:szCs w:val="28"/>
        </w:rPr>
        <w:t xml:space="preserve">1.1 The Definitive Framing: Direction of Traffic</w:t>
      </w:r>
    </w:p>
    <w:p>
      <w:pPr>
        <w:spacing w:after="160"/>
      </w:pPr>
      <w:r>
        <w:rPr>
          <w:rFonts w:ascii="Arial" w:cs="Arial" w:eastAsia="Arial" w:hAnsi="Arial"/>
          <w:b w:val="false"/>
          <w:bCs w:val="false"/>
          <w:color w:val="333333"/>
          <w:sz w:val="22"/>
          <w:szCs w:val="22"/>
        </w:rPr>
        <w:t xml:space="preserve">The single most important way to understand the distinction is traffic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API Gateway</w:t>
            </w:r>
          </w:p>
        </w:tc>
        <w:tc>
          <w:tcPr>
            <w:tcW w:type="dxa" w:w="34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Service Mesh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direction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North-South: external clients entering or leaving the cluster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East-West: services communicating with each other inside the cluster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is the caller</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Unknown, untrusted external entity (browser, mobile app, partner API)</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Known, authenticated internal service with SPIFFE/X.509 identity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Trust model</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Zero-trust at boundary: validate before entering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Zero-trust inside: every service call must prove identity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topology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Centralized: 2-3 gateway instances at the cluster boundary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Decentralized: 1 sidecar per pod (or eBPF per node for Cilium)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API keys, OAuth2 from external identity providers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with certificates issued by the mesh's own CA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external consumer (API key, user tier, commercial quota)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internal service pair (protect a specific service from overload)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versioning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/v1/ /v2/ routing for public contract management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canary + traffic splitting for safe service rollouts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API analytics: consumer usage, SLA compliance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 topology: which services talk to which, with what latency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CRDs / config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plugins, VirtualService (Istio Gateway), Traefik rules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DestinationRule, AuthorizationPolicy (Istio)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it fails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clients get errors; internal services still communicate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 calls fail; external entry still accepts requests</w:t>
            </w:r>
          </w:p>
        </w:tc>
      </w:tr>
    </w:tbl>
    <w:p>
      <w:pPr>
        <w:spacing w:after="0" w:before="80"/>
      </w:pPr>
      <w:r>
        <w:t xml:space="preserve"/>
      </w:r>
    </w:p>
    <w:p>
      <w:pPr>
        <w:pStyle w:val="Heading2"/>
        <w:spacing w:after="100" w:before="280"/>
      </w:pPr>
      <w:r>
        <w:rPr>
          <w:rFonts w:ascii="Arial" w:cs="Arial" w:eastAsia="Arial" w:hAnsi="Arial"/>
          <w:b/>
          <w:bCs/>
          <w:color w:val="0D6EAF"/>
          <w:sz w:val="28"/>
          <w:szCs w:val="28"/>
        </w:rPr>
        <w:t xml:space="preserve">1.2 The Architecture Diagram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INTERNET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External clients: browsers, mobile apps, partner APIs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(untrusted, unknown identity)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API GATEWAY  (manages north-south traffic)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JWT/API key validation    - Per-consumer rate limiting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SSL termination           - API versioning (/v1/ → /v2/)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External routing          - Consumer analytics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enters cluster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CLUSTER INTERIOR  (service mesh manages east-west traffic)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[order-svc]─mTLS─►[payment-svc]─mTLS─►[fraud-svc]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└─mTLS─►[inventory-svc]     [notification-svc]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Service mesh handles: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Automatic mTLS between all service pairs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Per-service retries, circuit breaking, timeouts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Internal canary deployments (VirtualService weights)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Service-to-service RBAC (AuthorizationPolicy)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Distributed tracing across all internal hops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KEY: API Gateway sees 1 request from client.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Service mesh sees 8 internal hops that request generates.</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They operate on completely different traffic pools.</w:t>
      </w:r>
    </w:p>
    <w:p>
      <w:pPr>
        <w:pStyle w:val="Heading2"/>
        <w:spacing w:after="100" w:before="280"/>
      </w:pPr>
      <w:r>
        <w:rPr>
          <w:rFonts w:ascii="Arial" w:cs="Arial" w:eastAsia="Arial" w:hAnsi="Arial"/>
          <w:b/>
          <w:bCs/>
          <w:color w:val="0D6EAF"/>
          <w:sz w:val="28"/>
          <w:szCs w:val="28"/>
        </w:rPr>
        <w:t xml:space="preserve">1.3 What Each Cannot Do (Why Both Are Needed)</w:t>
      </w:r>
    </w:p>
    <w:p>
      <w:pPr>
        <w:pStyle w:val="Heading3"/>
        <w:spacing w:after="80" w:before="200"/>
      </w:pPr>
      <w:r>
        <w:rPr>
          <w:rFonts w:ascii="Arial" w:cs="Arial" w:eastAsia="Arial" w:hAnsi="Arial"/>
          <w:b/>
          <w:bCs/>
          <w:color w:val="E65100"/>
          <w:sz w:val="24"/>
          <w:szCs w:val="24"/>
        </w:rPr>
        <w:t xml:space="preserve">What the API Gateway Cannot Do</w:t>
      </w:r>
    </w:p>
    <w:p>
      <w:pPr>
        <w:pStyle w:val="ListParagraph"/>
        <w:numPr>
          <w:ilvl w:val="0"/>
          <w:numId w:val="2"/>
        </w:numPr>
        <w:spacing w:after="90"/>
      </w:pPr>
      <w:r>
        <w:rPr>
          <w:rFonts w:ascii="Arial" w:cs="Arial" w:eastAsia="Arial" w:hAnsi="Arial"/>
          <w:b w:val="false"/>
          <w:bCs w:val="false"/>
          <w:color w:val="333333"/>
          <w:sz w:val="22"/>
          <w:szCs w:val="22"/>
        </w:rPr>
        <w:t xml:space="preserve">Encrypt communication between order-service and payment-service — it never sees that traffic</w:t>
      </w:r>
    </w:p>
    <w:p>
      <w:pPr>
        <w:pStyle w:val="ListParagraph"/>
        <w:numPr>
          <w:ilvl w:val="0"/>
          <w:numId w:val="2"/>
        </w:numPr>
        <w:spacing w:after="90"/>
      </w:pPr>
      <w:r>
        <w:rPr>
          <w:rFonts w:ascii="Arial" w:cs="Arial" w:eastAsia="Arial" w:hAnsi="Arial"/>
          <w:b w:val="false"/>
          <w:bCs w:val="false"/>
          <w:color w:val="333333"/>
          <w:sz w:val="22"/>
          <w:szCs w:val="22"/>
        </w:rPr>
        <w:t xml:space="preserve">Apply retry policies to internal service calls — it only handles client→gateway calls</w:t>
      </w:r>
    </w:p>
    <w:p>
      <w:pPr>
        <w:pStyle w:val="ListParagraph"/>
        <w:numPr>
          <w:ilvl w:val="0"/>
          <w:numId w:val="2"/>
        </w:numPr>
        <w:spacing w:after="90"/>
      </w:pPr>
      <w:r>
        <w:rPr>
          <w:rFonts w:ascii="Arial" w:cs="Arial" w:eastAsia="Arial" w:hAnsi="Arial"/>
          <w:b w:val="false"/>
          <w:bCs w:val="false"/>
          <w:color w:val="333333"/>
          <w:sz w:val="22"/>
          <w:szCs w:val="22"/>
        </w:rPr>
        <w:t xml:space="preserve">Enforce that only order-service (not any other pod) can call payment-service — it cannot see internal mTLS identities</w:t>
      </w:r>
    </w:p>
    <w:p>
      <w:pPr>
        <w:pStyle w:val="ListParagraph"/>
        <w:numPr>
          <w:ilvl w:val="0"/>
          <w:numId w:val="2"/>
        </w:numPr>
        <w:spacing w:after="90"/>
      </w:pPr>
      <w:r>
        <w:rPr>
          <w:rFonts w:ascii="Arial" w:cs="Arial" w:eastAsia="Arial" w:hAnsi="Arial"/>
          <w:b w:val="false"/>
          <w:bCs w:val="false"/>
          <w:color w:val="333333"/>
          <w:sz w:val="22"/>
          <w:szCs w:val="22"/>
        </w:rPr>
        <w:t xml:space="preserve">Observe latency between payment-service and fraud-service — it only sees client→gateway latency</w:t>
      </w:r>
    </w:p>
    <w:p>
      <w:pPr>
        <w:pStyle w:val="ListParagraph"/>
        <w:numPr>
          <w:ilvl w:val="0"/>
          <w:numId w:val="2"/>
        </w:numPr>
        <w:spacing w:after="90"/>
      </w:pPr>
      <w:r>
        <w:rPr>
          <w:rFonts w:ascii="Arial" w:cs="Arial" w:eastAsia="Arial" w:hAnsi="Arial"/>
          <w:b w:val="false"/>
          <w:bCs w:val="false"/>
          <w:color w:val="333333"/>
          <w:sz w:val="22"/>
          <w:szCs w:val="22"/>
        </w:rPr>
        <w:t xml:space="preserve">Protect inventory-service from being overwhelmed by order-service — it has no visibility into internal call patterns</w:t>
      </w:r>
    </w:p>
    <w:p>
      <w:pPr>
        <w:spacing w:after="0" w:before="80"/>
      </w:pPr>
      <w:r>
        <w:t xml:space="preserve"/>
      </w:r>
    </w:p>
    <w:p>
      <w:pPr>
        <w:pStyle w:val="Heading3"/>
        <w:spacing w:after="80" w:before="200"/>
      </w:pPr>
      <w:r>
        <w:rPr>
          <w:rFonts w:ascii="Arial" w:cs="Arial" w:eastAsia="Arial" w:hAnsi="Arial"/>
          <w:b/>
          <w:bCs/>
          <w:color w:val="E65100"/>
          <w:sz w:val="24"/>
          <w:szCs w:val="24"/>
        </w:rPr>
        <w:t xml:space="preserve">What the Service Mesh Cannot Do</w:t>
      </w:r>
    </w:p>
    <w:p>
      <w:pPr>
        <w:pStyle w:val="ListParagraph"/>
        <w:numPr>
          <w:ilvl w:val="0"/>
          <w:numId w:val="2"/>
        </w:numPr>
        <w:spacing w:after="90"/>
      </w:pPr>
      <w:r>
        <w:rPr>
          <w:rFonts w:ascii="Arial" w:cs="Arial" w:eastAsia="Arial" w:hAnsi="Arial"/>
          <w:b w:val="false"/>
          <w:bCs w:val="false"/>
          <w:color w:val="333333"/>
          <w:sz w:val="22"/>
          <w:szCs w:val="22"/>
        </w:rPr>
        <w:t xml:space="preserve">Validate a JWT token from an external identity provider — the mesh does not manage external consumer identity</w:t>
      </w:r>
    </w:p>
    <w:p>
      <w:pPr>
        <w:pStyle w:val="ListParagraph"/>
        <w:numPr>
          <w:ilvl w:val="0"/>
          <w:numId w:val="2"/>
        </w:numPr>
        <w:spacing w:after="90"/>
      </w:pPr>
      <w:r>
        <w:rPr>
          <w:rFonts w:ascii="Arial" w:cs="Arial" w:eastAsia="Arial" w:hAnsi="Arial"/>
          <w:b w:val="false"/>
          <w:bCs w:val="false"/>
          <w:color w:val="333333"/>
          <w:sz w:val="22"/>
          <w:szCs w:val="22"/>
        </w:rPr>
        <w:t xml:space="preserve">Enforce commercial rate limits per API key or subscription tier — mesh rate limiting is per-service, not per-consumer</w:t>
      </w:r>
    </w:p>
    <w:p>
      <w:pPr>
        <w:pStyle w:val="ListParagraph"/>
        <w:numPr>
          <w:ilvl w:val="0"/>
          <w:numId w:val="2"/>
        </w:numPr>
        <w:spacing w:after="90"/>
      </w:pPr>
      <w:r>
        <w:rPr>
          <w:rFonts w:ascii="Arial" w:cs="Arial" w:eastAsia="Arial" w:hAnsi="Arial"/>
          <w:b w:val="false"/>
          <w:bCs w:val="false"/>
          <w:color w:val="333333"/>
          <w:sz w:val="22"/>
          <w:szCs w:val="22"/>
        </w:rPr>
        <w:t xml:space="preserve">Expose a developer portal for external consumers to register and get API keys</w:t>
      </w:r>
    </w:p>
    <w:p>
      <w:pPr>
        <w:pStyle w:val="ListParagraph"/>
        <w:numPr>
          <w:ilvl w:val="0"/>
          <w:numId w:val="2"/>
        </w:numPr>
        <w:spacing w:after="90"/>
      </w:pPr>
      <w:r>
        <w:rPr>
          <w:rFonts w:ascii="Arial" w:cs="Arial" w:eastAsia="Arial" w:hAnsi="Arial"/>
          <w:b w:val="false"/>
          <w:bCs w:val="false"/>
          <w:color w:val="333333"/>
          <w:sz w:val="22"/>
          <w:szCs w:val="22"/>
        </w:rPr>
        <w:t xml:space="preserve">Manage the public TLS certificate for api.example.com or apply HTTP redirects to external clients</w:t>
      </w:r>
    </w:p>
    <w:p>
      <w:pPr>
        <w:pStyle w:val="ListParagraph"/>
        <w:numPr>
          <w:ilvl w:val="0"/>
          <w:numId w:val="2"/>
        </w:numPr>
        <w:spacing w:after="90"/>
      </w:pPr>
      <w:r>
        <w:rPr>
          <w:rFonts w:ascii="Arial" w:cs="Arial" w:eastAsia="Arial" w:hAnsi="Arial"/>
          <w:b w:val="false"/>
          <w:bCs w:val="false"/>
          <w:color w:val="333333"/>
          <w:sz w:val="22"/>
          <w:szCs w:val="22"/>
        </w:rPr>
        <w:t xml:space="preserve">Version external-facing APIs (/v1/ vs /v2/) — mesh traffic splitting is for internal rollouts, not public API contracts</w:t>
      </w:r>
    </w:p>
    <w:p>
      <w:pPr>
        <w:spacing w:after="0" w:before="80"/>
      </w:pPr>
      <w:r>
        <w:t xml:space="preserve"/>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KEY INSIGHT  </w:t>
      </w:r>
      <w:r>
        <w:rPr>
          <w:rFonts w:ascii="Arial" w:cs="Arial" w:eastAsia="Arial" w:hAnsi="Arial"/>
          <w:color w:val="333333"/>
          <w:sz w:val="22"/>
          <w:szCs w:val="22"/>
        </w:rPr>
        <w:t xml:space="preserve">API Gateway and Service Mesh are not competing tools — they operate on entirely non-overlapping traffic populations. A mature distributed system needs both: the gateway for managing the external-to-internal boundary, the mesh for securing and observing all communication inside the boundary.</w:t>
      </w:r>
    </w:p>
    <w:p>
      <w:pPr>
        <w:pStyle w:val="Heading2"/>
        <w:spacing w:after="100" w:before="280"/>
      </w:pPr>
      <w:r>
        <w:rPr>
          <w:rFonts w:ascii="Arial" w:cs="Arial" w:eastAsia="Arial" w:hAnsi="Arial"/>
          <w:b/>
          <w:bCs/>
          <w:color w:val="0D6EAF"/>
          <w:sz w:val="28"/>
          <w:szCs w:val="28"/>
        </w:rPr>
        <w:t xml:space="preserve">1.4 The Common Confusion: 'Can the API Gateway Do mTLS Internally?'</w:t>
      </w:r>
    </w:p>
    <w:p>
      <w:pPr>
        <w:spacing w:after="160"/>
      </w:pPr>
      <w:r>
        <w:rPr>
          <w:rFonts w:ascii="Arial" w:cs="Arial" w:eastAsia="Arial" w:hAnsi="Arial"/>
          <w:b w:val="false"/>
          <w:bCs w:val="false"/>
          <w:color w:val="333333"/>
          <w:sz w:val="22"/>
          <w:szCs w:val="22"/>
        </w:rPr>
        <w:t xml:space="preserve">A common objection: 'Our API gateway supports mTLS — can we use it instead of a service mesh for internal security?' The answer is no, for a structural reason. An API gateway is a centralized choke point. All external traffic passes through it because that centralization is the feature — one boundary to enforce policies. If you route all internal traffic through the API gateway, you: create a central bottleneck that adds latency to every internal call, introduce a single point of failure for all internal communication, and negate the entire benefit of microservices independence. The service mesh solves internal security with a decentralized architecture — sidecars on every pod — specifically to avoid this bottleneck.</w:t>
      </w:r>
    </w:p>
    <w:p>
      <w:r>
        <w:br w:type="page"/>
      </w:r>
    </w:p>
    <w:p>
      <w:pPr>
        <w:pStyle w:val="Heading1"/>
        <w:spacing w:after="120" w:before="360"/>
      </w:pPr>
      <w:r>
        <w:rPr>
          <w:rFonts w:ascii="Arial" w:cs="Arial" w:eastAsia="Arial" w:hAnsi="Arial"/>
          <w:b/>
          <w:bCs/>
          <w:color w:val="0D1F35"/>
          <w:sz w:val="40"/>
          <w:szCs w:val="40"/>
        </w:rPr>
        <w:t xml:space="preserve">2. Service Mesh vs Library (Resilience4j)</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Before service meshes existed, the industry solved distributed networking problems using language-specific client libraries. Netflix Open Source Stack (Hystrix, Ribbon, Eureka), Spring Cloud, Resilience4j, Go's go-kit, Python's requests-with-retry — these libraries handle retries, circuit breaking, service discovery, and distributed tracing inside the application process. The service mesh moves these same capabilities to the infrastructure layer.</w:t>
      </w:r>
    </w:p>
    <w:p>
      <w:pPr>
        <w:spacing w:after="160"/>
      </w:pPr>
      <w:r>
        <w:rPr>
          <w:rFonts w:ascii="Arial" w:cs="Arial" w:eastAsia="Arial" w:hAnsi="Arial"/>
          <w:b w:val="false"/>
          <w:bCs w:val="false"/>
          <w:color w:val="333333"/>
          <w:sz w:val="22"/>
          <w:szCs w:val="22"/>
        </w:rPr>
        <w:t xml:space="preserve">This is not an either/or choice in all cases. Understanding the precise trade-offs determines which approach is correct for a given organization.</w:t>
      </w:r>
    </w:p>
    <w:p>
      <w:pPr>
        <w:pStyle w:val="Heading2"/>
        <w:spacing w:after="100" w:before="280"/>
      </w:pPr>
      <w:r>
        <w:rPr>
          <w:rFonts w:ascii="Arial" w:cs="Arial" w:eastAsia="Arial" w:hAnsi="Arial"/>
          <w:b/>
          <w:bCs/>
          <w:color w:val="0D6EAF"/>
          <w:sz w:val="28"/>
          <w:szCs w:val="28"/>
        </w:rPr>
        <w:t xml:space="preserve">2.1 The Core Architectural Difference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LIBRARY APPROACH (Resilience4j / Hystrix / Spring Cloud):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JVM Process (order-service)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Business Logic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createOrder() → calls payment-service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calls through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Resilience4j / Spring Cloud in-process library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@CircuitBreaker(name='payment')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@Retry(name='payment', maxAttempts=3)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@TimeLimiter(name='payment', timeoutDuration='2s')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outbound HTTP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SERVICE MESH APPROACH:</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JVM Process (order-service)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Business Logic (ONLY)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createOrder() → HTTP to localhost:8080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plain HTTP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iptables redirects to sidecar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Envoy Sidecar (separate process)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Retry policy from VirtualService (3 attempts, 2s each)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Circuit breaking from DestinationRule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mTLS to payment-service sidecar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Distributed trace span creation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mTLS</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payment-service sidecar</w:t>
      </w:r>
    </w:p>
    <w:p>
      <w:pPr>
        <w:pStyle w:val="Heading2"/>
        <w:spacing w:after="100" w:before="280"/>
      </w:pPr>
      <w:r>
        <w:rPr>
          <w:rFonts w:ascii="Arial" w:cs="Arial" w:eastAsia="Arial" w:hAnsi="Arial"/>
          <w:b/>
          <w:bCs/>
          <w:color w:val="0D6EAF"/>
          <w:sz w:val="28"/>
          <w:szCs w:val="28"/>
        </w:rPr>
        <w:t xml:space="preserve">2.2 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30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Library (Resilience4j)</w:t>
            </w:r>
          </w:p>
        </w:tc>
        <w:tc>
          <w:tcPr>
            <w:tcW w:type="dxa" w:w="38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Service Mesh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@CircuitBreaker annotation + config in application code</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 outlierDetection: zero application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logic</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annotation + retry config + fallback methods</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retries: zero application code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@TimeLimiter + CompletableFuture wrapping</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timeout: zero application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 encryption</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TLS config per service + cert management</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sidecar handles all TLS, auto-rotating certs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discovery</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Eureka client / Consul client / DNS SRV lookups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sidecar gets endpoint list from control plane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Brave/Zipkin client + manual trace header propagation</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creates spans automatically; app propagates headers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Prometheus/Micrometer client + @Timed annotations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emits golden signals automatically for every call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Ribbon / RestTemplate @LoadBalanced</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round-robin, least-conn, random by configuration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support</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only (Resilience4j); limited Go/Python ports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language — sidecar is language-agnostic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consistency</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version per service — drift inevitable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version managed centrally — uniformity guaranteed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patching</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dependency in every service, redeploy all</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sidecar image version once, restart sidecars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model</w:t>
            </w:r>
          </w:p>
        </w:tc>
        <w:tc>
          <w:tcPr>
            <w:tcW w:type="dxa" w:w="3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 controls behavior in application code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controls behavior in control plane CRDs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3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stack traces + library metrics</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Kiali, sidecar access logs, Envoy admin API</w:t>
            </w:r>
          </w:p>
        </w:tc>
      </w:tr>
    </w:tbl>
    <w:p>
      <w:pPr>
        <w:spacing w:after="0" w:before="80"/>
      </w:pPr>
      <w:r>
        <w:t xml:space="preserve"/>
      </w:r>
    </w:p>
    <w:p>
      <w:pPr>
        <w:pStyle w:val="Heading2"/>
        <w:spacing w:after="100" w:before="280"/>
      </w:pPr>
      <w:r>
        <w:rPr>
          <w:rFonts w:ascii="Arial" w:cs="Arial" w:eastAsia="Arial" w:hAnsi="Arial"/>
          <w:b/>
          <w:bCs/>
          <w:color w:val="0D6EAF"/>
          <w:sz w:val="28"/>
          <w:szCs w:val="28"/>
        </w:rPr>
        <w:t xml:space="preserve">2.3 The Language Lock-In Problem</w:t>
      </w:r>
    </w:p>
    <w:p>
      <w:pPr>
        <w:spacing w:after="160"/>
      </w:pPr>
      <w:r>
        <w:rPr>
          <w:rFonts w:ascii="Arial" w:cs="Arial" w:eastAsia="Arial" w:hAnsi="Arial"/>
          <w:b w:val="false"/>
          <w:bCs w:val="false"/>
          <w:color w:val="333333"/>
          <w:sz w:val="22"/>
          <w:szCs w:val="22"/>
        </w:rPr>
        <w:t xml:space="preserve">Resilience4j is Java/Kotlin only. Python services need python-resilience, Go services need something else, Node.js services use yet another library. In a polyglot microservices organization, the library approach requires maintaining N different implementations of the same networking logic — each with its own version, bug surface, and operational characteristics. A circuit breaker in Resilience4j behaves differently from one in Go's hystrix-go. This inconsistency means a Java service and a Python service calling the same downstream service may have completely different failure behavior under load.</w:t>
      </w:r>
    </w:p>
    <w:p>
      <w:pPr>
        <w:spacing w:after="160"/>
      </w:pPr>
      <w:r>
        <w:rPr>
          <w:rFonts w:ascii="Arial" w:cs="Arial" w:eastAsia="Arial" w:hAnsi="Arial"/>
          <w:b w:val="false"/>
          <w:bCs w:val="false"/>
          <w:color w:val="333333"/>
          <w:sz w:val="22"/>
          <w:szCs w:val="22"/>
        </w:rPr>
        <w:t xml:space="preserve">The service mesh solves this by being language-agnostic: the sidecar proxy intercepts all traffic regardless of the application's language. The same circuit breaker configuration in DestinationRule applies identically to a Java pod, a Python pod, and a Go pod. Consistency is guaranteed by the infrastructure, not by developer discipline.</w:t>
      </w:r>
    </w:p>
    <w:p>
      <w:pPr>
        <w:pStyle w:val="Heading2"/>
        <w:spacing w:after="100" w:before="280"/>
      </w:pPr>
      <w:r>
        <w:rPr>
          <w:rFonts w:ascii="Arial" w:cs="Arial" w:eastAsia="Arial" w:hAnsi="Arial"/>
          <w:b/>
          <w:bCs/>
          <w:color w:val="0D6EAF"/>
          <w:sz w:val="28"/>
          <w:szCs w:val="28"/>
        </w:rPr>
        <w:t xml:space="preserve">2.4 The Version Drift Problem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Library version drift scenario (real-world problem):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Team A (Orders):    Resilience4j 2.1.0  circuitBreaker.slidingWindowSize=10</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Team B (Payments):  Resilience4j 2.0.3  circuitBreaker.slidingWindowSize=100</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Team C (Fraud):     Resilience4j 1.7.1  different default behaviour entirely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Team D (Inventory): Go's hystrix-go v1   completely different semantics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Incident: payment-service starts returning errors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Orders: circuit opens after 5 errors (window=10, threshold=50%)</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Fraud:  circuit never opens (old version, different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Result: fraud-detector floods failing payment-service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making recovery slower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With service mesh — all teams get identical behaviour: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DestinationRule for payment-service: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consecutive5xxErrors: 5</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interval: 10s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baseEjectionTime: 30s</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Applies identically to ALL callers regardless of language or version</w:t>
      </w:r>
    </w:p>
    <w:p>
      <w:pPr>
        <w:pStyle w:val="Heading2"/>
        <w:spacing w:after="100" w:before="280"/>
      </w:pPr>
      <w:r>
        <w:rPr>
          <w:rFonts w:ascii="Arial" w:cs="Arial" w:eastAsia="Arial" w:hAnsi="Arial"/>
          <w:b/>
          <w:bCs/>
          <w:color w:val="0D6EAF"/>
          <w:sz w:val="28"/>
          <w:szCs w:val="28"/>
        </w:rPr>
        <w:t xml:space="preserve">2.5 When Library Approach Is Correct</w:t>
      </w:r>
    </w:p>
    <w:p>
      <w:pPr>
        <w:spacing w:after="160"/>
      </w:pPr>
      <w:r>
        <w:rPr>
          <w:rFonts w:ascii="Arial" w:cs="Arial" w:eastAsia="Arial" w:hAnsi="Arial"/>
          <w:b w:val="false"/>
          <w:bCs w:val="false"/>
          <w:color w:val="333333"/>
          <w:sz w:val="22"/>
          <w:szCs w:val="22"/>
        </w:rPr>
        <w:t xml:space="preserve">The library approach is not obsolete. There are specific scenarios where it is the better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Why Library Wins</w:t>
            </w:r>
          </w:p>
        </w:tc>
        <w:tc>
          <w:tcPr>
            <w:tcW w:type="dxa" w:w="37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Why Mesh Loses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Single-language team (all Java/Kotlin)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is idiomatic, well-tested, full-featured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overhead for no language-agnostic benefit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 services, simple dependencies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is sufficient; mesh is over-engineering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operational cost exceeds the benefit at this scale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Fine-grained fallback logic</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methods with custom business logic (serve cached data, default value)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fallbacks are simple (503 or static response); complex fallbacks need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dynamic tuning at runtime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Libraries can read config from a config server and hot-reload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config changes need kubectl apply (slower iteration)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Non-Kubernetes environment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works anywhere (VMs, bare metal, on-prem)</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meshes require Kubernetes (exception: Consul Connect)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deeply comfortable with Spring Cloud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Existing expertise, consistent tooling, Spring integration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failure modes, new CRDs, new debugging tools to learn</w:t>
            </w:r>
          </w:p>
        </w:tc>
      </w:tr>
    </w:tbl>
    <w:p>
      <w:pPr>
        <w:spacing w:after="0" w:before="80"/>
      </w:pPr>
      <w:r>
        <w:t xml:space="preserve"/>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KEY INSIGHT  </w:t>
      </w:r>
      <w:r>
        <w:rPr>
          <w:rFonts w:ascii="Arial" w:cs="Arial" w:eastAsia="Arial" w:hAnsi="Arial"/>
          <w:color w:val="333333"/>
          <w:sz w:val="22"/>
          <w:szCs w:val="22"/>
        </w:rPr>
        <w:t xml:space="preserve">Library vs Mesh is not a binary choice. Many production systems use BOTH: a service mesh for mTLS, observability, and coarse-grained traffic management, PLUS library-level retries for fine-grained fallback logic that requires domain-specific behaviour (returning a cached product list when the product service is down, for example).</w:t>
      </w:r>
    </w:p>
    <w:p>
      <w:r>
        <w:br w:type="page"/>
      </w:r>
    </w:p>
    <w:p>
      <w:pPr>
        <w:pStyle w:val="Heading1"/>
        <w:spacing w:after="120" w:before="360"/>
      </w:pPr>
      <w:r>
        <w:rPr>
          <w:rFonts w:ascii="Arial" w:cs="Arial" w:eastAsia="Arial" w:hAnsi="Arial"/>
          <w:b/>
          <w:bCs/>
          <w:color w:val="0D1F35"/>
          <w:sz w:val="40"/>
          <w:szCs w:val="40"/>
        </w:rPr>
        <w:t xml:space="preserve">3. When to Adopt a Service Mesh</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Adoption signals for a service mesh are concrete and quantifiable. This section goes beyond vague recommendations ('use when complexity is high') to specific, observable conditions that indicate a service mesh will deliver clear value.</w:t>
      </w:r>
    </w:p>
    <w:p>
      <w:pPr>
        <w:pStyle w:val="Heading2"/>
        <w:spacing w:after="100" w:before="280"/>
      </w:pPr>
      <w:r>
        <w:rPr>
          <w:rFonts w:ascii="Arial" w:cs="Arial" w:eastAsia="Arial" w:hAnsi="Arial"/>
          <w:b/>
          <w:bCs/>
          <w:color w:val="0D6EAF"/>
          <w:sz w:val="28"/>
          <w:szCs w:val="28"/>
        </w:rPr>
        <w:t xml:space="preserve">3.1 Strong Adoption Signals</w:t>
      </w:r>
    </w:p>
    <w:p>
      <w:pPr>
        <w:pStyle w:val="Heading3"/>
        <w:spacing w:after="80" w:before="200"/>
      </w:pPr>
      <w:r>
        <w:rPr>
          <w:rFonts w:ascii="Arial" w:cs="Arial" w:eastAsia="Arial" w:hAnsi="Arial"/>
          <w:b/>
          <w:bCs/>
          <w:color w:val="E65100"/>
          <w:sz w:val="24"/>
          <w:szCs w:val="24"/>
        </w:rPr>
        <w:t xml:space="preserve">Signal 1: More Than 10 Services (Quadratic Complexity Threshold)</w:t>
      </w:r>
    </w:p>
    <w:p>
      <w:pPr>
        <w:spacing w:after="160"/>
      </w:pPr>
      <w:r>
        <w:rPr>
          <w:rFonts w:ascii="Arial" w:cs="Arial" w:eastAsia="Arial" w:hAnsi="Arial"/>
          <w:b w:val="false"/>
          <w:bCs w:val="false"/>
          <w:color w:val="333333"/>
          <w:sz w:val="22"/>
          <w:szCs w:val="22"/>
        </w:rPr>
        <w:t xml:space="preserve">With N services, you have N*(N-1)/2 potential communication pairs. With 5 services: 10 pairs. With 10 services: 45 pairs. With 25 services: 300 pairs. Each pair potentially needs: mTLS configuration, retry policy, timeout, circuit breaker, access control, and tracing. The library approach means implementing this in application code. The complexity growth is quadratic, not linear.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Complexity analysis: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5 services:  10 pairs  — manageable with libraries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10 services:  45 pairs  — manageable but painful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25 services: 300 pairs  — service mesh pays for itself</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50 services: 1225 pairs — service mesh is essential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For each pair, without a mesh:</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library import per language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circuit breaker config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retry config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timeout config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mTLS cert management setup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- 1 distributed tracing instrumentation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For 50 services, 5 concerns each:</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50 * 5 = 250 separate configurations to maintain</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A mesh reduces this to 5 control-plane configs total</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&gt;10 services, especially if growing. The operational leverage of centralizing networking concerns becomes measurable at this scale.</w:t>
      </w:r>
    </w:p>
    <w:p>
      <w:pPr>
        <w:pStyle w:val="Heading3"/>
        <w:spacing w:after="80" w:before="200"/>
      </w:pPr>
      <w:r>
        <w:rPr>
          <w:rFonts w:ascii="Arial" w:cs="Arial" w:eastAsia="Arial" w:hAnsi="Arial"/>
          <w:b/>
          <w:bCs/>
          <w:color w:val="E65100"/>
          <w:sz w:val="24"/>
          <w:szCs w:val="24"/>
        </w:rPr>
        <w:t xml:space="preserve">Signal 2: Polyglot Services (Multiple Languages)</w:t>
      </w:r>
    </w:p>
    <w:p>
      <w:pPr>
        <w:spacing w:after="160"/>
      </w:pPr>
      <w:r>
        <w:rPr>
          <w:rFonts w:ascii="Arial" w:cs="Arial" w:eastAsia="Arial" w:hAnsi="Arial"/>
          <w:b w:val="false"/>
          <w:bCs w:val="false"/>
          <w:color w:val="333333"/>
          <w:sz w:val="22"/>
          <w:szCs w:val="22"/>
        </w:rPr>
        <w:t xml:space="preserve">If your system includes services written in Java, Python, Go, Node.js, or Rust, the library approach requires maintaining equivalent implementations of circuit breaking, retries, and distributed tracing in each language ecosystem. This is not just duplication — each library has different default behaviour, different configuration syntax, and different bug surfaces.</w:t>
      </w:r>
    </w:p>
    <w:p>
      <w:pPr>
        <w:spacing w:after="160"/>
      </w:pPr>
      <w:r>
        <w:rPr>
          <w:rFonts w:ascii="Arial" w:cs="Arial" w:eastAsia="Arial" w:hAnsi="Arial"/>
          <w:b w:val="false"/>
          <w:bCs w:val="false"/>
          <w:color w:val="333333"/>
          <w:sz w:val="22"/>
          <w:szCs w:val="22"/>
        </w:rPr>
        <w:t xml:space="preserve">A service mesh is language-agnostic by design. The same VirtualService and DestinationRule configuration applies uniformly to all services regardless of language. Adding a new microservice in a new language requires zero additional infrastructure work — just inject the sidecar.</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3+ programming languages in the service fleet, with no plan to converge on a single language. The mesh becomes the common infrastructure layer.</w:t>
      </w:r>
    </w:p>
    <w:p>
      <w:pPr>
        <w:pStyle w:val="Heading3"/>
        <w:spacing w:after="80" w:before="200"/>
      </w:pPr>
      <w:r>
        <w:rPr>
          <w:rFonts w:ascii="Arial" w:cs="Arial" w:eastAsia="Arial" w:hAnsi="Arial"/>
          <w:b/>
          <w:bCs/>
          <w:color w:val="E65100"/>
          <w:sz w:val="24"/>
          <w:szCs w:val="24"/>
        </w:rPr>
        <w:t xml:space="preserve">Signal 3: Compliance Requirement for mTLS Everywhere</w:t>
      </w:r>
    </w:p>
    <w:p>
      <w:pPr>
        <w:spacing w:after="160"/>
      </w:pPr>
      <w:r>
        <w:rPr>
          <w:rFonts w:ascii="Arial" w:cs="Arial" w:eastAsia="Arial" w:hAnsi="Arial"/>
          <w:b w:val="false"/>
          <w:bCs w:val="false"/>
          <w:color w:val="333333"/>
          <w:sz w:val="22"/>
          <w:szCs w:val="22"/>
        </w:rPr>
        <w:t xml:space="preserve">Many compliance frameworks (PCI-DSS, HIPAA, SOC 2 Type II, ISO 27001) explicitly require encryption in transit between services — not just at the perimeter. 'Encryption in transit' requirements typically mean every service-to-service connection must be encrypted, authenticated, and auditable. Meeting this requirement with manual TLS configuration in each service is an enormous engineering burden. A service mesh delivers it with a single PeerAuthentication CRD.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PCI-DSS Requirement 4.2: Protect cardholder data with strong cryptography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SOC 2 CC6.7: Transmission of data using encryption protocols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Without mesh:</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50 services × cert provisioning + renewal + monitoring = months of work</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Compliance audit: prove each service has mTLS configured correctly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Cert expiry monitoring: 50 independent certificates to track</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With mesh (1 configuration line):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PeerAuthentication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namespace: istio-system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mtls: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mode: STRICT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Compliance audit: show this single policy + Kiali screenshot of mTLS icons</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Cert management: zero — istiod auto-issues, auto-rotates, auto-renews</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compliance frameworks require provable encryption and authentication between all internal services. The mesh provides both and the audit trail to prove it.</w:t>
      </w:r>
    </w:p>
    <w:p>
      <w:pPr>
        <w:pStyle w:val="Heading3"/>
        <w:spacing w:after="80" w:before="200"/>
      </w:pPr>
      <w:r>
        <w:rPr>
          <w:rFonts w:ascii="Arial" w:cs="Arial" w:eastAsia="Arial" w:hAnsi="Arial"/>
          <w:b/>
          <w:bCs/>
          <w:color w:val="E65100"/>
          <w:sz w:val="24"/>
          <w:szCs w:val="24"/>
        </w:rPr>
        <w:t xml:space="preserve">Signal 4: Complex Traffic Management Needs</w:t>
      </w:r>
    </w:p>
    <w:p>
      <w:pPr>
        <w:spacing w:after="160"/>
      </w:pPr>
      <w:r>
        <w:rPr>
          <w:rFonts w:ascii="Arial" w:cs="Arial" w:eastAsia="Arial" w:hAnsi="Arial"/>
          <w:b w:val="false"/>
          <w:bCs w:val="false"/>
          <w:color w:val="333333"/>
          <w:sz w:val="22"/>
          <w:szCs w:val="22"/>
        </w:rPr>
        <w:t xml:space="preserve">If your teams need to do canary deployments, A/B tests, blue-green rollouts, or need to safely test new service versions in production — and doing this currently requires running parallel versions with separate Kubernetes Services, feature flags in code, or third-party tooling — a service mesh simplifies this dramatically. VirtualService traffic weights replace all of those workarounds with a single declarative configuration.</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teams currently doing 'fake canary' deployments by running two services with separate hostnames and manually adjusting DNS or load balancer weights. A mesh makes this first-class.</w:t>
      </w:r>
    </w:p>
    <w:p>
      <w:pPr>
        <w:pStyle w:val="Heading3"/>
        <w:spacing w:after="80" w:before="200"/>
      </w:pPr>
      <w:r>
        <w:rPr>
          <w:rFonts w:ascii="Arial" w:cs="Arial" w:eastAsia="Arial" w:hAnsi="Arial"/>
          <w:b/>
          <w:bCs/>
          <w:color w:val="E65100"/>
          <w:sz w:val="24"/>
          <w:szCs w:val="24"/>
        </w:rPr>
        <w:t xml:space="preserve">Signal 5: Observability Gaps Causing Production Incidents</w:t>
      </w:r>
    </w:p>
    <w:p>
      <w:pPr>
        <w:spacing w:after="160"/>
      </w:pPr>
      <w:r>
        <w:rPr>
          <w:rFonts w:ascii="Arial" w:cs="Arial" w:eastAsia="Arial" w:hAnsi="Arial"/>
          <w:b w:val="false"/>
          <w:bCs w:val="false"/>
          <w:color w:val="333333"/>
          <w:sz w:val="22"/>
          <w:szCs w:val="22"/>
        </w:rPr>
        <w:t xml:space="preserve">If your team regularly struggles to answer 'where did this request fail?' during incidents — if you have logs in 10 places, inconsistent formats, no distributed trace across service boundaries — the mesh's automatic distributed tracing and golden signal metrics will immediately improve mean time to resolution.</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post-incident reviews consistently involve 'we couldn't trace the request across services' or 'we don't know which service call was slow.' The mesh solves this with zero instrumentation code.</w:t>
      </w:r>
    </w:p>
    <w:p>
      <w:pPr>
        <w:pStyle w:val="Heading3"/>
        <w:spacing w:after="80" w:before="200"/>
      </w:pPr>
      <w:r>
        <w:rPr>
          <w:rFonts w:ascii="Arial" w:cs="Arial" w:eastAsia="Arial" w:hAnsi="Arial"/>
          <w:b/>
          <w:bCs/>
          <w:color w:val="E65100"/>
          <w:sz w:val="24"/>
          <w:szCs w:val="24"/>
        </w:rPr>
        <w:t xml:space="preserve">Signal 6: Zero-Trust Security Posture Required</w:t>
      </w:r>
    </w:p>
    <w:p>
      <w:pPr>
        <w:spacing w:after="160"/>
      </w:pPr>
      <w:r>
        <w:rPr>
          <w:rFonts w:ascii="Arial" w:cs="Arial" w:eastAsia="Arial" w:hAnsi="Arial"/>
          <w:b w:val="false"/>
          <w:bCs w:val="false"/>
          <w:color w:val="333333"/>
          <w:sz w:val="22"/>
          <w:szCs w:val="22"/>
        </w:rPr>
        <w:t xml:space="preserve">In organizations where a compromised internal pod should not be able to freely call any other service — where every service-to-service call must be authorized against a policy — a service mesh provides this through AuthorizationPolicy enforced at the proxy level. This is impossible to achieve at application level when you have 50+ services managed by different teams.</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USE MESH  </w:t>
      </w:r>
      <w:r>
        <w:rPr>
          <w:rFonts w:ascii="Arial" w:cs="Arial" w:eastAsia="Arial" w:hAnsi="Arial"/>
          <w:color w:val="333333"/>
          <w:sz w:val="22"/>
          <w:szCs w:val="22"/>
        </w:rPr>
        <w:t xml:space="preserve">Strong signal: security team has identified lateral movement risk (one compromised pod can call all others) and wants zero-trust internal networking.</w:t>
      </w:r>
    </w:p>
    <w:p>
      <w:pPr>
        <w:pStyle w:val="Heading2"/>
        <w:spacing w:after="100" w:before="280"/>
      </w:pPr>
      <w:r>
        <w:rPr>
          <w:rFonts w:ascii="Arial" w:cs="Arial" w:eastAsia="Arial" w:hAnsi="Arial"/>
          <w:b/>
          <w:bCs/>
          <w:color w:val="0D6EAF"/>
          <w:sz w:val="28"/>
          <w:szCs w:val="28"/>
        </w:rPr>
        <w:t xml:space="preserve">3.2 Adoption Readiness Requirements</w:t>
      </w:r>
    </w:p>
    <w:p>
      <w:pPr>
        <w:spacing w:after="160"/>
      </w:pPr>
      <w:r>
        <w:rPr>
          <w:rFonts w:ascii="Arial" w:cs="Arial" w:eastAsia="Arial" w:hAnsi="Arial"/>
          <w:b w:val="false"/>
          <w:bCs w:val="false"/>
          <w:color w:val="333333"/>
          <w:sz w:val="22"/>
          <w:szCs w:val="22"/>
        </w:rPr>
        <w:t xml:space="preserve">Beyond the 'do we need it' signals, a service mesh adoption requires organizational readiness. Meeting the signals without the readiness leads to failed or abandoned mesh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Readiness Requirement</w:t>
            </w:r>
          </w:p>
        </w:tc>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Minimum Threshold</w:t>
            </w:r>
          </w:p>
        </w:tc>
        <w:tc>
          <w:tcPr>
            <w:tcW w:type="dxa" w:w="41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Why It Matters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expertise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comfortable with Deployments, Services, ConfigMaps, RBAC</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adds CRDs, admission webhooks, and sidecar injection on top of K8s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Platform/SRE team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 least 1 dedicated platform engineer for the mesh</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requires ongoing operations: upgrades, debugging sidecars, tuning configs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budget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Capacity for sidecar overhead (~50-100MB RAM per pod for Istio)</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100-pod cluster needs ~7.5GB extra RAM just for sidecars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 stack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 Grafana already running (or plan to run)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emits metrics but you need to collect and visualize them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time budget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weeks for platform team to become competent</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CRDs, xDS, mTLS concepts, istioctl debugging tools — non-trivial</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4. When to Skip the Service Mesh</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Service mesh adoption failures follow a predictable pattern: an organization adopts a mesh based on aspirational architecture goals without accounting for the current state of their system, team, and operational maturity. The result is a partially adopted mesh that nobody fully understands, a demoralized team, and eventually a costly removal or freeze.</w:t>
      </w:r>
    </w:p>
    <w:p>
      <w:pPr>
        <w:spacing w:after="160"/>
      </w:pPr>
      <w:r>
        <w:rPr>
          <w:rFonts w:ascii="Arial" w:cs="Arial" w:eastAsia="Arial" w:hAnsi="Arial"/>
          <w:b w:val="false"/>
          <w:bCs w:val="false"/>
          <w:color w:val="333333"/>
          <w:sz w:val="22"/>
          <w:szCs w:val="22"/>
        </w:rPr>
        <w:t xml:space="preserve">Being honest about when NOT to adopt is as important as identifying when to adopt.</w:t>
      </w:r>
    </w:p>
    <w:p>
      <w:pPr>
        <w:pStyle w:val="Heading2"/>
        <w:spacing w:after="100" w:before="280"/>
      </w:pPr>
      <w:r>
        <w:rPr>
          <w:rFonts w:ascii="Arial" w:cs="Arial" w:eastAsia="Arial" w:hAnsi="Arial"/>
          <w:b/>
          <w:bCs/>
          <w:color w:val="0D6EAF"/>
          <w:sz w:val="28"/>
          <w:szCs w:val="28"/>
        </w:rPr>
        <w:t xml:space="preserve">4.1 Skip Signals — Concrete Conditions</w:t>
      </w:r>
    </w:p>
    <w:p>
      <w:pPr>
        <w:pStyle w:val="Heading3"/>
        <w:spacing w:after="80" w:before="200"/>
      </w:pPr>
      <w:r>
        <w:rPr>
          <w:rFonts w:ascii="Arial" w:cs="Arial" w:eastAsia="Arial" w:hAnsi="Arial"/>
          <w:b/>
          <w:bCs/>
          <w:color w:val="E65100"/>
          <w:sz w:val="24"/>
          <w:szCs w:val="24"/>
        </w:rPr>
        <w:t xml:space="preserve">Skip Signal 1: Fewer Than 5 Services</w:t>
      </w:r>
    </w:p>
    <w:p>
      <w:pPr>
        <w:spacing w:after="160"/>
      </w:pPr>
      <w:r>
        <w:rPr>
          <w:rFonts w:ascii="Arial" w:cs="Arial" w:eastAsia="Arial" w:hAnsi="Arial"/>
          <w:b w:val="false"/>
          <w:bCs w:val="false"/>
          <w:color w:val="333333"/>
          <w:sz w:val="22"/>
          <w:szCs w:val="22"/>
        </w:rPr>
        <w:t xml:space="preserve">At fewer than 5 services, the operational cost of a service mesh — learning the CRDs, managing the control plane, debugging sidecar issues, paying the resource overhead — exceeds the benefit. With 3-5 services, you can manage mTLS manually, implement retry logic with a library, and achieve adequate observability with structured logging and simple Prometheus instrumentation. The service mesh is solving problems at scale; you do not yet have scale problems.</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fewer than 5 services. Use a library for retries and circuit breaking, implement mTLS manually with cert-manager, and use structured logging with correlation IDs.</w:t>
      </w:r>
    </w:p>
    <w:p>
      <w:pPr>
        <w:pStyle w:val="Heading3"/>
        <w:spacing w:after="80" w:before="200"/>
      </w:pPr>
      <w:r>
        <w:rPr>
          <w:rFonts w:ascii="Arial" w:cs="Arial" w:eastAsia="Arial" w:hAnsi="Arial"/>
          <w:b/>
          <w:bCs/>
          <w:color w:val="E65100"/>
          <w:sz w:val="24"/>
          <w:szCs w:val="24"/>
        </w:rPr>
        <w:t xml:space="preserve">Skip Signal 2: Single Programming Language Across All Services</w:t>
      </w:r>
    </w:p>
    <w:p>
      <w:pPr>
        <w:spacing w:after="160"/>
      </w:pPr>
      <w:r>
        <w:rPr>
          <w:rFonts w:ascii="Arial" w:cs="Arial" w:eastAsia="Arial" w:hAnsi="Arial"/>
          <w:b w:val="false"/>
          <w:bCs w:val="false"/>
          <w:color w:val="333333"/>
          <w:sz w:val="22"/>
          <w:szCs w:val="22"/>
        </w:rPr>
        <w:t xml:space="preserve">If every microservice in your fleet is written in Java, Resilience4j is battle-tested, well-documented, and provides all the functionality you need: circuit breaking, retries, rate limiting, bulkheads, and distributed tracing via Spring Cloud Sleuth. The main advantage of a service mesh — language-agnostic infrastructure — does not apply when you are already language-homogeneous. The operational complexity of a mesh does not pay off.</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single-language fleet. Use the ecosystem's best library (Resilience4j for Java, go-resilience or go-kit for Go). You already have the library version of the mesh, purpose-built for your language.</w:t>
      </w:r>
    </w:p>
    <w:p>
      <w:pPr>
        <w:pStyle w:val="Heading3"/>
        <w:spacing w:after="80" w:before="200"/>
      </w:pPr>
      <w:r>
        <w:rPr>
          <w:rFonts w:ascii="Arial" w:cs="Arial" w:eastAsia="Arial" w:hAnsi="Arial"/>
          <w:b/>
          <w:bCs/>
          <w:color w:val="E65100"/>
          <w:sz w:val="24"/>
          <w:szCs w:val="24"/>
        </w:rPr>
        <w:t xml:space="preserve">Skip Signal 3: No Dedicated Platform Team</w:t>
      </w:r>
    </w:p>
    <w:p>
      <w:pPr>
        <w:spacing w:after="160"/>
      </w:pPr>
      <w:r>
        <w:rPr>
          <w:rFonts w:ascii="Arial" w:cs="Arial" w:eastAsia="Arial" w:hAnsi="Arial"/>
          <w:b w:val="false"/>
          <w:bCs w:val="false"/>
          <w:color w:val="333333"/>
          <w:sz w:val="22"/>
          <w:szCs w:val="22"/>
        </w:rPr>
        <w:t xml:space="preserve">A service mesh is platform infrastructure. It requires someone to own it, upgrade it, debug it when sidecars crash, tune configuration when circuit breakers trip incorrectly, and understand why a VirtualService is not routing as expected. If this falls to the application development teams as an additional responsibility alongside their feature work, it will be mismanaged. Mesh misconfiguration causes production incidents; without deep mesh expertise available, incidents become prolonged.</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no dedicated SRE or platform engineering team. Adopt a service mesh only after a platform team exists to own it. The operational complexity is non-trivial.</w:t>
      </w:r>
    </w:p>
    <w:p>
      <w:pPr>
        <w:pStyle w:val="Heading3"/>
        <w:spacing w:after="80" w:before="200"/>
      </w:pPr>
      <w:r>
        <w:rPr>
          <w:rFonts w:ascii="Arial" w:cs="Arial" w:eastAsia="Arial" w:hAnsi="Arial"/>
          <w:b/>
          <w:bCs/>
          <w:color w:val="E65100"/>
          <w:sz w:val="24"/>
          <w:szCs w:val="24"/>
        </w:rPr>
        <w:t xml:space="preserve">Skip Signal 4: Non-Kubernetes Infrastructure</w:t>
      </w:r>
    </w:p>
    <w:p>
      <w:pPr>
        <w:spacing w:after="160"/>
      </w:pPr>
      <w:r>
        <w:rPr>
          <w:rFonts w:ascii="Arial" w:cs="Arial" w:eastAsia="Arial" w:hAnsi="Arial"/>
          <w:b w:val="false"/>
          <w:bCs w:val="false"/>
          <w:color w:val="333333"/>
          <w:sz w:val="22"/>
          <w:szCs w:val="22"/>
        </w:rPr>
        <w:t xml:space="preserve">Most service meshes (Istio, Linkerd, Cilium) require Kubernetes. If your services run on VMs, bare metal, or a PaaS that is not Kubernetes, your mesh options are limited to Consul Connect (which supports VMs natively) or AWS App Mesh (which supports ECS and EC2). Forcing a Kubernetes migration just to get a service mesh inverts the cost-benefit ratio dramatically.</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non-Kubernetes environment unless you specifically choose Consul Connect or AWS App Mesh, which support non-Kubernetes workloads. Do not migrate to Kubernetes just to adopt a service mesh.</w:t>
      </w:r>
    </w:p>
    <w:p>
      <w:pPr>
        <w:pStyle w:val="Heading3"/>
        <w:spacing w:after="80" w:before="200"/>
      </w:pPr>
      <w:r>
        <w:rPr>
          <w:rFonts w:ascii="Arial" w:cs="Arial" w:eastAsia="Arial" w:hAnsi="Arial"/>
          <w:b/>
          <w:bCs/>
          <w:color w:val="E65100"/>
          <w:sz w:val="24"/>
          <w:szCs w:val="24"/>
        </w:rPr>
        <w:t xml:space="preserve">Skip Signal 5: Team at Early Kubernetes Maturity</w:t>
      </w:r>
    </w:p>
    <w:p>
      <w:pPr>
        <w:spacing w:after="160"/>
      </w:pPr>
      <w:r>
        <w:rPr>
          <w:rFonts w:ascii="Arial" w:cs="Arial" w:eastAsia="Arial" w:hAnsi="Arial"/>
          <w:b w:val="false"/>
          <w:bCs w:val="false"/>
          <w:color w:val="333333"/>
          <w:sz w:val="22"/>
          <w:szCs w:val="22"/>
        </w:rPr>
        <w:t xml:space="preserve">A service mesh should not be the second thing a team learns about Kubernetes. Teams that are still mastering Deployments, Services, ConfigMaps, RBAC, and Ingress should not simultaneously be learning VirtualServices, DestinationRules, PeerAuthentication, and sidecar injection. Adding a mesh to a team that is not yet Kubernetes-fluent results in two partially-understood systems instead of one well-understood system.</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team has been running Kubernetes for less than 6 months or does not yet feel confident with core Kubernetes concepts. Master K8s first, then add mesh complexity.</w:t>
      </w:r>
    </w:p>
    <w:p>
      <w:pPr>
        <w:pStyle w:val="Heading3"/>
        <w:spacing w:after="80" w:before="200"/>
      </w:pPr>
      <w:r>
        <w:rPr>
          <w:rFonts w:ascii="Arial" w:cs="Arial" w:eastAsia="Arial" w:hAnsi="Arial"/>
          <w:b/>
          <w:bCs/>
          <w:color w:val="E65100"/>
          <w:sz w:val="24"/>
          <w:szCs w:val="24"/>
        </w:rPr>
        <w:t xml:space="preserve">Skip Signal 6: Operational Complexity Exceeds Team Capacity</w:t>
      </w:r>
    </w:p>
    <w:p>
      <w:pPr>
        <w:spacing w:after="160"/>
      </w:pPr>
      <w:r>
        <w:rPr>
          <w:rFonts w:ascii="Arial" w:cs="Arial" w:eastAsia="Arial" w:hAnsi="Arial"/>
          <w:b w:val="false"/>
          <w:bCs w:val="false"/>
          <w:color w:val="333333"/>
          <w:sz w:val="22"/>
          <w:szCs w:val="22"/>
        </w:rPr>
        <w:t xml:space="preserve">Be honest about this. A service mesh introduces new failure modes: sidecar injection failures that prevent pod startup, iptables misconfiguration that black-holes traffic, CRD misconfigurations that cause unexpected routing, control plane outages that freeze sidecar certificate rotation. Each of these requires deep mesh expertise to diagnose and resolve. If the team's capacity to absorb new operational complexity is already at its limit, adding a service mesh is additive risk, not additive value.</w:t>
      </w:r>
    </w:p>
    <w:p>
      <w:pPr>
        <w:pBdr>
          <w:top w:val="single" w:color="C62828" w:sz="2"/>
          <w:bottom w:val="single" w:color="C62828" w:sz="2"/>
          <w:left w:val="single" w:color="C62828" w:sz="20"/>
          <w:right w:val="single" w:color="C62828" w:sz="2"/>
        </w:pBdr>
        <w:shd w:fill="FFEBEE" w:val="clear"/>
        <w:spacing w:after="160"/>
        <w:ind w:left="360" w:right="360"/>
      </w:pPr>
      <w:r>
        <w:rPr>
          <w:rFonts w:ascii="Arial" w:cs="Arial" w:eastAsia="Arial" w:hAnsi="Arial"/>
          <w:b/>
          <w:bCs/>
          <w:color w:val="C62828"/>
          <w:sz w:val="22"/>
          <w:szCs w:val="22"/>
        </w:rPr>
        <w:t xml:space="preserve">SKIP MESH  </w:t>
      </w:r>
      <w:r>
        <w:rPr>
          <w:rFonts w:ascii="Arial" w:cs="Arial" w:eastAsia="Arial" w:hAnsi="Arial"/>
          <w:color w:val="333333"/>
          <w:sz w:val="22"/>
          <w:szCs w:val="22"/>
        </w:rPr>
        <w:t xml:space="preserve">Skip: team is already managing high operational complexity (multiple databases, complex CI/CD, multi-cloud). Sequence simplification before adding new complexity layers.</w:t>
      </w:r>
    </w:p>
    <w:p>
      <w:pPr>
        <w:pStyle w:val="Heading2"/>
        <w:spacing w:after="100" w:before="280"/>
      </w:pPr>
      <w:r>
        <w:rPr>
          <w:rFonts w:ascii="Arial" w:cs="Arial" w:eastAsia="Arial" w:hAnsi="Arial"/>
          <w:b/>
          <w:bCs/>
          <w:color w:val="0D6EAF"/>
          <w:sz w:val="28"/>
          <w:szCs w:val="28"/>
        </w:rPr>
        <w:t xml:space="preserve">4.2 The Honest Cost-Benefit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Library Approach</w:t>
            </w:r>
          </w:p>
        </w:tc>
        <w:tc>
          <w:tcPr>
            <w:tcW w:type="dxa" w:w="38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Service Mesh</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Upfront cost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Hours: add dependency, write config, annotate code</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Weeks: learn mesh, install control plane, configure injection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Runtime cost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extra processes; ~5MB library footprint</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50-100MB per pod sidecar; 1-3% CPU per pod idle overhead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Maintenance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security patches per service</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upgrades (quarterly); sidecar restarts; CRD migrations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Familiar Java/Python/Go stack traces</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tools: istioctl, Envoy admin API, Kiali, xDS debugging</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learning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docs: familiar JVM developer experience</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concepts: new paradigm, steep first month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Breakage mode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bug: contained to service code</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misconfiguration: can affect ALL services in namespace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Value delivered</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 retries for services using the library</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Uniform policies, mTLS, observability for ALL services in cluster</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5. Operational Costs — The Complete Honest Picture</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Every service mesh advocate focuses on the benefits. This section focuses on the costs — specifically and quantitatively — because underestimating them is the primary cause of failed mesh adoptions. An organization that adopts a mesh with clear-eyed awareness of these costs can mitigate them; one that is surprised by them loses confidence in the technology.</w:t>
      </w:r>
    </w:p>
    <w:p>
      <w:pPr>
        <w:pStyle w:val="Heading2"/>
        <w:spacing w:after="100" w:before="280"/>
      </w:pPr>
      <w:r>
        <w:rPr>
          <w:rFonts w:ascii="Arial" w:cs="Arial" w:eastAsia="Arial" w:hAnsi="Arial"/>
          <w:b/>
          <w:bCs/>
          <w:color w:val="0D6EAF"/>
          <w:sz w:val="28"/>
          <w:szCs w:val="28"/>
        </w:rPr>
        <w:t xml:space="preserve">5.1 Resource Overhead — Quantified</w:t>
      </w:r>
    </w:p>
    <w:p>
      <w:pPr>
        <w:spacing w:after="160"/>
      </w:pPr>
      <w:r>
        <w:rPr>
          <w:rFonts w:ascii="Arial" w:cs="Arial" w:eastAsia="Arial" w:hAnsi="Arial"/>
          <w:b w:val="false"/>
          <w:bCs w:val="false"/>
          <w:color w:val="333333"/>
          <w:sz w:val="22"/>
          <w:szCs w:val="22"/>
        </w:rPr>
        <w:t xml:space="preserve">The resource overhead of a service mesh is real and must be budgeted before adoption. These numbers represent typical Istio (Envoy sidecar) resource usage. Linkerd is approximately 5-7x more resource-efficient.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80"/>
        <w:gridCol w:w="1840"/>
        <w:gridCol w:w="304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Resource</w:t>
            </w:r>
          </w:p>
        </w:tc>
        <w:tc>
          <w:tcPr>
            <w:tcW w:type="dxa" w:w="20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Per Pod (Istio/Envoy)</w:t>
            </w:r>
          </w:p>
        </w:tc>
        <w:tc>
          <w:tcPr>
            <w:tcW w:type="dxa" w:w="18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Per Pod (Linkerd)</w:t>
            </w:r>
          </w:p>
        </w:tc>
        <w:tc>
          <w:tcPr>
            <w:tcW w:type="dxa" w:w="30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Per Cluster (Control Plane)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RAM — idle</w:t>
            </w:r>
          </w:p>
        </w:tc>
        <w:tc>
          <w:tcPr>
            <w:tcW w:type="dxa" w:w="2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MB</w:t>
            </w:r>
          </w:p>
        </w:tc>
        <w:tc>
          <w:tcPr>
            <w:tcW w:type="dxa" w:w="1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MB</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~500 MB; Redis (if rate limit): 100 MB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RAM — under load</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100-300 MB</w:t>
            </w:r>
          </w:p>
        </w:tc>
        <w:tc>
          <w:tcPr>
            <w:tcW w:type="dxa" w:w="1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15-30 MB</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500 MB-1 GB (scales with xDS pushes)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 idle</w:t>
            </w:r>
          </w:p>
        </w:tc>
        <w:tc>
          <w:tcPr>
            <w:tcW w:type="dxa" w:w="2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1-3%</w:t>
            </w:r>
          </w:p>
        </w:tc>
        <w:tc>
          <w:tcPr>
            <w:tcW w:type="dxa" w:w="1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~0.5%</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~500m cores (steady 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 under load</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3-10%</w:t>
            </w:r>
          </w:p>
        </w:tc>
        <w:tc>
          <w:tcPr>
            <w:tcW w:type="dxa" w:w="1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1-2 cores (active push load)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overhead</w:t>
            </w:r>
          </w:p>
        </w:tc>
        <w:tc>
          <w:tcPr>
            <w:tcW w:type="dxa" w:w="2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 per hop</w:t>
            </w:r>
          </w:p>
        </w:tc>
        <w:tc>
          <w:tcPr>
            <w:tcW w:type="dxa" w:w="18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&lt;1ms per hop</w:t>
            </w:r>
          </w:p>
        </w:tc>
        <w:tc>
          <w:tcPr>
            <w:tcW w:type="dxa" w:w="3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negligible (not in hot path)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overhead</w:t>
            </w:r>
          </w:p>
        </w:tc>
        <w:tc>
          <w:tcPr>
            <w:tcW w:type="dxa" w:w="2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handshake (~0.1ms on first conn)</w:t>
            </w:r>
          </w:p>
        </w:tc>
        <w:tc>
          <w:tcPr>
            <w:tcW w:type="dxa" w:w="18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handshake</w:t>
            </w:r>
          </w:p>
        </w:tc>
        <w:tc>
          <w:tcPr>
            <w:tcW w:type="dxa" w:w="3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negligible</w:t>
            </w:r>
          </w:p>
        </w:tc>
      </w:tr>
    </w:tbl>
    <w:p>
      <w:pPr>
        <w:spacing w:after="0" w:before="80"/>
      </w:pPr>
      <w: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Cluster cost calculations — Istio example: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50-pod cluster: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Sidecar RAM: 50 pods * 75 MB avg = 3,750 MB = ~3.7 GB</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Control plane: ~500 MB (istiod)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Total extra: ~4.2 GB RAM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If running on 10 x m5.large nodes (8GB RAM each):</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Extra capacity needed: ~1 additional node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200-pod cluster: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Sidecar RAM: 200 pods * 75 MB = 15 GB</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Control plane: ~1 GB (istiod under load)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Total extra: ~16 GB RAM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Kubernetes node cost implications: budget 20-25% more RAM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Linkerd comparison (same 200-pod cluster):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Sidecar RAM: 200 pods * 10 MB = 2 GB</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Total extra: ~2.5 GB RAM</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Linkerd saves ~13.5 GB RAM vs Istio on 200 pods</w:t>
      </w:r>
    </w:p>
    <w:p>
      <w:pPr>
        <w:pStyle w:val="Heading2"/>
        <w:spacing w:after="100" w:before="280"/>
      </w:pPr>
      <w:r>
        <w:rPr>
          <w:rFonts w:ascii="Arial" w:cs="Arial" w:eastAsia="Arial" w:hAnsi="Arial"/>
          <w:b/>
          <w:bCs/>
          <w:color w:val="0D6EAF"/>
          <w:sz w:val="28"/>
          <w:szCs w:val="28"/>
        </w:rPr>
        <w:t xml:space="preserve">5.2 Learning Curve — Phases and Timeline</w:t>
      </w:r>
    </w:p>
    <w:p>
      <w:pPr>
        <w:spacing w:after="160"/>
      </w:pPr>
      <w:r>
        <w:rPr>
          <w:rFonts w:ascii="Arial" w:cs="Arial" w:eastAsia="Arial" w:hAnsi="Arial"/>
          <w:b w:val="false"/>
          <w:bCs w:val="false"/>
          <w:color w:val="333333"/>
          <w:sz w:val="22"/>
          <w:szCs w:val="22"/>
        </w:rPr>
        <w:t xml:space="preserve">The learning curve for a service mesh is substantial and non-linear. It has three distinct phases with different time requirements and failure modes.</w:t>
      </w:r>
    </w:p>
    <w:p>
      <w:pPr>
        <w:pStyle w:val="Heading3"/>
        <w:spacing w:after="80" w:before="200"/>
      </w:pPr>
      <w:r>
        <w:rPr>
          <w:rFonts w:ascii="Arial" w:cs="Arial" w:eastAsia="Arial" w:hAnsi="Arial"/>
          <w:b/>
          <w:bCs/>
          <w:color w:val="E65100"/>
          <w:sz w:val="24"/>
          <w:szCs w:val="24"/>
        </w:rPr>
        <w:t xml:space="preserve">Phase 1: Conceptual Foundation (Weeks 1-2)</w:t>
      </w:r>
    </w:p>
    <w:p>
      <w:pPr>
        <w:spacing w:after="160"/>
      </w:pPr>
      <w:r>
        <w:rPr>
          <w:rFonts w:ascii="Arial" w:cs="Arial" w:eastAsia="Arial" w:hAnsi="Arial"/>
          <w:b w:val="false"/>
          <w:bCs w:val="false"/>
          <w:color w:val="333333"/>
          <w:sz w:val="22"/>
          <w:szCs w:val="22"/>
        </w:rPr>
        <w:t xml:space="preserve">New CRDs to understand: VirtualService, DestinationRule, PeerAuthentication, AuthorizationPolicy, Gateway. New concepts: xDS, SPIFFE, SPIRE, iptables interception, SDS, sidecar injection. New mental model: the difference between the control plane (what you configure) and the data plane (what handles traffic). Most engineers with Kubernetes experience reach basic competence in 2 weeks.</w:t>
      </w:r>
    </w:p>
    <w:p>
      <w:pPr>
        <w:pStyle w:val="Heading3"/>
        <w:spacing w:after="80" w:before="200"/>
      </w:pPr>
      <w:r>
        <w:rPr>
          <w:rFonts w:ascii="Arial" w:cs="Arial" w:eastAsia="Arial" w:hAnsi="Arial"/>
          <w:b/>
          <w:bCs/>
          <w:color w:val="E65100"/>
          <w:sz w:val="24"/>
          <w:szCs w:val="24"/>
        </w:rPr>
        <w:t xml:space="preserve">Phase 2: Operational Competence (Weeks 3-6)</w:t>
      </w:r>
    </w:p>
    <w:p>
      <w:pPr>
        <w:spacing w:after="160"/>
      </w:pPr>
      <w:r>
        <w:rPr>
          <w:rFonts w:ascii="Arial" w:cs="Arial" w:eastAsia="Arial" w:hAnsi="Arial"/>
          <w:b w:val="false"/>
          <w:bCs w:val="false"/>
          <w:color w:val="333333"/>
          <w:sz w:val="22"/>
          <w:szCs w:val="22"/>
        </w:rPr>
        <w:t xml:space="preserve">Learning the debugging tools: istioctl proxy-config, istioctl analyze, Envoy admin API, Kiali service graph, distributed trace analysis in Jaeger. Understanding failure modes: why a VirtualService is not applying, why a pod is not receiving a sidecar, why mTLS is in PERMISSIVE mode when you expect STRICT. This phase requires hands-on experience with real failure scenarios.</w:t>
      </w:r>
    </w:p>
    <w:p>
      <w:pPr>
        <w:pStyle w:val="Heading3"/>
        <w:spacing w:after="80" w:before="200"/>
      </w:pPr>
      <w:r>
        <w:rPr>
          <w:rFonts w:ascii="Arial" w:cs="Arial" w:eastAsia="Arial" w:hAnsi="Arial"/>
          <w:b/>
          <w:bCs/>
          <w:color w:val="E65100"/>
          <w:sz w:val="24"/>
          <w:szCs w:val="24"/>
        </w:rPr>
        <w:t xml:space="preserve">Phase 3: Expert Tuning (Months 2-4)</w:t>
      </w:r>
    </w:p>
    <w:p>
      <w:pPr>
        <w:spacing w:after="160"/>
      </w:pPr>
      <w:r>
        <w:rPr>
          <w:rFonts w:ascii="Arial" w:cs="Arial" w:eastAsia="Arial" w:hAnsi="Arial"/>
          <w:b w:val="false"/>
          <w:bCs w:val="false"/>
          <w:color w:val="333333"/>
          <w:sz w:val="22"/>
          <w:szCs w:val="22"/>
        </w:rPr>
        <w:t xml:space="preserve">Fine-tuning circuit breaker thresholds to match actual traffic patterns. Understanding when outlier detection is too aggressive (ejecting healthy pods). Optimizing xDS push latency for large clusters. Managing mesh upgrades without downtime. Multi-cluster mesh federation. This phase requires a production system with real traffic and a team dedicated to observing and adjusting.</w:t>
      </w:r>
    </w:p>
    <w:p>
      <w:pPr>
        <w:pStyle w:val="Heading2"/>
        <w:spacing w:after="100" w:before="280"/>
      </w:pPr>
      <w:r>
        <w:rPr>
          <w:rFonts w:ascii="Arial" w:cs="Arial" w:eastAsia="Arial" w:hAnsi="Arial"/>
          <w:b/>
          <w:bCs/>
          <w:color w:val="0D6EAF"/>
          <w:sz w:val="28"/>
          <w:szCs w:val="28"/>
        </w:rPr>
        <w:t xml:space="preserve">5.3 Debugging Complexity — New Failure Modes</w:t>
      </w:r>
    </w:p>
    <w:p>
      <w:pPr>
        <w:spacing w:after="160"/>
      </w:pPr>
      <w:r>
        <w:rPr>
          <w:rFonts w:ascii="Arial" w:cs="Arial" w:eastAsia="Arial" w:hAnsi="Arial"/>
          <w:b w:val="false"/>
          <w:bCs w:val="false"/>
          <w:color w:val="333333"/>
          <w:sz w:val="22"/>
          <w:szCs w:val="22"/>
        </w:rPr>
        <w:t xml:space="preserve">A service mesh adds a new process (the sidecar) to every pod in the cluster. This means new failure modes that did not exist before. Teams must be prepared to debug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Failure Mode</w:t>
            </w:r>
          </w:p>
        </w:tc>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Diagnosis</w:t>
            </w:r>
          </w:p>
        </w:tc>
        <w:tc>
          <w:tcPr>
            <w:tcW w:type="dxa" w:w="2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Resolution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injection failure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stuck in Init:0/1 or container fails to start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describe pod, kubectl logs pod -c istio-init</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webhook, namespace label, sidecar resource limits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misconfiguration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traffic black-holed; service unreachable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exec pod -- ss -ntlp, curl localhost:15000/config_dump</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istio-init logs, verify iptables NAT rules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not applying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not routing as configured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routes pod</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subset names match DestinationRule, gateways field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Certificate rotation failure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handshake errors after 24 hours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secret pod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istiod connectivity, SDS errors in Envoy logs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 outage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pods cannot get certs; config changes do not apply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get pods -n istio-system</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Restart istiod; existing traffic continues on old config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 too aggressive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Healthy pods ejected, 503s despite healthy endpoints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envoy_cluster_outlier_detection_ejections_active metric</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minHealthPercent, decrease consecutiveErrors threshold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version mismatch</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Compatibility warnings; features not working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proxy-status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Rolling restart of pods after mesh upgrade</w:t>
            </w:r>
          </w:p>
        </w:tc>
      </w:tr>
    </w:tbl>
    <w:p>
      <w:pPr>
        <w:spacing w:after="0" w:before="80"/>
      </w:pPr>
      <w:r>
        <w:t xml:space="preserve"/>
      </w:r>
    </w:p>
    <w:p>
      <w:pPr>
        <w:pStyle w:val="Heading2"/>
        <w:spacing w:after="100" w:before="280"/>
      </w:pPr>
      <w:r>
        <w:rPr>
          <w:rFonts w:ascii="Arial" w:cs="Arial" w:eastAsia="Arial" w:hAnsi="Arial"/>
          <w:b/>
          <w:bCs/>
          <w:color w:val="0D6EAF"/>
          <w:sz w:val="28"/>
          <w:szCs w:val="28"/>
        </w:rPr>
        <w:t xml:space="preserve">5.4 Upgrade Complexity</w:t>
      </w:r>
    </w:p>
    <w:p>
      <w:pPr>
        <w:spacing w:after="160"/>
      </w:pPr>
      <w:r>
        <w:rPr>
          <w:rFonts w:ascii="Arial" w:cs="Arial" w:eastAsia="Arial" w:hAnsi="Arial"/>
          <w:b w:val="false"/>
          <w:bCs w:val="false"/>
          <w:color w:val="333333"/>
          <w:sz w:val="22"/>
          <w:szCs w:val="22"/>
        </w:rPr>
        <w:t xml:space="preserve">A service mesh control plane requires periodic upgrades (typically every 2-3 months for Istio to stay within the supported version window). Each upgrade involves: upgrading the control plane, verifying compatibility with existing CRDs, rolling restart of all sidecar proxies across all namespaces, and validating that traffic behavior is unchanged. In a 500-pod cluster, this is a significant operation requiring careful planning and rollback procedures.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Istio in-place upgrade (istioctl):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upgrade --set profile=default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Canary upgrade (recommended for production):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1. Install new istiod alongside existing</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install --set revision=1-21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2. Migrate namespaces one at a time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label namespace production istio.io/rev=1-21 --overwrite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rollout restart deploy -n production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3. Verify no errors, then migrate remaining namespaces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proxy-status -n production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4. Remove old control plane after all namespaces migrated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uninstall --revision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Upgrade timeline for 500-pod cluster:</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Pre-upgrade validation: 30 min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Control plane upgrade: 10 min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Per-namespace migration: 20 min per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- 20 namespaces × 20 min = 400 min = ~7 hours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Post-upgrade validation: 1 hour</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Total: 8-10 hours of careful engineering work per upgrade cycle</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Istio's supported version window is typically N and N-1 minor versions. Running an out-of-support istiod version means no security patches and potentially no support for critical bugs. Quarterly upgrade cycles are not optional — they must be part of the platform team's regular workload.</w:t>
      </w:r>
    </w:p>
    <w:p>
      <w:r>
        <w:br w:type="page"/>
      </w:r>
    </w:p>
    <w:p>
      <w:pPr>
        <w:pStyle w:val="Heading1"/>
        <w:spacing w:after="120" w:before="360"/>
      </w:pPr>
      <w:r>
        <w:rPr>
          <w:rFonts w:ascii="Arial" w:cs="Arial" w:eastAsia="Arial" w:hAnsi="Arial"/>
          <w:b/>
          <w:bCs/>
          <w:color w:val="0D1F35"/>
          <w:sz w:val="40"/>
          <w:szCs w:val="40"/>
        </w:rPr>
        <w:t xml:space="preserve">6. Progressive Adoption Strategy</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The most successful service mesh adoptions follow a staged approach: each phase delivers concrete value before adding complexity, provides time to build team expertise, and creates natural stopping points if organizational circumstances change. Attempting to adopt all service mesh features simultaneously — mTLS, traffic management, and rate limiting on day one — overwhelms teams and produces a partially-configured mess.</w:t>
      </w:r>
    </w:p>
    <w:p>
      <w:pPr>
        <w:spacing w:after="160"/>
      </w:pPr>
      <w:r>
        <w:rPr>
          <w:rFonts w:ascii="Arial" w:cs="Arial" w:eastAsia="Arial" w:hAnsi="Arial"/>
          <w:b w:val="false"/>
          <w:bCs w:val="false"/>
          <w:color w:val="333333"/>
          <w:sz w:val="22"/>
          <w:szCs w:val="22"/>
        </w:rPr>
        <w:t xml:space="preserve">The recommended progression is: Observability first, then Security (mTLS), then Traffic Management. This order is deliberate: each phase builds the confidence and expertise needed for the next.</w:t>
      </w:r>
    </w:p>
    <w:p>
      <w:pPr>
        <w:pStyle w:val="Heading2"/>
        <w:spacing w:after="100" w:before="280"/>
      </w:pPr>
      <w:r>
        <w:rPr>
          <w:rFonts w:ascii="Arial" w:cs="Arial" w:eastAsia="Arial" w:hAnsi="Arial"/>
          <w:b/>
          <w:bCs/>
          <w:color w:val="0D6EAF"/>
          <w:sz w:val="28"/>
          <w:szCs w:val="28"/>
        </w:rPr>
        <w:t xml:space="preserve">6.1 The Three-Phase Adoption Roadmap</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PROGRESSIVE ADOPTION TIMELINE: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Month 1-2: Phase 1 — Observability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Goal: Understand what is happening in the system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Install mesh in PERMISSIVE mode (no traffic impact)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Enable distributed tracing, access logs, golden signal metrics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Deploy Kiali + Grafana dashboards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Value: Full observability with zero code changes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Risk: Low (PERMISSIVE mode = mesh is transparent)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Month 3-4: Phase 2 — Security (mTLS)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Goal: Encrypt and authenticate all internal traffic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Switch namespaces to STRICT mTLS one at a time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Add AuthorizationPolicy rules for critical services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Value: Zero-trust security, compliance posture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Risk: Medium (STRICT mode rejects unmeshed callers)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Month 5+: Phase 3 — Traffic Management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Goal: Enable safe deployments and resilience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Add VirtualService retries, timeouts per critical route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Implement first canary deployments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Add circuit breaking via DestinationRule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Value: Deployment safety, resilience</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Risk: Medium (misconfig can affect routing)</w:t>
      </w:r>
    </w:p>
    <w:p>
      <w:pPr>
        <w:pBdr>
          <w:top w:val="single" w:color="00695C" w:sz="4"/>
          <w:bottom w:val="single" w:color="00695C" w:sz="4"/>
          <w:left w:val="single" w:color="00695C" w:sz="24"/>
          <w:right w:val="single" w:color="00695C" w:sz="4"/>
        </w:pBdr>
        <w:shd w:fill="00695C" w:val="clear"/>
        <w:spacing w:after="80" w:before="200"/>
        <w:ind w:left="240" w:right="240"/>
      </w:pPr>
      <w:r>
        <w:rPr>
          <w:rFonts w:ascii="Arial" w:cs="Arial" w:eastAsia="Arial" w:hAnsi="Arial"/>
          <w:b/>
          <w:bCs/>
          <w:color w:val="FFFFFF"/>
          <w:sz w:val="30"/>
          <w:szCs w:val="30"/>
        </w:rPr>
        <w:t xml:space="preserve">Phase 1: Observability</w:t>
      </w:r>
    </w:p>
    <w:p>
      <w:pPr>
        <w:shd w:fill="E0F2F1" w:val="clear"/>
        <w:spacing w:after="160"/>
        <w:ind w:left="240" w:right="240"/>
      </w:pPr>
      <w:r>
        <w:rPr>
          <w:rFonts w:ascii="Arial" w:cs="Arial" w:eastAsia="Arial" w:hAnsi="Arial"/>
          <w:color w:val="00695C"/>
          <w:sz w:val="22"/>
          <w:szCs w:val="22"/>
        </w:rPr>
        <w:t xml:space="preserve">Install mesh, enable tracing and metrics — zero traffic impact, immediate value</w:t>
      </w:r>
    </w:p>
    <w:p>
      <w:pPr>
        <w:pStyle w:val="Heading3"/>
        <w:spacing w:after="80" w:before="200"/>
      </w:pPr>
      <w:r>
        <w:rPr>
          <w:rFonts w:ascii="Arial" w:cs="Arial" w:eastAsia="Arial" w:hAnsi="Arial"/>
          <w:b/>
          <w:bCs/>
          <w:color w:val="E65100"/>
          <w:sz w:val="24"/>
          <w:szCs w:val="24"/>
        </w:rPr>
        <w:t xml:space="preserve">Why Observability First?</w:t>
      </w:r>
    </w:p>
    <w:p>
      <w:pPr>
        <w:spacing w:after="160"/>
      </w:pPr>
      <w:r>
        <w:rPr>
          <w:rFonts w:ascii="Arial" w:cs="Arial" w:eastAsia="Arial" w:hAnsi="Arial"/>
          <w:b w:val="false"/>
          <w:bCs w:val="false"/>
          <w:color w:val="333333"/>
          <w:sz w:val="22"/>
          <w:szCs w:val="22"/>
        </w:rPr>
        <w:t xml:space="preserve">Installing the mesh in PERMISSIVE mode means it can observe and report on all traffic without enforcing any policies. This gives the team time to learn the mesh's operational model, understand the CRDs, and become comfortable with the debugging tools — all while the mesh is completely non-disruptive to production traffic. If something goes wrong during Phase 1, removing the mesh has zero impact on service behavior.</w:t>
      </w:r>
    </w:p>
    <w:p>
      <w:pPr>
        <w:spacing w:after="160"/>
      </w:pPr>
      <w:r>
        <w:rPr>
          <w:rFonts w:ascii="Arial" w:cs="Arial" w:eastAsia="Arial" w:hAnsi="Arial"/>
          <w:b w:val="false"/>
          <w:bCs w:val="false"/>
          <w:color w:val="333333"/>
          <w:sz w:val="22"/>
          <w:szCs w:val="22"/>
        </w:rPr>
        <w:t xml:space="preserve">Phase 1 also delivers immediate, tangible value to the development team: for the first time, they can see exactly which services call which other services, with what latency, error rate, and throughput — a live service dependency graph with metrics.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1 installation (Istio):</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1: Install Istio in default profile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install --set profile=default -y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2: Enable injection ONLY for one non-critical namespace first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label namespace staging istio-injection=enabled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3: Restart pods to inject sidecars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rollout restart deploy -n staging</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4: Verify injection succeeded (no traffic impact yet)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get pods -n staging</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All pods should show 2/2 containers (app + istio-proxy)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5: Confirm PERMISSIVE mode (mesh-wide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get peerauthentication -A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Should be empty — no PeerAuthentication = PERMISSIVE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6: Install observability stack</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apply -f https://raw.githubusercontent.com/istio/istio/release-1.20/samples/addons/prometheus.yaml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apply -f https://raw.githubusercontent.com/istio/istio/release-1.20/samples/addons/grafana.yaml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apply -f https://raw.githubusercontent.com/istio/istio/release-1.20/samples/addons/jaeger.yaml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apply -f https://raw.githubusercontent.com/istio/istio/release-1.20/samples/addons/kiali.yaml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1 success criteria: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Kiali shows live service graph with correct edges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Grafana shows latency, error rate, RPS per 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Jaeger shows distributed traces for multi-service requests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Zero incidents caused by mesh installation</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 Team comfortable reading istioctl proxy-config output</w:t>
      </w:r>
    </w:p>
    <w:p>
      <w:pPr>
        <w:pBdr>
          <w:top w:val="single" w:color="00695C" w:sz="4"/>
          <w:bottom w:val="single" w:color="00695C" w:sz="4"/>
          <w:left w:val="single" w:color="00695C" w:sz="24"/>
          <w:right w:val="single" w:color="00695C" w:sz="4"/>
        </w:pBdr>
        <w:shd w:fill="00695C" w:val="clear"/>
        <w:spacing w:after="80" w:before="200"/>
        <w:ind w:left="240" w:right="240"/>
      </w:pPr>
      <w:r>
        <w:rPr>
          <w:rFonts w:ascii="Arial" w:cs="Arial" w:eastAsia="Arial" w:hAnsi="Arial"/>
          <w:b/>
          <w:bCs/>
          <w:color w:val="FFFFFF"/>
          <w:sz w:val="30"/>
          <w:szCs w:val="30"/>
        </w:rPr>
        <w:t xml:space="preserve">Phase 2: mTLS + Authorization</w:t>
      </w:r>
    </w:p>
    <w:p>
      <w:pPr>
        <w:shd w:fill="E0F2F1" w:val="clear"/>
        <w:spacing w:after="160"/>
        <w:ind w:left="240" w:right="240"/>
      </w:pPr>
      <w:r>
        <w:rPr>
          <w:rFonts w:ascii="Arial" w:cs="Arial" w:eastAsia="Arial" w:hAnsi="Arial"/>
          <w:color w:val="00695C"/>
          <w:sz w:val="22"/>
          <w:szCs w:val="22"/>
        </w:rPr>
        <w:t xml:space="preserve">Enable STRICT mTLS namespace by namespace, add access control policies</w:t>
      </w:r>
    </w:p>
    <w:p>
      <w:pPr>
        <w:pStyle w:val="Heading3"/>
        <w:spacing w:after="80" w:before="200"/>
      </w:pPr>
      <w:r>
        <w:rPr>
          <w:rFonts w:ascii="Arial" w:cs="Arial" w:eastAsia="Arial" w:hAnsi="Arial"/>
          <w:b/>
          <w:bCs/>
          <w:color w:val="E65100"/>
          <w:sz w:val="24"/>
          <w:szCs w:val="24"/>
        </w:rPr>
        <w:t xml:space="preserve">The Namespace-by-Namespace Strategy</w:t>
      </w:r>
    </w:p>
    <w:p>
      <w:pPr>
        <w:spacing w:after="160"/>
      </w:pPr>
      <w:r>
        <w:rPr>
          <w:rFonts w:ascii="Arial" w:cs="Arial" w:eastAsia="Arial" w:hAnsi="Arial"/>
          <w:b w:val="false"/>
          <w:bCs w:val="false"/>
          <w:color w:val="333333"/>
          <w:sz w:val="22"/>
          <w:szCs w:val="22"/>
        </w:rPr>
        <w:t xml:space="preserve">Switching to STRICT mTLS must be done one namespace at a time. A namespace can only be switched to STRICT once all callers of services in that namespace have sidecars injected. If any caller is unmeshed (no sidecar), switching to STRICT will immediately break that caller's requests.</w:t>
      </w:r>
    </w:p>
    <w:p>
      <w:pPr>
        <w:spacing w:after="160"/>
      </w:pPr>
      <w:r>
        <w:rPr>
          <w:rFonts w:ascii="Arial" w:cs="Arial" w:eastAsia="Arial" w:hAnsi="Arial"/>
          <w:b w:val="false"/>
          <w:bCs w:val="false"/>
          <w:color w:val="333333"/>
          <w:sz w:val="22"/>
          <w:szCs w:val="22"/>
        </w:rPr>
        <w:t xml:space="preserve">The correct sequence is: identify all callers, ensure they all have sidecars, switch the namespace, verify no errors, then move to the next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2 implementation (Istio):</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1: Identify all callers of services in target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istioctl x authz check -n payments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Or check Kiali for incoming edges to the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2: Ensure all callers have sidecars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get pods -n orders -o jsonpath='{range .items[*]}{.metadata.name}{" "}{.spec.containers[*].name}{"\n"}{end}'</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Check that each pod shows 'istio-proxy' in containers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3: Apply STRICT mTLS to target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PeerAuthentication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 default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mtls: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mode: STRICT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4: Verify — watch for errors in the next 30 minutes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kubectl get events -n payments --field-selector type=Warning</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Check error rate in Kiali/Grafana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Check access logs for TLS errors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5: Add AuthorizationPolicy (deny-all then allow specific)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First: deny all to payments namespace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AuthorizationPolicy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 deny-all</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Then: allow only known callers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AuthorizationPolicy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 allow-orders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selector: { matchLabels: { app: payment-service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action: ALLOW</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from:</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source: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principals: ['cluster.local/ns/orders/sa/order-service']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to:</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operation: { methods: [POST], paths: ['/pay']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2 success criteria: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All production namespaces in STRICT mTLS mode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Kiali shows lock icons on all service-to-service edges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AuthorizationPolicy covers all critical services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Zero unintended 403/401 errors from misconfigured policies</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 Team can pass a compliance mTLS audit with mesh config evidence</w:t>
      </w:r>
    </w:p>
    <w:p>
      <w:pPr>
        <w:pBdr>
          <w:top w:val="single" w:color="00695C" w:sz="4"/>
          <w:bottom w:val="single" w:color="00695C" w:sz="4"/>
          <w:left w:val="single" w:color="00695C" w:sz="24"/>
          <w:right w:val="single" w:color="00695C" w:sz="4"/>
        </w:pBdr>
        <w:shd w:fill="00695C" w:val="clear"/>
        <w:spacing w:after="80" w:before="200"/>
        <w:ind w:left="240" w:right="240"/>
      </w:pPr>
      <w:r>
        <w:rPr>
          <w:rFonts w:ascii="Arial" w:cs="Arial" w:eastAsia="Arial" w:hAnsi="Arial"/>
          <w:b/>
          <w:bCs/>
          <w:color w:val="FFFFFF"/>
          <w:sz w:val="30"/>
          <w:szCs w:val="30"/>
        </w:rPr>
        <w:t xml:space="preserve">Phase 3: Traffic Management</w:t>
      </w:r>
    </w:p>
    <w:p>
      <w:pPr>
        <w:shd w:fill="E0F2F1" w:val="clear"/>
        <w:spacing w:after="160"/>
        <w:ind w:left="240" w:right="240"/>
      </w:pPr>
      <w:r>
        <w:rPr>
          <w:rFonts w:ascii="Arial" w:cs="Arial" w:eastAsia="Arial" w:hAnsi="Arial"/>
          <w:color w:val="00695C"/>
          <w:sz w:val="22"/>
          <w:szCs w:val="22"/>
        </w:rPr>
        <w:t xml:space="preserve">Add retries, timeouts, circuit breaking, canary deployments</w:t>
      </w:r>
    </w:p>
    <w:p>
      <w:pPr>
        <w:pStyle w:val="Heading3"/>
        <w:spacing w:after="80" w:before="200"/>
      </w:pPr>
      <w:r>
        <w:rPr>
          <w:rFonts w:ascii="Arial" w:cs="Arial" w:eastAsia="Arial" w:hAnsi="Arial"/>
          <w:b/>
          <w:bCs/>
          <w:color w:val="E65100"/>
          <w:sz w:val="24"/>
          <w:szCs w:val="24"/>
        </w:rPr>
        <w:t xml:space="preserve">Incremental Feature Addition</w:t>
      </w:r>
    </w:p>
    <w:p>
      <w:pPr>
        <w:spacing w:after="160"/>
      </w:pPr>
      <w:r>
        <w:rPr>
          <w:rFonts w:ascii="Arial" w:cs="Arial" w:eastAsia="Arial" w:hAnsi="Arial"/>
          <w:b w:val="false"/>
          <w:bCs w:val="false"/>
          <w:color w:val="333333"/>
          <w:sz w:val="22"/>
          <w:szCs w:val="22"/>
        </w:rPr>
        <w:t xml:space="preserve">Phase 3 is not a single deployment — it is a series of incremental improvements. Start with the highest-value, lowest-risk configurations: retries and timeouts for the most critical service dependencies. Then add circuit breaking. Then use canary deployments for the first real-world test of weighted traffic splitting.</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3 — Sequence of configurations: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1: Add timeouts to critical routes (no retry yet)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Identify: which services have no timeout and hang indefinitely?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 { name: payment-vs, namespace: payments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hosts: [payment-service]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timeout: 5s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route: [{ destination: { host: payment-service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2: Add retries to idempotent routes after observing failure patterns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timeout: 10s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attempts: 3</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perTryTimeout: 2s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retryOn: gateway-error,connect-failure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route: [{ destination: { host: payment-service }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3: Add circuit breaking based on observed error patterns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kind: DestinationRule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metadata: { name: payment-dr, namespace: payments }</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host: payment-service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outlierDetection: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consecutive5xxErrors: 5</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interval: 10s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baseEjectionTime: 30s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maxEjectionPercent: 50</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Step 4: First canary deployment (5% to new version)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Deploy v2 pods, apply VirtualService with 5/95 weights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Monitor for 30 minutes. If clean: increase to 25/75.</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Phase 3 success criteria:</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All critical service paths have explicit timeouts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P99 tail latency reduced due to retry elimination of transient failures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First successful canary deployment completed with zero user impact</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 Circuit breaker triggered at least once in staging, functioning correctly</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 Team confident in VirtualService configuration and debugging</w:t>
      </w:r>
    </w:p>
    <w:p>
      <w:pPr>
        <w:pStyle w:val="Heading2"/>
        <w:spacing w:after="100" w:before="280"/>
      </w:pPr>
      <w:r>
        <w:rPr>
          <w:rFonts w:ascii="Arial" w:cs="Arial" w:eastAsia="Arial" w:hAnsi="Arial"/>
          <w:b/>
          <w:bCs/>
          <w:color w:val="0D6EAF"/>
          <w:sz w:val="28"/>
          <w:szCs w:val="28"/>
        </w:rPr>
        <w:t xml:space="preserve">6.2 Rollback Strategy at Each Phase</w:t>
      </w:r>
    </w:p>
    <w:p>
      <w:pPr>
        <w:spacing w:after="160"/>
      </w:pPr>
      <w:r>
        <w:rPr>
          <w:rFonts w:ascii="Arial" w:cs="Arial" w:eastAsia="Arial" w:hAnsi="Arial"/>
          <w:b w:val="false"/>
          <w:bCs w:val="false"/>
          <w:color w:val="333333"/>
          <w:sz w:val="22"/>
          <w:szCs w:val="22"/>
        </w:rPr>
        <w:t xml:space="preserve">Every phase must have a tested rollback procedure. The mesh is infrastructure, and infrastructure changes must be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What Could Go Wrong</w:t>
            </w:r>
          </w:p>
        </w:tc>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Rollback Procedure</w:t>
            </w:r>
          </w:p>
        </w:tc>
        <w:tc>
          <w:tcPr>
            <w:tcW w:type="dxa" w:w="1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Rollback Time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Observability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injection breaks pod startup (resource limits, webhook issues)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label namespace staging istio-injection=disabled; kubectl rollout restart</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 minutes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mTLS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STRICT mode breaks caller that was missed during audit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apply PeerAuthentication with mode: PERMISSIVE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2 minutes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2: AuthorizationPolicy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Policy blocks legitimate caller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delete AuthorizationPolicy deny-all -n payments</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2 minutes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VirtualService (timeout)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too aggressive; breaking long-running requests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delete VirtualService payment-vs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 minute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Canary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v2 version has higher error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VirtualService weights back to 100/0 for v1</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 minute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3: Circuit breaker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 too sensitive; ejecting healthy pods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outlierDetection from DestinationRule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 minute</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7. Decision Framework — Should Your Team Adopt a Service Mesh?</w:t>
      </w:r>
    </w:p>
    <w:p>
      <w:pPr>
        <w:pBdr>
          <w:bottom w:val="single" w:color="0D6EAF" w:sz="8" w:space="1"/>
        </w:pBdr>
        <w:spacing w:after="160"/>
      </w:pPr>
    </w:p>
    <w:p>
      <w:pPr>
        <w:spacing w:after="160"/>
      </w:pPr>
      <w:r>
        <w:rPr>
          <w:rFonts w:ascii="Arial" w:cs="Arial" w:eastAsia="Arial" w:hAnsi="Arial"/>
          <w:b w:val="false"/>
          <w:bCs w:val="false"/>
          <w:color w:val="333333"/>
          <w:sz w:val="22"/>
          <w:szCs w:val="22"/>
        </w:rPr>
        <w:t xml:space="preserve">This section provides a practical, scored assessment framework to move beyond gut feeling and into evidence-based decision making.</w:t>
      </w:r>
    </w:p>
    <w:p>
      <w:pPr>
        <w:pStyle w:val="Heading2"/>
        <w:spacing w:after="100" w:before="280"/>
      </w:pPr>
      <w:r>
        <w:rPr>
          <w:rFonts w:ascii="Arial" w:cs="Arial" w:eastAsia="Arial" w:hAnsi="Arial"/>
          <w:b/>
          <w:bCs/>
          <w:color w:val="0D6EAF"/>
          <w:sz w:val="28"/>
          <w:szCs w:val="28"/>
        </w:rPr>
        <w:t xml:space="preserve">7.1 The Service Mesh Readiness Scorecard</w:t>
      </w:r>
    </w:p>
    <w:p>
      <w:pPr>
        <w:spacing w:after="160"/>
      </w:pPr>
      <w:r>
        <w:rPr>
          <w:rFonts w:ascii="Arial" w:cs="Arial" w:eastAsia="Arial" w:hAnsi="Arial"/>
          <w:b w:val="false"/>
          <w:bCs w:val="false"/>
          <w:color w:val="333333"/>
          <w:sz w:val="22"/>
          <w:szCs w:val="22"/>
        </w:rPr>
        <w:t xml:space="preserve">For each factor below, assign a score from 0-3 based on your current situation. Score 0 for 'does not apply / have the opposite situation', 1 for 'partially applies', 2 for 'clearly applies', 3 for 'strongly applies / critical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rPr>
          <w:tblHeader/>
        </w:trPr>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Factor</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0 Points</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1 Point</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2 Points</w:t>
            </w:r>
          </w:p>
        </w:tc>
        <w:tc>
          <w:tcPr>
            <w:tcW w:type="dxa" w:w="22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3 Points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count</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 services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6-10 services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11-25 services</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diversity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language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languages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3-4 languages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languages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requirement</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compliance need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Nice to have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requires</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Regulatory mandate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management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canary need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canary (2 K8s services)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Regular canary deployments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multi-version routing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 gap</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observability now</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gaps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Significant tracing gaps</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Blind to internal failures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dedicated infra team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Part-time infra focus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Dedicated SRE team</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platform engineering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maturity</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&lt;3 months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3-12 months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 years</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 years, confident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budget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headroom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(10-20%)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(20-40%)</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Ample (40%+ headroom)</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Zero-trust security</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security requirement</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 hardening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Zero-trust desired</w:t>
            </w:r>
          </w:p>
        </w:tc>
        <w:tc>
          <w:tcPr>
            <w:tcW w:type="dxa" w:w="2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Zero-trust required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learning capacity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capacity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 week</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 weeks</w:t>
            </w:r>
          </w:p>
        </w:tc>
        <w:tc>
          <w:tcPr>
            <w:tcW w:type="dxa" w:w="2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2-4+ weeks available</w:t>
            </w:r>
          </w:p>
        </w:tc>
      </w:tr>
    </w:tbl>
    <w:p>
      <w:pPr>
        <w:spacing w:after="0" w:before="80"/>
      </w:pPr>
      <w: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Scoring interpretation: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0-10:  DO NOT ADOPT — costs far exceed benefits at current state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Consider: structured logging + library-based resilience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11-16: DEFER ADOPTION — monitor signals, build readiness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Consider: Linkerd (lower overhead) in staging environment only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Focus on: building platform team, increasing K8s maturity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17-22: CONDITIONAL ADOPTION — proceed if 3+ strong signals (3-point scores)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Consider: Phase 1 (observability only) immediately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Pause before Phase 2 to assess team capacity</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23-28: ADOPT — clear value, sufficient readiness</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Proceed with full 3-phase adoption plan</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Choose: Istio (full features), Linkerd (simpler), or Cilium (performance)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29-30: STRONG ADOPT — service mesh is essential infrastructure</w:t>
      </w:r>
    </w:p>
    <w:p>
      <w:pPr>
        <w:pBdr>
          <w:left w:val="single" w:color="0D6EAF" w:sz="14"/>
        </w:pBdr>
        <w:shd w:fill="F5F5F5" w:val="clear"/>
        <w:spacing w:after="36"/>
        <w:ind w:left="360"/>
      </w:pPr>
      <w:r>
        <w:rPr>
          <w:rFonts w:ascii="Courier New" w:cs="Courier New" w:eastAsia="Courier New" w:hAnsi="Courier New"/>
          <w:color w:val="1A1A1A"/>
          <w:sz w:val="18"/>
          <w:szCs w:val="18"/>
        </w:rPr>
        <w:t xml:space="preserve">       Risk of NOT adopting likely exceeds risk of adoption</w:t>
      </w:r>
    </w:p>
    <w:p>
      <w:pPr>
        <w:pBdr>
          <w:left w:val="single" w:color="0D6EAF" w:sz="14"/>
        </w:pBdr>
        <w:shd w:fill="F5F5F5" w:val="clear"/>
        <w:spacing w:after="160"/>
        <w:ind w:left="360"/>
      </w:pPr>
      <w:r>
        <w:rPr>
          <w:rFonts w:ascii="Courier New" w:cs="Courier New" w:eastAsia="Courier New" w:hAnsi="Courier New"/>
          <w:color w:val="1A1A1A"/>
          <w:sz w:val="18"/>
          <w:szCs w:val="18"/>
        </w:rPr>
        <w:t xml:space="preserve">       Consider whether Ambient Mode (Istio) reduces sidecar overhead</w:t>
      </w:r>
    </w:p>
    <w:p>
      <w:pPr>
        <w:pStyle w:val="Heading2"/>
        <w:spacing w:after="100" w:before="280"/>
      </w:pPr>
      <w:r>
        <w:rPr>
          <w:rFonts w:ascii="Arial" w:cs="Arial" w:eastAsia="Arial" w:hAnsi="Arial"/>
          <w:b/>
          <w:bCs/>
          <w:color w:val="0D6EAF"/>
          <w:sz w:val="28"/>
          <w:szCs w:val="28"/>
        </w:rPr>
        <w:t xml:space="preserve">7.2 Pre-Adoption Checklist</w:t>
      </w:r>
    </w:p>
    <w:p>
      <w:pPr>
        <w:spacing w:after="160"/>
      </w:pPr>
      <w:r>
        <w:rPr>
          <w:rFonts w:ascii="Arial" w:cs="Arial" w:eastAsia="Arial" w:hAnsi="Arial"/>
          <w:b w:val="false"/>
          <w:bCs w:val="false"/>
          <w:color w:val="333333"/>
          <w:sz w:val="22"/>
          <w:szCs w:val="22"/>
        </w:rPr>
        <w:t xml:space="preserve">Before starting Phase 1 of any adoption, verify these items:</w:t>
      </w:r>
    </w:p>
    <w:p>
      <w:pPr>
        <w:pStyle w:val="ListParagraph"/>
        <w:numPr>
          <w:ilvl w:val="0"/>
          <w:numId w:val="3"/>
        </w:numPr>
        <w:spacing w:after="90"/>
      </w:pPr>
      <w:r>
        <w:rPr>
          <w:rFonts w:ascii="Arial" w:cs="Arial" w:eastAsia="Arial" w:hAnsi="Arial"/>
          <w:color w:val="333333"/>
          <w:sz w:val="22"/>
          <w:szCs w:val="22"/>
        </w:rPr>
        <w:t xml:space="preserve">Kubernetes version &gt;= 1.24 (for Istio 1.18+, Linkerd 2.12+)</w:t>
      </w:r>
    </w:p>
    <w:p>
      <w:pPr>
        <w:pStyle w:val="ListParagraph"/>
        <w:numPr>
          <w:ilvl w:val="0"/>
          <w:numId w:val="3"/>
        </w:numPr>
        <w:spacing w:after="90"/>
      </w:pPr>
      <w:r>
        <w:rPr>
          <w:rFonts w:ascii="Arial" w:cs="Arial" w:eastAsia="Arial" w:hAnsi="Arial"/>
          <w:color w:val="333333"/>
          <w:sz w:val="22"/>
          <w:szCs w:val="22"/>
        </w:rPr>
        <w:t xml:space="preserve">At least one platform engineer dedicated to the mesh adoption project</w:t>
      </w:r>
    </w:p>
    <w:p>
      <w:pPr>
        <w:pStyle w:val="ListParagraph"/>
        <w:numPr>
          <w:ilvl w:val="0"/>
          <w:numId w:val="3"/>
        </w:numPr>
        <w:spacing w:after="90"/>
      </w:pPr>
      <w:r>
        <w:rPr>
          <w:rFonts w:ascii="Arial" w:cs="Arial" w:eastAsia="Arial" w:hAnsi="Arial"/>
          <w:color w:val="333333"/>
          <w:sz w:val="22"/>
          <w:szCs w:val="22"/>
        </w:rPr>
        <w:t xml:space="preserve">Cluster has 20-25% unused RAM capacity for sidecar overhead</w:t>
      </w:r>
    </w:p>
    <w:p>
      <w:pPr>
        <w:pStyle w:val="ListParagraph"/>
        <w:numPr>
          <w:ilvl w:val="0"/>
          <w:numId w:val="3"/>
        </w:numPr>
        <w:spacing w:after="90"/>
      </w:pPr>
      <w:r>
        <w:rPr>
          <w:rFonts w:ascii="Arial" w:cs="Arial" w:eastAsia="Arial" w:hAnsi="Arial"/>
          <w:color w:val="333333"/>
          <w:sz w:val="22"/>
          <w:szCs w:val="22"/>
        </w:rPr>
        <w:t xml:space="preserve">Prometheus + Grafana infrastructure already in place or planned</w:t>
      </w:r>
    </w:p>
    <w:p>
      <w:pPr>
        <w:pStyle w:val="ListParagraph"/>
        <w:numPr>
          <w:ilvl w:val="0"/>
          <w:numId w:val="3"/>
        </w:numPr>
        <w:spacing w:after="90"/>
      </w:pPr>
      <w:r>
        <w:rPr>
          <w:rFonts w:ascii="Arial" w:cs="Arial" w:eastAsia="Arial" w:hAnsi="Arial"/>
          <w:color w:val="333333"/>
          <w:sz w:val="22"/>
          <w:szCs w:val="22"/>
        </w:rPr>
        <w:t xml:space="preserve">Team has read: Istio Architecture docs, SPIFFE specification, Envoy xDS overview</w:t>
      </w:r>
    </w:p>
    <w:p>
      <w:pPr>
        <w:pStyle w:val="ListParagraph"/>
        <w:numPr>
          <w:ilvl w:val="0"/>
          <w:numId w:val="3"/>
        </w:numPr>
        <w:spacing w:after="90"/>
      </w:pPr>
      <w:r>
        <w:rPr>
          <w:rFonts w:ascii="Arial" w:cs="Arial" w:eastAsia="Arial" w:hAnsi="Arial"/>
          <w:color w:val="333333"/>
          <w:sz w:val="22"/>
          <w:szCs w:val="22"/>
        </w:rPr>
        <w:t xml:space="preserve">Staging environment available to practice sidecar injection and configuration</w:t>
      </w:r>
    </w:p>
    <w:p>
      <w:pPr>
        <w:pStyle w:val="ListParagraph"/>
        <w:numPr>
          <w:ilvl w:val="0"/>
          <w:numId w:val="3"/>
        </w:numPr>
        <w:spacing w:after="90"/>
      </w:pPr>
      <w:r>
        <w:rPr>
          <w:rFonts w:ascii="Arial" w:cs="Arial" w:eastAsia="Arial" w:hAnsi="Arial"/>
          <w:color w:val="333333"/>
          <w:sz w:val="22"/>
          <w:szCs w:val="22"/>
        </w:rPr>
        <w:t xml:space="preserve">Rollback procedure documented and tested on staging before production</w:t>
      </w:r>
    </w:p>
    <w:p>
      <w:pPr>
        <w:pStyle w:val="ListParagraph"/>
        <w:numPr>
          <w:ilvl w:val="0"/>
          <w:numId w:val="3"/>
        </w:numPr>
        <w:spacing w:after="90"/>
      </w:pPr>
      <w:r>
        <w:rPr>
          <w:rFonts w:ascii="Arial" w:cs="Arial" w:eastAsia="Arial" w:hAnsi="Arial"/>
          <w:color w:val="333333"/>
          <w:sz w:val="22"/>
          <w:szCs w:val="22"/>
        </w:rPr>
        <w:t xml:space="preserve">Agreement from service teams on trace context header propagation (the one code change)</w:t>
      </w:r>
    </w:p>
    <w:p>
      <w:pPr>
        <w:pStyle w:val="ListParagraph"/>
        <w:numPr>
          <w:ilvl w:val="0"/>
          <w:numId w:val="3"/>
        </w:numPr>
        <w:spacing w:after="90"/>
      </w:pPr>
      <w:r>
        <w:rPr>
          <w:rFonts w:ascii="Arial" w:cs="Arial" w:eastAsia="Arial" w:hAnsi="Arial"/>
          <w:color w:val="333333"/>
          <w:sz w:val="22"/>
          <w:szCs w:val="22"/>
        </w:rPr>
        <w:t xml:space="preserve">Network policy (CNI) compatibility with chosen mesh confirmed</w:t>
      </w:r>
    </w:p>
    <w:p>
      <w:pPr>
        <w:pStyle w:val="ListParagraph"/>
        <w:numPr>
          <w:ilvl w:val="0"/>
          <w:numId w:val="3"/>
        </w:numPr>
        <w:spacing w:after="90"/>
      </w:pPr>
      <w:r>
        <w:rPr>
          <w:rFonts w:ascii="Arial" w:cs="Arial" w:eastAsia="Arial" w:hAnsi="Arial"/>
          <w:color w:val="333333"/>
          <w:sz w:val="22"/>
          <w:szCs w:val="22"/>
        </w:rPr>
        <w:t xml:space="preserve">Node resource limits reviewed and mesh overhead budgeted</w:t>
      </w:r>
    </w:p>
    <w:p>
      <w:pPr>
        <w:spacing w:after="0" w:before="80"/>
      </w:pPr>
      <w:r>
        <w:t xml:space="preserve"/>
      </w:r>
    </w:p>
    <w:p>
      <w:pPr>
        <w:pStyle w:val="Heading2"/>
        <w:spacing w:after="100" w:before="280"/>
      </w:pPr>
      <w:r>
        <w:rPr>
          <w:rFonts w:ascii="Arial" w:cs="Arial" w:eastAsia="Arial" w:hAnsi="Arial"/>
          <w:b/>
          <w:bCs/>
          <w:color w:val="0D6EAF"/>
          <w:sz w:val="28"/>
          <w:szCs w:val="28"/>
        </w:rPr>
        <w:t xml:space="preserve">7.3 Real-World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c>
          <w:tcPr>
            <w:tcW w:type="dxa" w:w="5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5-person startup, 8 Node.js microservices, no compliance requirement, no platform team</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Skip mesh; use library</w:t>
            </w:r>
          </w:p>
        </w:tc>
        <w:tc>
          <w:tcPr>
            <w:tcW w:type="dxa" w:w="5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8 services, single language (Node.js), no compliance driver. Library-based resilience (axios-retry, opossum circuit breaker) is sufficient. No platform team to own mesh.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50-person company, 30 services (Java + Python + Go), PCI-DSS compliance, 2 SREs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 — start Phase 1 now</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 polyglot services, compliance mandate for mTLS, dedicated SRE team. All strong signals present. Start with Phase 1 (observability) immediately.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Enterprise, 200 services, all Java, Spring Cloud in use, 6-person platform team</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 carefully — Phase 1 + 2 only</w:t>
            </w:r>
          </w:p>
        </w:tc>
        <w:tc>
          <w:tcPr>
            <w:tcW w:type="dxa" w:w="5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scale warrants a mesh, but single-language stack means Resilience4j covers most library needs. Focus on mTLS and observability; library handles retries.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shop, 20 services on ECS Fargate, no K8s, AWS-first strategy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App Mesh</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ECS Fargate rules out Istio/Linkerd/Cilium. App Mesh is the correct choice — zero control plane overhead, native ECS support.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Performance-critical fintech, 100 services, latency SLA &lt;1ms per hop</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 eBPF</w:t>
            </w:r>
          </w:p>
        </w:tc>
        <w:tc>
          <w:tcPr>
            <w:tcW w:type="dxa" w:w="5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overhead (1-5ms per hop) violates the latency SLA. Cilium's eBPF approach adds ~50-100 microseconds. Must start with Cilium as CNI from cluster inception.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Hybrid: 50 K8s services + 30 legacy VM services, HashiCorp stack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Connect</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VM services cannot use Istio/Linkerd. Consul Connect provides native VM + K8s multi-platform support with HashiCorp ecosystem integration.</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8. Module 4 Study Review</w:t>
      </w:r>
    </w:p>
    <w:p>
      <w:pPr>
        <w:pBdr>
          <w:bottom w:val="single" w:color="0D6EAF" w:sz="8" w:space="1"/>
        </w:pBdr>
        <w:spacing w:after="160"/>
      </w:pPr>
    </w:p>
    <w:p>
      <w:pPr>
        <w:pStyle w:val="Heading2"/>
        <w:spacing w:after="100" w:before="280"/>
      </w:pPr>
      <w:r>
        <w:rPr>
          <w:rFonts w:ascii="Arial" w:cs="Arial" w:eastAsia="Arial" w:hAnsi="Arial"/>
          <w:b/>
          <w:bCs/>
          <w:color w:val="0D6EAF"/>
          <w:sz w:val="28"/>
          <w:szCs w:val="28"/>
        </w:rPr>
        <w:t xml:space="preserve">8.1 Key Decision Concepts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Decision Point</w:t>
            </w:r>
          </w:p>
        </w:tc>
        <w:tc>
          <w:tcPr>
            <w:tcW w:type="dxa" w:w="36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Key Rule</w:t>
            </w:r>
          </w:p>
        </w:tc>
        <w:tc>
          <w:tcPr>
            <w:tcW w:type="dxa" w:w="37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Common Mistake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vs Gateway</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 = north-south (external→internal), Mesh = east-west (internal→internal). Both are needed.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Using API gateway to proxy all internal calls (central bottleneck)</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vs Library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works well for single-language ≤10 services. Mesh wins for polyglot or 10+ services.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Adopting mesh for 5 Java services when Resilience4j handles all needs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Adoption signal threshold</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&gt;10 services, polyglot, compliance mTLS, observability gaps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Adopting based on aspirational architecture, not current pain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Skip threshold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&lt;5 services, single language, no platform team, new to K8s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mesh to a team that is still learning core K8s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Adoption order</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Phase 1: Observability. Phase 2: mTLS. Phase 3: Traffic management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Enabling STRICT mTLS before all callers have sidecars (causes outage)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cost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50-100MB RAM per pod, 1-5ms latency, quarterly upgrades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Underestimating resource overhead when cluster is near capacity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phase must have a &lt;5-minute rollback tested before production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rollback plan when mTLS STRICT breaks a missed caller</w:t>
            </w:r>
          </w:p>
        </w:tc>
      </w:tr>
    </w:tbl>
    <w:p>
      <w:pPr>
        <w:spacing w:after="0" w:before="80"/>
      </w:pPr>
      <w:r>
        <w:t xml:space="preserve"/>
      </w:r>
    </w:p>
    <w:p>
      <w:pPr>
        <w:pStyle w:val="Heading2"/>
        <w:spacing w:after="100" w:before="280"/>
      </w:pPr>
      <w:r>
        <w:rPr>
          <w:rFonts w:ascii="Arial" w:cs="Arial" w:eastAsia="Arial" w:hAnsi="Arial"/>
          <w:b/>
          <w:bCs/>
          <w:color w:val="0D6EAF"/>
          <w:sz w:val="28"/>
          <w:szCs w:val="28"/>
        </w:rPr>
        <w:t xml:space="preserve">8.2 Practice Questions</w:t>
      </w:r>
    </w:p>
    <w:p>
      <w:pPr>
        <w:spacing w:after="80"/>
      </w:pPr>
      <w:r>
        <w:rPr>
          <w:rFonts w:ascii="Arial" w:cs="Arial" w:eastAsia="Arial" w:hAnsi="Arial"/>
          <w:b/>
          <w:bCs/>
          <w:color w:val="0D6EAF"/>
          <w:sz w:val="22"/>
          <w:szCs w:val="22"/>
        </w:rPr>
        <w:t xml:space="preserve">Q1: </w:t>
      </w:r>
      <w:r>
        <w:rPr>
          <w:rFonts w:ascii="Arial" w:cs="Arial" w:eastAsia="Arial" w:hAnsi="Arial"/>
          <w:b/>
          <w:bCs/>
          <w:color w:val="222222"/>
          <w:sz w:val="22"/>
          <w:szCs w:val="22"/>
        </w:rPr>
        <w:t xml:space="preserve">What is the fundamental architectural difference between an API gateway and a service mesh? Why can each not substitute for the other?</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API gateway manages north-south traffic: external untrusted clients crossing the cluster boundary. It validates external identities (JWT, API keys), enforces commercial rate limits, manages public API versioning, and provides SSL termination for public-facing hostnames. Service mesh manages east-west traffic: authenticated internal services communicating inside the cluster. It provides mTLS between all service pairs, per-service retry/timeout/circuit-breaking policies, internal canary deployments, service-to-service authorization, and internal distributed tracing. Neither can substitute: the gateway never sees internal calls (it processes one inbound request; the mesh sees the 8+ internal calls that request generates). The mesh cannot manage external consumer identity — it does not know what a JWT is from an external IdP. Both are needed: the gateway for external boundary management, the mesh for internal security and observability.</w:t>
      </w:r>
    </w:p>
    <w:p>
      <w:pPr>
        <w:spacing w:after="0" w:before="80"/>
      </w:pPr>
      <w:r>
        <w:t xml:space="preserve"/>
      </w:r>
    </w:p>
    <w:p>
      <w:pPr>
        <w:spacing w:after="80"/>
      </w:pPr>
      <w:r>
        <w:rPr>
          <w:rFonts w:ascii="Arial" w:cs="Arial" w:eastAsia="Arial" w:hAnsi="Arial"/>
          <w:b/>
          <w:bCs/>
          <w:color w:val="0D6EAF"/>
          <w:sz w:val="22"/>
          <w:szCs w:val="22"/>
        </w:rPr>
        <w:t xml:space="preserve">Q2: </w:t>
      </w:r>
      <w:r>
        <w:rPr>
          <w:rFonts w:ascii="Arial" w:cs="Arial" w:eastAsia="Arial" w:hAnsi="Arial"/>
          <w:b/>
          <w:bCs/>
          <w:color w:val="222222"/>
          <w:sz w:val="22"/>
          <w:szCs w:val="22"/>
        </w:rPr>
        <w:t xml:space="preserve">Compare Resilience4j (library) with a service mesh for retry and circuit breaking. When is each the better choice?</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Resilience4j is in-process code (Java annotations: @Retry, @CircuitBreaker) that runs inside the application. It is language-specific (JVM only), requires importing a dependency in each service, and gives developers fine-grained control over fallback behavior (serve cached data, return a default value). Service mesh retry/circuit-breaking is in a sidecar proxy, language-agnostic, configured via VirtualService/DestinationRule CRDs, and applies uniformly to all services. Library wins when: single-language fleet (all Java), fewer than 10 services, need complex domain-specific fallback logic, or no platform team to manage a mesh. Mesh wins when: polyglot services (library would need N implementations), 10+ services where version drift becomes a problem, and when consistency across all services is more important than fine-grained per-service control.</w:t>
      </w:r>
    </w:p>
    <w:p>
      <w:pPr>
        <w:spacing w:after="0" w:before="80"/>
      </w:pPr>
      <w:r>
        <w:t xml:space="preserve"/>
      </w:r>
    </w:p>
    <w:p>
      <w:pPr>
        <w:spacing w:after="80"/>
      </w:pPr>
      <w:r>
        <w:rPr>
          <w:rFonts w:ascii="Arial" w:cs="Arial" w:eastAsia="Arial" w:hAnsi="Arial"/>
          <w:b/>
          <w:bCs/>
          <w:color w:val="0D6EAF"/>
          <w:sz w:val="22"/>
          <w:szCs w:val="22"/>
        </w:rPr>
        <w:t xml:space="preserve">Q3: </w:t>
      </w:r>
      <w:r>
        <w:rPr>
          <w:rFonts w:ascii="Arial" w:cs="Arial" w:eastAsia="Arial" w:hAnsi="Arial"/>
          <w:b/>
          <w:bCs/>
          <w:color w:val="222222"/>
          <w:sz w:val="22"/>
          <w:szCs w:val="22"/>
        </w:rPr>
        <w:t xml:space="preserve">Name five concrete signals that indicate a service mesh will deliver clear value, and explain the threshold reasoning for the service-count signal.</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Five strong signals: (1) &gt;10 services — complexity grows quadratically: N*(N-1)/2 pairs, each needing retry, circuit breaker, mTLS, tracing. At 25 services: 300 pairs with library approach = 300+ configs to maintain. Mesh reduces to one control-plane config. (2) Polyglot fleet (3+ languages) — library approach requires N implementations of the same networking logic with different defaults and bugs. Mesh is language-agnostic; one CRD config applies to all languages equally. (3) Compliance requirement for mTLS — PCI-DSS/HIPAA/SOC2 require provable encryption between all services. Manual cert management for 50 services takes months; mesh delivers it with one PeerAuthentication CRD. (4) Observability gaps — if incident investigations regularly fail due to inability to trace requests across service boundaries, mesh provides automatic distributed tracing with zero code changes. (5) Zero-trust security requirement — if a compromised pod must not be able to call arbitrary other services, AuthorizationPolicy provides cryptographic enforcement that cannot be bypassed without a valid SPIFFE identity.</w:t>
      </w:r>
    </w:p>
    <w:p>
      <w:pPr>
        <w:spacing w:after="0" w:before="80"/>
      </w:pPr>
      <w:r>
        <w:t xml:space="preserve"/>
      </w:r>
    </w:p>
    <w:p>
      <w:pPr>
        <w:spacing w:after="80"/>
      </w:pPr>
      <w:r>
        <w:rPr>
          <w:rFonts w:ascii="Arial" w:cs="Arial" w:eastAsia="Arial" w:hAnsi="Arial"/>
          <w:b/>
          <w:bCs/>
          <w:color w:val="0D6EAF"/>
          <w:sz w:val="22"/>
          <w:szCs w:val="22"/>
        </w:rPr>
        <w:t xml:space="preserve">Q4: </w:t>
      </w:r>
      <w:r>
        <w:rPr>
          <w:rFonts w:ascii="Arial" w:cs="Arial" w:eastAsia="Arial" w:hAnsi="Arial"/>
          <w:b/>
          <w:bCs/>
          <w:color w:val="222222"/>
          <w:sz w:val="22"/>
          <w:szCs w:val="22"/>
        </w:rPr>
        <w:t xml:space="preserve">List four specific signals that indicate a team should NOT adopt a service mesh and explain the reasoning for each.</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(1) Fewer than 5 services: the operational cost (learning curve, resource overhead, upgrade maintenance) exceeds the benefit. 4 services have 6 potential pairs — manageable with libraries and manual mTLS. (2) Single programming language: the mesh's primary advantage is language-agnostic infrastructure. If all services are Java, Resilience4j provides equivalent retry/circuit-breaking with zero sidecar overhead. (3) No dedicated platform team: a mesh introduces new failure modes (sidecar injection issues, iptables misconfiguration, cert rotation failures, VirtualService misconfigurations). Without someone responsible for understanding and resolving these, each incident becomes prolonged. (4) Early Kubernetes maturity (&lt; 6 months): service mesh adds CRDs, admission webhooks, and sidecar concepts on top of K8s. A team still mastering Deployments, Services, and RBAC should not simultaneously learn Istio. Sequential mastery (K8s first, mesh second) produces better outcomes than simultaneous adoption.</w:t>
      </w:r>
    </w:p>
    <w:p>
      <w:pPr>
        <w:spacing w:after="0" w:before="80"/>
      </w:pPr>
      <w:r>
        <w:t xml:space="preserve"/>
      </w:r>
    </w:p>
    <w:p>
      <w:pPr>
        <w:spacing w:after="80"/>
      </w:pPr>
      <w:r>
        <w:rPr>
          <w:rFonts w:ascii="Arial" w:cs="Arial" w:eastAsia="Arial" w:hAnsi="Arial"/>
          <w:b/>
          <w:bCs/>
          <w:color w:val="0D6EAF"/>
          <w:sz w:val="22"/>
          <w:szCs w:val="22"/>
        </w:rPr>
        <w:t xml:space="preserve">Q5: </w:t>
      </w:r>
      <w:r>
        <w:rPr>
          <w:rFonts w:ascii="Arial" w:cs="Arial" w:eastAsia="Arial" w:hAnsi="Arial"/>
          <w:b/>
          <w:bCs/>
          <w:color w:val="222222"/>
          <w:sz w:val="22"/>
          <w:szCs w:val="22"/>
        </w:rPr>
        <w:t xml:space="preserve">What are the three phases of progressive mesh adoption and why must they be performed in this specific order?</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Phase 1: Observability (PERMISSIVE mode) — Install mesh, inject sidecars, enable distributed tracing, metrics, access logs. PERMISSIVE mode means no policy enforcement — the mesh is completely transparent and non-disruptive. Value: immediate observability gain with zero risk. This phase builds team expertise and provides the service dependency map needed for Phase 2. Phase 2: Security (mTLS + AuthorizationPolicy) — Switch namespaces to STRICT mTLS one at a time; add AuthorizationPolicy deny-all + explicit ALLOW rules. Requires Phase 1 first because: (a) team must know which services call which before STRICT mode can be safely enabled, (b) Kiali's service graph from Phase 1 identifies all callers. Phase 3: Traffic Management (retries, timeouts, circuit breaking, canary) — Add VirtualService and DestinationRule configurations. Requires Phase 2 first because: (a) mTLS must be stable before adding routing complexity, (b) team must be comfortable debugging mesh issues before making routing changes that can cause misdirected traffic. The order ensures each phase has a low-risk rollback and builds the foundation for the next.</w:t>
      </w:r>
    </w:p>
    <w:p>
      <w:pPr>
        <w:spacing w:after="0" w:before="80"/>
      </w:pPr>
      <w:r>
        <w:t xml:space="preserve"/>
      </w:r>
    </w:p>
    <w:p>
      <w:pPr>
        <w:spacing w:after="80"/>
      </w:pPr>
      <w:r>
        <w:rPr>
          <w:rFonts w:ascii="Arial" w:cs="Arial" w:eastAsia="Arial" w:hAnsi="Arial"/>
          <w:b/>
          <w:bCs/>
          <w:color w:val="0D6EAF"/>
          <w:sz w:val="22"/>
          <w:szCs w:val="22"/>
        </w:rPr>
        <w:t xml:space="preserve">Q6: </w:t>
      </w:r>
      <w:r>
        <w:rPr>
          <w:rFonts w:ascii="Arial" w:cs="Arial" w:eastAsia="Arial" w:hAnsi="Arial"/>
          <w:b/>
          <w:bCs/>
          <w:color w:val="222222"/>
          <w:sz w:val="22"/>
          <w:szCs w:val="22"/>
        </w:rPr>
        <w:t xml:space="preserve">Quantify the resource overhead of running Istio on a 100-pod cluster. How does this compare to Linkerd?</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Istio (Envoy sidecar): 100 pods * 75MB avg = 7,500MB = ~7.5GB extra RAM for sidecars. Plus istiod control plane: ~500MB. Total: ~8GB additional RAM. CPU: 100 pods * 2% avg idle = 200% CPU overhead across the cluster. Latency per hop: 1-5ms. Quarterly upgrades: ~4-8 hours of platform team time. Linkerd (linkerd2-proxy): 100 pods * 10MB = 1,000MB = ~1GB extra RAM for sidecars. Plus control plane: ~250MB. Total: ~1.25GB additional RAM — approximately 6x more efficient than Istio. CPU: 100 pods * 0.5% = 50% CPU overhead. Latency per hop: &lt;1ms. Practical implication: for a 10-node cluster running 100 pods (10 pods per node, each node has 16GB RAM), Istio adds ~800MB per node of sidecar overhead (5% of node RAM per node). Linkerd adds ~125MB per node. In resource-constrained environments, this difference determines which mesh is viable.</w:t>
      </w:r>
    </w:p>
    <w:p>
      <w:pPr>
        <w:spacing w:after="0" w:before="80"/>
      </w:pPr>
      <w:r>
        <w:t xml:space="preserve"/>
      </w:r>
    </w:p>
    <w:p>
      <w:pPr>
        <w:spacing w:after="80"/>
      </w:pPr>
      <w:r>
        <w:rPr>
          <w:rFonts w:ascii="Arial" w:cs="Arial" w:eastAsia="Arial" w:hAnsi="Arial"/>
          <w:b/>
          <w:bCs/>
          <w:color w:val="0D6EAF"/>
          <w:sz w:val="22"/>
          <w:szCs w:val="22"/>
        </w:rPr>
        <w:t xml:space="preserve">Q7: </w:t>
      </w:r>
      <w:r>
        <w:rPr>
          <w:rFonts w:ascii="Arial" w:cs="Arial" w:eastAsia="Arial" w:hAnsi="Arial"/>
          <w:b/>
          <w:bCs/>
          <w:color w:val="222222"/>
          <w:sz w:val="22"/>
          <w:szCs w:val="22"/>
        </w:rPr>
        <w:t xml:space="preserve">A team has 15 microservices, half in Java and half in Python, and is encountering production incidents where they cannot trace which service caused a latency spike. They have 2 Kubernetes engineers. Should they adopt a service mesh? If so, what should Phase 1 look like?</w:t>
      </w:r>
    </w:p>
    <w:p>
      <w:pPr>
        <w:pBdr>
          <w:top w:val="single" w:color="0D6EAF" w:sz="2"/>
          <w:bottom w:val="single" w:color="0D6EAF" w:sz="2"/>
          <w:left w:val="single" w:color="0D6EAF" w:sz="20"/>
          <w:right w:val="single" w:color="0D6EAF" w:sz="2"/>
        </w:pBdr>
        <w:shd w:fill="E3F2FD" w:val="clear"/>
        <w:spacing w:after="160"/>
        <w:ind w:left="360" w:right="360"/>
      </w:pPr>
      <w:r>
        <w:rPr>
          <w:rFonts w:ascii="Arial" w:cs="Arial" w:eastAsia="Arial" w:hAnsi="Arial"/>
          <w:b/>
          <w:bCs/>
          <w:color w:val="0D6EAF"/>
          <w:sz w:val="22"/>
          <w:szCs w:val="22"/>
        </w:rPr>
        <w:t xml:space="preserve">Answer  </w:t>
      </w:r>
      <w:r>
        <w:rPr>
          <w:rFonts w:ascii="Arial" w:cs="Arial" w:eastAsia="Arial" w:hAnsi="Arial"/>
          <w:color w:val="333333"/>
          <w:sz w:val="22"/>
          <w:szCs w:val="22"/>
        </w:rPr>
        <w:t xml:space="preserve">Yes, adopt. Scoring: 15 services (2 points), polyglot Java+Python (2 points), observability gap causing incidents (3 points — clear pain), 2 K8s engineers is borderline platform team (1 point). Score ~8 on relevant factors — conditional adoption is appropriate. Strongest signal is the explicit observability pain: this is exactly the problem Phase 1 solves with zero risk. Phase 1 plan: (1) Install Linkerd (not Istio) — given only 2 engineers, Linkerd's simpler learning curve and lower overhead are important. Install takes 5 minutes with linkerd install | kubectl apply. (2) Enable injection on one non-critical namespace first (staging or development). (3) Install Linkerd Viz: linkerd viz install | kubectl apply. Opens dashboard with service graph, golden signals per service, and live traffic tap. (4) Expand to production namespaces over 2-4 weeks. (5) Use linkerd viz tap to trace live requests during the next incident. Success criteria: next production latency incident is diagnosed within 5 minutes using linkerd viz tap + distributed traces, versus the multi-hour investigation currently required. Phase 1 delivers this with zero code changes and zero risk (PERMISSIVE equivalent in Linkerd by default).</w:t>
      </w:r>
    </w:p>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9. Glossary — Module 4 Terms</w:t>
      </w:r>
    </w:p>
    <w:p>
      <w:pPr>
        <w:pBdr>
          <w:bottom w:val="single" w:color="0D6EAF" w:sz="8" w:space="1"/>
        </w:pBdr>
        <w:spacing w:after="160"/>
      </w:pPr>
    </w:p>
    <w:p>
      <w:pPr>
        <w:spacing w:after="100"/>
      </w:pPr>
      <w:r>
        <w:rPr>
          <w:rFonts w:ascii="Arial" w:cs="Arial" w:eastAsia="Arial" w:hAnsi="Arial"/>
          <w:b/>
          <w:bCs/>
          <w:color w:val="0D1F35"/>
          <w:sz w:val="22"/>
          <w:szCs w:val="22"/>
        </w:rPr>
        <w:t xml:space="preserve">North-South Traffic: </w:t>
      </w:r>
      <w:r>
        <w:rPr>
          <w:rFonts w:ascii="Arial" w:cs="Arial" w:eastAsia="Arial" w:hAnsi="Arial"/>
          <w:b w:val="false"/>
          <w:bCs w:val="false"/>
          <w:color w:val="333333"/>
          <w:sz w:val="22"/>
          <w:szCs w:val="22"/>
        </w:rPr>
        <w:t xml:space="preserve">Network traffic crossing the cluster boundary: external clients to/from internal services. Managed by the API gateway.</w:t>
      </w:r>
    </w:p>
    <w:p>
      <w:pPr>
        <w:spacing w:after="100"/>
      </w:pPr>
      <w:r>
        <w:rPr>
          <w:rFonts w:ascii="Arial" w:cs="Arial" w:eastAsia="Arial" w:hAnsi="Arial"/>
          <w:b/>
          <w:bCs/>
          <w:color w:val="0D1F35"/>
          <w:sz w:val="22"/>
          <w:szCs w:val="22"/>
        </w:rPr>
        <w:t xml:space="preserve">East-West Traffic: </w:t>
      </w:r>
      <w:r>
        <w:rPr>
          <w:rFonts w:ascii="Arial" w:cs="Arial" w:eastAsia="Arial" w:hAnsi="Arial"/>
          <w:b w:val="false"/>
          <w:bCs w:val="false"/>
          <w:color w:val="333333"/>
          <w:sz w:val="22"/>
          <w:szCs w:val="22"/>
        </w:rPr>
        <w:t xml:space="preserve">Internal service-to-service traffic inside the cluster. Managed by the service mesh.</w:t>
      </w:r>
    </w:p>
    <w:p>
      <w:pPr>
        <w:spacing w:after="100"/>
      </w:pPr>
      <w:r>
        <w:rPr>
          <w:rFonts w:ascii="Arial" w:cs="Arial" w:eastAsia="Arial" w:hAnsi="Arial"/>
          <w:b/>
          <w:bCs/>
          <w:color w:val="0D1F35"/>
          <w:sz w:val="22"/>
          <w:szCs w:val="22"/>
        </w:rPr>
        <w:t xml:space="preserve">Polyglot Services: </w:t>
      </w:r>
      <w:r>
        <w:rPr>
          <w:rFonts w:ascii="Arial" w:cs="Arial" w:eastAsia="Arial" w:hAnsi="Arial"/>
          <w:b w:val="false"/>
          <w:bCs w:val="false"/>
          <w:color w:val="333333"/>
          <w:sz w:val="22"/>
          <w:szCs w:val="22"/>
        </w:rPr>
        <w:t xml:space="preserve">A microservices fleet using multiple programming languages. Key driver for service mesh adoption (language-agnostic infrastructure).</w:t>
      </w:r>
    </w:p>
    <w:p>
      <w:pPr>
        <w:spacing w:after="100"/>
      </w:pPr>
      <w:r>
        <w:rPr>
          <w:rFonts w:ascii="Arial" w:cs="Arial" w:eastAsia="Arial" w:hAnsi="Arial"/>
          <w:b/>
          <w:bCs/>
          <w:color w:val="0D1F35"/>
          <w:sz w:val="22"/>
          <w:szCs w:val="22"/>
        </w:rPr>
        <w:t xml:space="preserve">Resilience4j: </w:t>
      </w:r>
      <w:r>
        <w:rPr>
          <w:rFonts w:ascii="Arial" w:cs="Arial" w:eastAsia="Arial" w:hAnsi="Arial"/>
          <w:b w:val="false"/>
          <w:bCs w:val="false"/>
          <w:color w:val="333333"/>
          <w:sz w:val="22"/>
          <w:szCs w:val="22"/>
        </w:rPr>
        <w:t xml:space="preserve">Java library providing circuit breaking, retry, rate limiting, and bulkhead patterns. The primary library-based alternative to a service mesh for JVM applications.</w:t>
      </w:r>
    </w:p>
    <w:p>
      <w:pPr>
        <w:spacing w:after="100"/>
      </w:pPr>
      <w:r>
        <w:rPr>
          <w:rFonts w:ascii="Arial" w:cs="Arial" w:eastAsia="Arial" w:hAnsi="Arial"/>
          <w:b/>
          <w:bCs/>
          <w:color w:val="0D1F35"/>
          <w:sz w:val="22"/>
          <w:szCs w:val="22"/>
        </w:rPr>
        <w:t xml:space="preserve">Library Approach: </w:t>
      </w:r>
      <w:r>
        <w:rPr>
          <w:rFonts w:ascii="Arial" w:cs="Arial" w:eastAsia="Arial" w:hAnsi="Arial"/>
          <w:b w:val="false"/>
          <w:bCs w:val="false"/>
          <w:color w:val="333333"/>
          <w:sz w:val="22"/>
          <w:szCs w:val="22"/>
        </w:rPr>
        <w:t xml:space="preserve">Embedding networking resilience (retry, circuit breaking, tracing) inside application code via language-specific libraries. Works well for single-language, small-scale systems.</w:t>
      </w:r>
    </w:p>
    <w:p>
      <w:pPr>
        <w:spacing w:after="100"/>
      </w:pPr>
      <w:r>
        <w:rPr>
          <w:rFonts w:ascii="Arial" w:cs="Arial" w:eastAsia="Arial" w:hAnsi="Arial"/>
          <w:b/>
          <w:bCs/>
          <w:color w:val="0D1F35"/>
          <w:sz w:val="22"/>
          <w:szCs w:val="22"/>
        </w:rPr>
        <w:t xml:space="preserve">Version Drift: </w:t>
      </w:r>
      <w:r>
        <w:rPr>
          <w:rFonts w:ascii="Arial" w:cs="Arial" w:eastAsia="Arial" w:hAnsi="Arial"/>
          <w:b w:val="false"/>
          <w:bCs w:val="false"/>
          <w:color w:val="333333"/>
          <w:sz w:val="22"/>
          <w:szCs w:val="22"/>
        </w:rPr>
        <w:t xml:space="preserve">When different services use different versions of the same library, resulting in inconsistent behavior under failure conditions.</w:t>
      </w:r>
    </w:p>
    <w:p>
      <w:pPr>
        <w:spacing w:after="100"/>
      </w:pPr>
      <w:r>
        <w:rPr>
          <w:rFonts w:ascii="Arial" w:cs="Arial" w:eastAsia="Arial" w:hAnsi="Arial"/>
          <w:b/>
          <w:bCs/>
          <w:color w:val="0D1F35"/>
          <w:sz w:val="22"/>
          <w:szCs w:val="22"/>
        </w:rPr>
        <w:t xml:space="preserve">Language Lock-In (library): </w:t>
      </w:r>
      <w:r>
        <w:rPr>
          <w:rFonts w:ascii="Arial" w:cs="Arial" w:eastAsia="Arial" w:hAnsi="Arial"/>
          <w:b w:val="false"/>
          <w:bCs w:val="false"/>
          <w:color w:val="333333"/>
          <w:sz w:val="22"/>
          <w:szCs w:val="22"/>
        </w:rPr>
        <w:t xml:space="preserve">The constraint that a resilience library (Resilience4j, Hystrix) only works in its target language, requiring separate implementations in other languages.</w:t>
      </w:r>
    </w:p>
    <w:p>
      <w:pPr>
        <w:spacing w:after="100"/>
      </w:pPr>
      <w:r>
        <w:rPr>
          <w:rFonts w:ascii="Arial" w:cs="Arial" w:eastAsia="Arial" w:hAnsi="Arial"/>
          <w:b/>
          <w:bCs/>
          <w:color w:val="0D1F35"/>
          <w:sz w:val="22"/>
          <w:szCs w:val="22"/>
        </w:rPr>
        <w:t xml:space="preserve">Sidecar Overhead: </w:t>
      </w:r>
      <w:r>
        <w:rPr>
          <w:rFonts w:ascii="Arial" w:cs="Arial" w:eastAsia="Arial" w:hAnsi="Arial"/>
          <w:b w:val="false"/>
          <w:bCs w:val="false"/>
          <w:color w:val="333333"/>
          <w:sz w:val="22"/>
          <w:szCs w:val="22"/>
        </w:rPr>
        <w:t xml:space="preserve">The extra RAM and CPU consumed by proxy sidecar processes. Istio/Envoy: ~50-100MB RAM per pod. Linkerd: ~10MB RAM per pod.</w:t>
      </w:r>
    </w:p>
    <w:p>
      <w:pPr>
        <w:spacing w:after="100"/>
      </w:pPr>
      <w:r>
        <w:rPr>
          <w:rFonts w:ascii="Arial" w:cs="Arial" w:eastAsia="Arial" w:hAnsi="Arial"/>
          <w:b/>
          <w:bCs/>
          <w:color w:val="0D1F35"/>
          <w:sz w:val="22"/>
          <w:szCs w:val="22"/>
        </w:rPr>
        <w:t xml:space="preserve">PERMISSIVE Mode: </w:t>
      </w:r>
      <w:r>
        <w:rPr>
          <w:rFonts w:ascii="Arial" w:cs="Arial" w:eastAsia="Arial" w:hAnsi="Arial"/>
          <w:b w:val="false"/>
          <w:bCs w:val="false"/>
          <w:color w:val="333333"/>
          <w:sz w:val="22"/>
          <w:szCs w:val="22"/>
        </w:rPr>
        <w:t xml:space="preserve">PeerAuthentication setting that accepts both mTLS and plain HTTP. Used during mesh adoption when not all callers have sidecars yet. Default Istio behavior (no PeerAuthentication configured).</w:t>
      </w:r>
    </w:p>
    <w:p>
      <w:pPr>
        <w:spacing w:after="100"/>
      </w:pPr>
      <w:r>
        <w:rPr>
          <w:rFonts w:ascii="Arial" w:cs="Arial" w:eastAsia="Arial" w:hAnsi="Arial"/>
          <w:b/>
          <w:bCs/>
          <w:color w:val="0D1F35"/>
          <w:sz w:val="22"/>
          <w:szCs w:val="22"/>
        </w:rPr>
        <w:t xml:space="preserve">STRICT Mode: </w:t>
      </w:r>
      <w:r>
        <w:rPr>
          <w:rFonts w:ascii="Arial" w:cs="Arial" w:eastAsia="Arial" w:hAnsi="Arial"/>
          <w:b w:val="false"/>
          <w:bCs w:val="false"/>
          <w:color w:val="333333"/>
          <w:sz w:val="22"/>
          <w:szCs w:val="22"/>
        </w:rPr>
        <w:t xml:space="preserve">PeerAuthentication setting that rejects all non-mTLS connections. Enforces zero-trust; requires all callers to be meshed.</w:t>
      </w:r>
    </w:p>
    <w:p>
      <w:pPr>
        <w:spacing w:after="100"/>
      </w:pPr>
      <w:r>
        <w:rPr>
          <w:rFonts w:ascii="Arial" w:cs="Arial" w:eastAsia="Arial" w:hAnsi="Arial"/>
          <w:b/>
          <w:bCs/>
          <w:color w:val="0D1F35"/>
          <w:sz w:val="22"/>
          <w:szCs w:val="22"/>
        </w:rPr>
        <w:t xml:space="preserve">Progressive Adoption: </w:t>
      </w:r>
      <w:r>
        <w:rPr>
          <w:rFonts w:ascii="Arial" w:cs="Arial" w:eastAsia="Arial" w:hAnsi="Arial"/>
          <w:b w:val="false"/>
          <w:bCs w:val="false"/>
          <w:color w:val="333333"/>
          <w:sz w:val="22"/>
          <w:szCs w:val="22"/>
        </w:rPr>
        <w:t xml:space="preserve">Service mesh adoption strategy: Phase 1 (Observability, PERMISSIVE mode) → Phase 2 (mTLS + authorization) → Phase 3 (traffic management).</w:t>
      </w:r>
    </w:p>
    <w:p>
      <w:pPr>
        <w:spacing w:after="100"/>
      </w:pPr>
      <w:r>
        <w:rPr>
          <w:rFonts w:ascii="Arial" w:cs="Arial" w:eastAsia="Arial" w:hAnsi="Arial"/>
          <w:b/>
          <w:bCs/>
          <w:color w:val="0D1F35"/>
          <w:sz w:val="22"/>
          <w:szCs w:val="22"/>
        </w:rPr>
        <w:t xml:space="preserve">Phase 1 (Observability): </w:t>
      </w:r>
      <w:r>
        <w:rPr>
          <w:rFonts w:ascii="Arial" w:cs="Arial" w:eastAsia="Arial" w:hAnsi="Arial"/>
          <w:b w:val="false"/>
          <w:bCs w:val="false"/>
          <w:color w:val="333333"/>
          <w:sz w:val="22"/>
          <w:szCs w:val="22"/>
        </w:rPr>
        <w:t xml:space="preserve">First adoption phase: inject sidecars, enable tracing/metrics/logs in PERMISSIVE mode. Zero traffic impact, immediate observability value.</w:t>
      </w:r>
    </w:p>
    <w:p>
      <w:pPr>
        <w:spacing w:after="100"/>
      </w:pPr>
      <w:r>
        <w:rPr>
          <w:rFonts w:ascii="Arial" w:cs="Arial" w:eastAsia="Arial" w:hAnsi="Arial"/>
          <w:b/>
          <w:bCs/>
          <w:color w:val="0D1F35"/>
          <w:sz w:val="22"/>
          <w:szCs w:val="22"/>
        </w:rPr>
        <w:t xml:space="preserve">Phase 2 (Security): </w:t>
      </w:r>
      <w:r>
        <w:rPr>
          <w:rFonts w:ascii="Arial" w:cs="Arial" w:eastAsia="Arial" w:hAnsi="Arial"/>
          <w:b w:val="false"/>
          <w:bCs w:val="false"/>
          <w:color w:val="333333"/>
          <w:sz w:val="22"/>
          <w:szCs w:val="22"/>
        </w:rPr>
        <w:t xml:space="preserve">Second adoption phase: switch to STRICT mTLS namespace-by-namespace, add AuthorizationPolicy rules. Requires Phase 1 service map.</w:t>
      </w:r>
    </w:p>
    <w:p>
      <w:pPr>
        <w:spacing w:after="100"/>
      </w:pPr>
      <w:r>
        <w:rPr>
          <w:rFonts w:ascii="Arial" w:cs="Arial" w:eastAsia="Arial" w:hAnsi="Arial"/>
          <w:b/>
          <w:bCs/>
          <w:color w:val="0D1F35"/>
          <w:sz w:val="22"/>
          <w:szCs w:val="22"/>
        </w:rPr>
        <w:t xml:space="preserve">Phase 3 (Traffic Management): </w:t>
      </w:r>
      <w:r>
        <w:rPr>
          <w:rFonts w:ascii="Arial" w:cs="Arial" w:eastAsia="Arial" w:hAnsi="Arial"/>
          <w:b w:val="false"/>
          <w:bCs w:val="false"/>
          <w:color w:val="333333"/>
          <w:sz w:val="22"/>
          <w:szCs w:val="22"/>
        </w:rPr>
        <w:t xml:space="preserve">Third adoption phase: add VirtualService retries/timeouts, DestinationRule circuit breaking, canary deployments.</w:t>
      </w:r>
    </w:p>
    <w:p>
      <w:pPr>
        <w:spacing w:after="100"/>
      </w:pPr>
      <w:r>
        <w:rPr>
          <w:rFonts w:ascii="Arial" w:cs="Arial" w:eastAsia="Arial" w:hAnsi="Arial"/>
          <w:b/>
          <w:bCs/>
          <w:color w:val="0D1F35"/>
          <w:sz w:val="22"/>
          <w:szCs w:val="22"/>
        </w:rPr>
        <w:t xml:space="preserve">Rollback Procedure: </w:t>
      </w:r>
      <w:r>
        <w:rPr>
          <w:rFonts w:ascii="Arial" w:cs="Arial" w:eastAsia="Arial" w:hAnsi="Arial"/>
          <w:b w:val="false"/>
          <w:bCs w:val="false"/>
          <w:color w:val="333333"/>
          <w:sz w:val="22"/>
          <w:szCs w:val="22"/>
        </w:rPr>
        <w:t xml:space="preserve">Pre-tested procedure to undo a mesh configuration change. Must be documented and tested before production deployment of each phase.</w:t>
      </w:r>
    </w:p>
    <w:p>
      <w:pPr>
        <w:spacing w:after="100"/>
      </w:pPr>
      <w:r>
        <w:rPr>
          <w:rFonts w:ascii="Arial" w:cs="Arial" w:eastAsia="Arial" w:hAnsi="Arial"/>
          <w:b/>
          <w:bCs/>
          <w:color w:val="0D1F35"/>
          <w:sz w:val="22"/>
          <w:szCs w:val="22"/>
        </w:rPr>
        <w:t xml:space="preserve">Platform Team: </w:t>
      </w:r>
      <w:r>
        <w:rPr>
          <w:rFonts w:ascii="Arial" w:cs="Arial" w:eastAsia="Arial" w:hAnsi="Arial"/>
          <w:b w:val="false"/>
          <w:bCs w:val="false"/>
          <w:color w:val="333333"/>
          <w:sz w:val="22"/>
          <w:szCs w:val="22"/>
        </w:rPr>
        <w:t xml:space="preserve">Dedicated engineering team responsible for owning infrastructure including the service mesh. Required for sustainable mesh operation.</w:t>
      </w:r>
    </w:p>
    <w:p>
      <w:pPr>
        <w:spacing w:after="100"/>
      </w:pPr>
      <w:r>
        <w:rPr>
          <w:rFonts w:ascii="Arial" w:cs="Arial" w:eastAsia="Arial" w:hAnsi="Arial"/>
          <w:b/>
          <w:bCs/>
          <w:color w:val="0D1F35"/>
          <w:sz w:val="22"/>
          <w:szCs w:val="22"/>
        </w:rPr>
        <w:t xml:space="preserve">Quadratic Complexity: </w:t>
      </w:r>
      <w:r>
        <w:rPr>
          <w:rFonts w:ascii="Arial" w:cs="Arial" w:eastAsia="Arial" w:hAnsi="Arial"/>
          <w:b w:val="false"/>
          <w:bCs w:val="false"/>
          <w:color w:val="333333"/>
          <w:sz w:val="22"/>
          <w:szCs w:val="22"/>
        </w:rPr>
        <w:t xml:space="preserve">The number of service-to-service pairs grows as N*(N-1)/2. A primary driver for mesh adoption at 10+ services.</w:t>
      </w:r>
    </w:p>
    <w:p>
      <w:pPr>
        <w:spacing w:after="100"/>
      </w:pPr>
      <w:r>
        <w:rPr>
          <w:rFonts w:ascii="Arial" w:cs="Arial" w:eastAsia="Arial" w:hAnsi="Arial"/>
          <w:b/>
          <w:bCs/>
          <w:color w:val="0D1F35"/>
          <w:sz w:val="22"/>
          <w:szCs w:val="22"/>
        </w:rPr>
        <w:t xml:space="preserve">Canary Deployment: </w:t>
      </w:r>
      <w:r>
        <w:rPr>
          <w:rFonts w:ascii="Arial" w:cs="Arial" w:eastAsia="Arial" w:hAnsi="Arial"/>
          <w:b w:val="false"/>
          <w:bCs w:val="false"/>
          <w:color w:val="333333"/>
          <w:sz w:val="22"/>
          <w:szCs w:val="22"/>
        </w:rPr>
        <w:t xml:space="preserve">Gradually routing a small percentage of traffic to a new service version using VirtualService weights. Key traffic management feature.</w:t>
      </w:r>
    </w:p>
    <w:p>
      <w:pPr>
        <w:spacing w:after="100"/>
      </w:pPr>
      <w:r>
        <w:rPr>
          <w:rFonts w:ascii="Arial" w:cs="Arial" w:eastAsia="Arial" w:hAnsi="Arial"/>
          <w:b/>
          <w:bCs/>
          <w:color w:val="0D1F35"/>
          <w:sz w:val="22"/>
          <w:szCs w:val="22"/>
        </w:rPr>
        <w:t xml:space="preserve">Compliance Mandate: </w:t>
      </w:r>
      <w:r>
        <w:rPr>
          <w:rFonts w:ascii="Arial" w:cs="Arial" w:eastAsia="Arial" w:hAnsi="Arial"/>
          <w:b w:val="false"/>
          <w:bCs w:val="false"/>
          <w:color w:val="333333"/>
          <w:sz w:val="22"/>
          <w:szCs w:val="22"/>
        </w:rPr>
        <w:t xml:space="preserve">Regulatory requirement (PCI-DSS, HIPAA, SOC2) that internal service communication must be encrypted and authenticated. Service mesh delivers this automatically via mTLS.</w:t>
      </w:r>
    </w:p>
    <w:p>
      <w:pPr>
        <w:spacing w:after="100"/>
      </w:pPr>
      <w:r>
        <w:rPr>
          <w:rFonts w:ascii="Arial" w:cs="Arial" w:eastAsia="Arial" w:hAnsi="Arial"/>
          <w:b/>
          <w:bCs/>
          <w:color w:val="0D1F35"/>
          <w:sz w:val="22"/>
          <w:szCs w:val="22"/>
        </w:rPr>
        <w:t xml:space="preserve">Readiness Scorecard: </w:t>
      </w:r>
      <w:r>
        <w:rPr>
          <w:rFonts w:ascii="Arial" w:cs="Arial" w:eastAsia="Arial" w:hAnsi="Arial"/>
          <w:b w:val="false"/>
          <w:bCs w:val="false"/>
          <w:color w:val="333333"/>
          <w:sz w:val="22"/>
          <w:szCs w:val="22"/>
        </w:rPr>
        <w:t xml:space="preserve">Structured assessment framework scoring service count, language diversity, compliance need, platform maturity, and other factors to determine mesh adoption readiness.</w:t>
      </w:r>
    </w:p>
    <w:p>
      <w:pPr>
        <w:spacing w:after="100"/>
      </w:pPr>
      <w:r>
        <w:rPr>
          <w:rFonts w:ascii="Arial" w:cs="Arial" w:eastAsia="Arial" w:hAnsi="Arial"/>
          <w:b/>
          <w:bCs/>
          <w:color w:val="0D1F35"/>
          <w:sz w:val="22"/>
          <w:szCs w:val="22"/>
        </w:rPr>
        <w:t xml:space="preserve">Trace Context Propagation: </w:t>
      </w:r>
      <w:r>
        <w:rPr>
          <w:rFonts w:ascii="Arial" w:cs="Arial" w:eastAsia="Arial" w:hAnsi="Arial"/>
          <w:b w:val="false"/>
          <w:bCs w:val="false"/>
          <w:color w:val="333333"/>
          <w:sz w:val="22"/>
          <w:szCs w:val="22"/>
        </w:rPr>
        <w:t xml:space="preserve">The one application code change required for distributed tracing: copying incoming W3C traceparent headers to all outgoing requests.</w:t>
      </w:r>
    </w:p>
    <w:p>
      <w:pPr>
        <w:spacing w:after="100"/>
      </w:pPr>
      <w:r>
        <w:rPr>
          <w:rFonts w:ascii="Arial" w:cs="Arial" w:eastAsia="Arial" w:hAnsi="Arial"/>
          <w:b/>
          <w:bCs/>
          <w:color w:val="0D1F35"/>
          <w:sz w:val="22"/>
          <w:szCs w:val="22"/>
        </w:rPr>
        <w:t xml:space="preserve">Service Mesh Upgrade: </w:t>
      </w:r>
      <w:r>
        <w:rPr>
          <w:rFonts w:ascii="Arial" w:cs="Arial" w:eastAsia="Arial" w:hAnsi="Arial"/>
          <w:b w:val="false"/>
          <w:bCs w:val="false"/>
          <w:color w:val="333333"/>
          <w:sz w:val="22"/>
          <w:szCs w:val="22"/>
        </w:rPr>
        <w:t xml:space="preserve">Quarterly control plane upgrade process requiring istiod update + sidecar rolling restart across all namespaces. Major operational cost.</w:t>
      </w:r>
    </w:p>
    <w:p>
      <w:pPr>
        <w:spacing w:after="100"/>
      </w:pPr>
      <w:r>
        <w:rPr>
          <w:rFonts w:ascii="Arial" w:cs="Arial" w:eastAsia="Arial" w:hAnsi="Arial"/>
          <w:b/>
          <w:bCs/>
          <w:color w:val="0D1F35"/>
          <w:sz w:val="22"/>
          <w:szCs w:val="22"/>
        </w:rPr>
        <w:t xml:space="preserve">Ambient Mode: </w:t>
      </w:r>
      <w:r>
        <w:rPr>
          <w:rFonts w:ascii="Arial" w:cs="Arial" w:eastAsia="Arial" w:hAnsi="Arial"/>
          <w:b w:val="false"/>
          <w:bCs w:val="false"/>
          <w:color w:val="333333"/>
          <w:sz w:val="22"/>
          <w:szCs w:val="22"/>
        </w:rPr>
        <w:t xml:space="preserve">Istio sidecarless deployment model using per-node ztunnel for L4 mTLS + optional per-namespace waypoint for L7. Reduces overhead ~95% vs sidecar mode.</w:t>
      </w:r>
    </w:p>
    <w:p>
      <w:pPr>
        <w:spacing w:after="100"/>
      </w:pPr>
      <w:r>
        <w:rPr>
          <w:rFonts w:ascii="Arial" w:cs="Arial" w:eastAsia="Arial" w:hAnsi="Arial"/>
          <w:b/>
          <w:bCs/>
          <w:color w:val="0D1F35"/>
          <w:sz w:val="22"/>
          <w:szCs w:val="22"/>
        </w:rPr>
        <w:t xml:space="preserve">Golden Signals: </w:t>
      </w:r>
      <w:r>
        <w:rPr>
          <w:rFonts w:ascii="Arial" w:cs="Arial" w:eastAsia="Arial" w:hAnsi="Arial"/>
          <w:b w:val="false"/>
          <w:bCs w:val="false"/>
          <w:color w:val="333333"/>
          <w:sz w:val="22"/>
          <w:szCs w:val="22"/>
        </w:rPr>
        <w:t xml:space="preserve">Google SRE framework: Latency, Traffic, Errors, Saturation. Automatically emitted by the mesh sidecar for every service pair.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D6EA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2026-04-13T09:32:23.647Z</dcterms:created>
  <dcterms:modified xsi:type="dcterms:W3CDTF">2026-04-13T09:32:23.647Z</dcterms:modified>
</cp:coreProperties>
</file>

<file path=docProps/custom.xml><?xml version="1.0" encoding="utf-8"?>
<Properties xmlns="http://schemas.openxmlformats.org/officeDocument/2006/custom-properties" xmlns:vt="http://schemas.openxmlformats.org/officeDocument/2006/docPropsVTypes"/>
</file>