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00"/>
        <w:jc w:val="center"/>
        <w:rPr/>
      </w:pPr>
      <w:r>
        <w:rPr>
          <w:b/>
          <w:bCs/>
          <w:color w:val="1F4E78"/>
          <w:sz w:val="96"/>
          <w:szCs w:val="96"/>
        </w:rPr>
        <w:t>TOGAF</w:t>
      </w:r>
    </w:p>
    <w:p>
      <w:pPr>
        <w:pStyle w:val="Normal"/>
        <w:spacing w:before="0" w:after="400"/>
        <w:jc w:val="center"/>
        <w:rPr/>
      </w:pPr>
      <w:r>
        <w:rPr>
          <w:b/>
          <w:bCs/>
          <w:color w:val="2E75B6"/>
          <w:sz w:val="44"/>
          <w:szCs w:val="44"/>
        </w:rPr>
        <w:t>Enterprise Architecture Study Guide</w:t>
      </w:r>
    </w:p>
    <w:p>
      <w:pPr>
        <w:pStyle w:val="Normal"/>
        <w:spacing w:before="0" w:after="1600"/>
        <w:jc w:val="center"/>
        <w:rPr/>
      </w:pPr>
      <w:r>
        <w:rPr>
          <w:i/>
          <w:iCs/>
          <w:color w:val="595959"/>
          <w:sz w:val="36"/>
          <w:szCs w:val="36"/>
        </w:rPr>
        <w:t>Module 1: TOGAF Fundamentals</w:t>
      </w:r>
    </w:p>
    <w:p>
      <w:pPr>
        <w:pStyle w:val="Normal"/>
        <w:spacing w:before="0" w:after="200"/>
        <w:jc w:val="center"/>
        <w:rPr/>
      </w:pPr>
      <w:r>
        <w:rPr>
          <w:color w:val="595959"/>
          <w:sz w:val="28"/>
          <w:szCs w:val="28"/>
        </w:rPr>
        <w:t>A Comprehensive, In-Depth Reference</w:t>
      </w:r>
    </w:p>
    <w:p>
      <w:pPr>
        <w:pStyle w:val="Normal"/>
        <w:spacing w:before="0" w:after="200"/>
        <w:jc w:val="center"/>
        <w:rPr/>
      </w:pPr>
      <w:r>
        <w:rPr>
          <w:color w:val="808080"/>
          <w:sz w:val="24"/>
          <w:szCs w:val="24"/>
        </w:rPr>
        <w:t>Covering History, Concepts, Frameworks, and Comparative Analysis</w:t>
      </w:r>
    </w:p>
    <w:p>
      <w:pPr>
        <w:pStyle w:val="Normal"/>
        <w:spacing w:before="2400" w:after="0"/>
        <w:jc w:val="center"/>
        <w:rPr/>
      </w:pPr>
      <w:r>
        <w:rPr>
          <w:i/>
          <w:iCs/>
          <w:color w:val="808080"/>
          <w:sz w:val="22"/>
          <w:szCs w:val="22"/>
        </w:rPr>
        <w:t>Aligned with TOGAF® Standard, 10th Edition (The Open Group)</w:t>
      </w:r>
    </w:p>
    <w:p>
      <w:pPr>
        <w:pStyle w:val="Normal"/>
        <w:rPr/>
      </w:pPr>
      <w:r>
        <w:rPr/>
      </w:r>
      <w:r>
        <w:br w:type="page"/>
      </w:r>
    </w:p>
    <w:p>
      <w:pPr>
        <w:pStyle w:val="Heading1"/>
        <w:spacing w:before="0" w:after="200"/>
        <w:rPr>
          <w:b/>
          <w:bCs/>
          <w:color w:val="1F4E78"/>
        </w:rPr>
      </w:pPr>
      <w:r>
        <w:rPr>
          <w:b/>
          <w:bCs/>
          <w:color w:val="1F4E78"/>
        </w:rPr>
        <w:t>1. What is TOGAF and Why It Exists</w:t>
      </w:r>
    </w:p>
    <w:p>
      <w:pPr>
        <w:pStyle w:val="Heading1"/>
        <w:spacing w:before="0" w:after="200"/>
        <w:rPr>
          <w:b/>
          <w:bCs/>
          <w:color w:val="1F4E78"/>
        </w:rPr>
      </w:pPr>
      <w:r>
        <w:rPr>
          <w:b/>
          <w:bCs/>
          <w:color w:val="1F4E78"/>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9624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962400"/>
                    </a:xfrm>
                    <a:prstGeom prst="rect">
                      <a:avLst/>
                    </a:prstGeom>
                    <a:noFill/>
                  </pic:spPr>
                </pic:pic>
              </a:graphicData>
            </a:graphic>
          </wp:anchor>
        </w:drawing>
      </w:r>
    </w:p>
    <w:p>
      <w:pPr>
        <w:pStyle w:val="Heading2"/>
        <w:spacing w:before="280" w:after="160"/>
        <w:rPr/>
      </w:pPr>
      <w:r>
        <w:rPr>
          <w:b/>
          <w:bCs/>
          <w:color w:val="2E75B6"/>
        </w:rPr>
        <w:t>1.1 The One-Sentence Definition</w:t>
      </w:r>
    </w:p>
    <w:p>
      <w:pPr>
        <w:pStyle w:val="BodyText"/>
        <w:jc w:val="both"/>
        <w:rPr>
          <w:rFonts w:ascii="DejaVu Serif" w:hAnsi="DejaVu Serif"/>
        </w:rPr>
      </w:pPr>
      <w:r>
        <w:rPr>
          <w:rFonts w:ascii="DejaVu Serif" w:hAnsi="DejaVu Serif"/>
          <w:b/>
          <w:bCs/>
        </w:rPr>
        <w:t>TOGAF</w:t>
      </w:r>
      <w:r>
        <w:rPr>
          <w:rFonts w:ascii="DejaVu Serif" w:hAnsi="DejaVu Serif"/>
        </w:rPr>
        <w:t xml:space="preserve"> (The Open Group Architecture Framework) is a </w:t>
      </w:r>
      <w:r>
        <w:rPr>
          <w:rFonts w:ascii="DejaVu Serif" w:hAnsi="DejaVu Serif"/>
          <w:b/>
          <w:bCs/>
        </w:rPr>
        <w:t>structured</w:t>
      </w:r>
      <w:r>
        <w:rPr>
          <w:rFonts w:ascii="DejaVu Serif" w:hAnsi="DejaVu Serif"/>
        </w:rPr>
        <w:t xml:space="preserve">, vendor-neutral, methodology-driven framework for designing, planning, implementing, and governing an </w:t>
      </w:r>
      <w:r>
        <w:rPr>
          <w:rFonts w:ascii="DejaVu Serif" w:hAnsi="DejaVu Serif"/>
          <w:b/>
          <w:bCs/>
        </w:rPr>
        <w:t>enterprise's</w:t>
      </w:r>
      <w:r>
        <w:rPr>
          <w:rFonts w:ascii="DejaVu Serif" w:hAnsi="DejaVu Serif"/>
        </w:rPr>
        <w:t xml:space="preserve"> information technology architecture in a way that aligns with its business strategy.</w:t>
      </w:r>
    </w:p>
    <w:p>
      <w:pPr>
        <w:pStyle w:val="BodyText"/>
        <w:jc w:val="both"/>
        <w:rPr>
          <w:rFonts w:ascii="DejaVu Serif" w:hAnsi="DejaVu Serif"/>
        </w:rPr>
      </w:pPr>
      <w:r>
        <w:rPr>
          <w:rFonts w:ascii="DejaVu Serif" w:hAnsi="DejaVu Serif"/>
        </w:rPr>
        <w:t xml:space="preserve">Said differently: TOGAF is a </w:t>
      </w:r>
      <w:r>
        <w:rPr>
          <w:rFonts w:ascii="DejaVu Serif" w:hAnsi="DejaVu Serif"/>
          <w:b/>
          <w:bCs/>
        </w:rPr>
        <w:t>recipe</w:t>
      </w:r>
      <w:r>
        <w:rPr>
          <w:rFonts w:ascii="DejaVu Serif" w:hAnsi="DejaVu Serif"/>
        </w:rPr>
        <w:t xml:space="preserve"> </w:t>
      </w:r>
      <w:r>
        <w:rPr>
          <w:rFonts w:ascii="DejaVu Serif" w:hAnsi="DejaVu Serif"/>
          <w:b/>
          <w:bCs/>
        </w:rPr>
        <w:t>book</w:t>
      </w:r>
      <w:r>
        <w:rPr>
          <w:rFonts w:ascii="DejaVu Serif" w:hAnsi="DejaVu Serif"/>
        </w:rPr>
        <w:t xml:space="preserve"> and </w:t>
      </w:r>
      <w:r>
        <w:rPr>
          <w:rFonts w:ascii="DejaVu Serif" w:hAnsi="DejaVu Serif"/>
          <w:b/>
          <w:bCs/>
        </w:rPr>
        <w:t>toolkit</w:t>
      </w:r>
      <w:r>
        <w:rPr>
          <w:rFonts w:ascii="DejaVu Serif" w:hAnsi="DejaVu Serif"/>
        </w:rPr>
        <w:t xml:space="preserve"> that helps an </w:t>
      </w:r>
      <w:r>
        <w:rPr>
          <w:rFonts w:ascii="DejaVu Serif" w:hAnsi="DejaVu Serif"/>
          <w:b/>
          <w:bCs/>
        </w:rPr>
        <w:t>organisation</w:t>
      </w:r>
      <w:r>
        <w:rPr>
          <w:rFonts w:ascii="DejaVu Serif" w:hAnsi="DejaVu Serif"/>
        </w:rPr>
        <w:t xml:space="preserve"> move from its </w:t>
      </w:r>
      <w:r>
        <w:rPr>
          <w:rFonts w:ascii="DejaVu Serif" w:hAnsi="DejaVu Serif"/>
          <w:b/>
          <w:bCs/>
        </w:rPr>
        <w:t>current</w:t>
      </w:r>
      <w:r>
        <w:rPr>
          <w:rFonts w:ascii="DejaVu Serif" w:hAnsi="DejaVu Serif"/>
        </w:rPr>
        <w:t xml:space="preserve"> </w:t>
      </w:r>
      <w:r>
        <w:rPr>
          <w:rFonts w:ascii="DejaVu Serif" w:hAnsi="DejaVu Serif"/>
          <w:b/>
          <w:bCs/>
        </w:rPr>
        <w:t>technology</w:t>
      </w:r>
      <w:r>
        <w:rPr>
          <w:rFonts w:ascii="DejaVu Serif" w:hAnsi="DejaVu Serif"/>
        </w:rPr>
        <w:t xml:space="preserve"> </w:t>
      </w:r>
      <w:r>
        <w:rPr>
          <w:rFonts w:ascii="DejaVu Serif" w:hAnsi="DejaVu Serif"/>
          <w:b/>
          <w:bCs/>
        </w:rPr>
        <w:t>landscape</w:t>
      </w:r>
      <w:r>
        <w:rPr>
          <w:rFonts w:ascii="DejaVu Serif" w:hAnsi="DejaVu Serif"/>
        </w:rPr>
        <w:t xml:space="preserve"> to a </w:t>
      </w:r>
      <w:r>
        <w:rPr>
          <w:rFonts w:ascii="DejaVu Serif" w:hAnsi="DejaVu Serif"/>
          <w:b/>
          <w:bCs/>
        </w:rPr>
        <w:t>desired</w:t>
      </w:r>
      <w:r>
        <w:rPr>
          <w:rFonts w:ascii="DejaVu Serif" w:hAnsi="DejaVu Serif"/>
        </w:rPr>
        <w:t xml:space="preserve"> </w:t>
      </w:r>
      <w:r>
        <w:rPr>
          <w:rFonts w:ascii="DejaVu Serif" w:hAnsi="DejaVu Serif"/>
          <w:b/>
          <w:bCs/>
        </w:rPr>
        <w:t>future</w:t>
      </w:r>
      <w:r>
        <w:rPr>
          <w:rFonts w:ascii="DejaVu Serif" w:hAnsi="DejaVu Serif"/>
        </w:rPr>
        <w:t xml:space="preserve"> technology landscape, </w:t>
      </w:r>
      <w:r>
        <w:rPr>
          <w:rFonts w:ascii="DejaVu Serif" w:hAnsi="DejaVu Serif"/>
          <w:b/>
          <w:bCs/>
        </w:rPr>
        <w:t>without</w:t>
      </w:r>
      <w:r>
        <w:rPr>
          <w:rFonts w:ascii="DejaVu Serif" w:hAnsi="DejaVu Serif"/>
        </w:rPr>
        <w:t xml:space="preserve"> losing </w:t>
      </w:r>
      <w:r>
        <w:rPr>
          <w:rFonts w:ascii="DejaVu Serif" w:hAnsi="DejaVu Serif"/>
          <w:b/>
          <w:bCs/>
        </w:rPr>
        <w:t>sight</w:t>
      </w:r>
      <w:r>
        <w:rPr>
          <w:rFonts w:ascii="DejaVu Serif" w:hAnsi="DejaVu Serif"/>
        </w:rPr>
        <w:t xml:space="preserve"> of </w:t>
      </w:r>
      <w:r>
        <w:rPr>
          <w:rFonts w:ascii="DejaVu Serif" w:hAnsi="DejaVu Serif"/>
          <w:b/>
          <w:bCs/>
        </w:rPr>
        <w:t>why</w:t>
      </w:r>
      <w:r>
        <w:rPr>
          <w:rFonts w:ascii="DejaVu Serif" w:hAnsi="DejaVu Serif"/>
        </w:rPr>
        <w:t xml:space="preserve"> the change is </w:t>
      </w:r>
      <w:r>
        <w:rPr>
          <w:rFonts w:ascii="DejaVu Serif" w:hAnsi="DejaVu Serif"/>
          <w:b/>
          <w:bCs/>
        </w:rPr>
        <w:t>being</w:t>
      </w:r>
      <w:r>
        <w:rPr>
          <w:rFonts w:ascii="DejaVu Serif" w:hAnsi="DejaVu Serif"/>
        </w:rPr>
        <w:t xml:space="preserve"> made (the business), </w:t>
      </w:r>
      <w:r>
        <w:rPr>
          <w:rFonts w:ascii="DejaVu Serif" w:hAnsi="DejaVu Serif"/>
          <w:b/>
          <w:bCs/>
        </w:rPr>
        <w:t>what</w:t>
      </w:r>
      <w:r>
        <w:rPr>
          <w:rFonts w:ascii="DejaVu Serif" w:hAnsi="DejaVu Serif"/>
        </w:rPr>
        <w:t xml:space="preserve"> is being </w:t>
      </w:r>
      <w:r>
        <w:rPr>
          <w:rFonts w:ascii="DejaVu Serif" w:hAnsi="DejaVu Serif"/>
          <w:b/>
          <w:bCs/>
        </w:rPr>
        <w:t>changed</w:t>
      </w:r>
      <w:r>
        <w:rPr>
          <w:rFonts w:ascii="DejaVu Serif" w:hAnsi="DejaVu Serif"/>
        </w:rPr>
        <w:t xml:space="preserve"> (the </w:t>
      </w:r>
      <w:r>
        <w:rPr>
          <w:rFonts w:ascii="DejaVu Serif" w:hAnsi="DejaVu Serif"/>
          <w:b/>
          <w:bCs/>
        </w:rPr>
        <w:t>data</w:t>
      </w:r>
      <w:r>
        <w:rPr>
          <w:rFonts w:ascii="DejaVu Serif" w:hAnsi="DejaVu Serif"/>
        </w:rPr>
        <w:t xml:space="preserve">, </w:t>
      </w:r>
      <w:r>
        <w:rPr>
          <w:rFonts w:ascii="DejaVu Serif" w:hAnsi="DejaVu Serif"/>
          <w:b/>
          <w:bCs/>
        </w:rPr>
        <w:t>applications</w:t>
      </w:r>
      <w:r>
        <w:rPr>
          <w:rFonts w:ascii="DejaVu Serif" w:hAnsi="DejaVu Serif"/>
        </w:rPr>
        <w:t xml:space="preserve">, </w:t>
      </w:r>
      <w:r>
        <w:rPr>
          <w:rFonts w:ascii="DejaVu Serif" w:hAnsi="DejaVu Serif"/>
          <w:b/>
          <w:bCs/>
        </w:rPr>
        <w:t>infrastructure</w:t>
      </w:r>
      <w:r>
        <w:rPr>
          <w:rFonts w:ascii="DejaVu Serif" w:hAnsi="DejaVu Serif"/>
        </w:rPr>
        <w:t xml:space="preserve">), and </w:t>
      </w:r>
      <w:r>
        <w:rPr>
          <w:rFonts w:ascii="DejaVu Serif" w:hAnsi="DejaVu Serif"/>
          <w:b/>
          <w:bCs/>
        </w:rPr>
        <w:t>how</w:t>
      </w:r>
      <w:r>
        <w:rPr>
          <w:rFonts w:ascii="DejaVu Serif" w:hAnsi="DejaVu Serif"/>
        </w:rPr>
        <w:t xml:space="preserve"> the change </w:t>
      </w:r>
      <w:r>
        <w:rPr>
          <w:rFonts w:ascii="DejaVu Serif" w:hAnsi="DejaVu Serif"/>
          <w:b/>
          <w:bCs/>
        </w:rPr>
        <w:t>will</w:t>
      </w:r>
      <w:r>
        <w:rPr>
          <w:rFonts w:ascii="DejaVu Serif" w:hAnsi="DejaVu Serif"/>
        </w:rPr>
        <w:t xml:space="preserve"> be </w:t>
      </w:r>
      <w:r>
        <w:rPr>
          <w:rFonts w:ascii="DejaVu Serif" w:hAnsi="DejaVu Serif"/>
          <w:b/>
          <w:bCs/>
        </w:rPr>
        <w:t>controlled</w:t>
      </w:r>
      <w:r>
        <w:rPr>
          <w:rFonts w:ascii="DejaVu Serif" w:hAnsi="DejaVu Serif"/>
        </w:rPr>
        <w:t xml:space="preserve"> (</w:t>
      </w:r>
      <w:r>
        <w:rPr>
          <w:rFonts w:ascii="DejaVu Serif" w:hAnsi="DejaVu Serif"/>
          <w:b/>
          <w:bCs/>
        </w:rPr>
        <w:t>governance</w:t>
      </w:r>
      <w:r>
        <w:rPr>
          <w:rFonts w:ascii="DejaVu Serif" w:hAnsi="DejaVu Serif"/>
        </w:rPr>
        <w:t>).</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TOGAF: </w:t>
            </w:r>
            <w:r>
              <w:rPr/>
              <w:t>The Open Group Architecture Framework — a comprehensive, openly published Enterprise Architecture (EA) standard that provides methods, deliverables, reference models, and governance guidance for developing and managing enterprise architectures.</w:t>
            </w:r>
          </w:p>
        </w:tc>
      </w:tr>
    </w:tbl>
    <w:p>
      <w:pPr>
        <w:pStyle w:val="Heading2"/>
        <w:spacing w:before="280" w:after="160"/>
        <w:rPr/>
      </w:pPr>
      <w:r>
        <w:rPr>
          <w:b/>
          <w:bCs/>
          <w:color w:val="2E75B6"/>
        </w:rPr>
        <w:t>1.2 The Purpose of TOGAF</w:t>
      </w:r>
    </w:p>
    <w:p>
      <w:pPr>
        <w:pStyle w:val="BodyText"/>
        <w:jc w:val="both"/>
        <w:rPr>
          <w:rFonts w:ascii="DejaVu Serif" w:hAnsi="DejaVu Serif"/>
        </w:rPr>
      </w:pPr>
      <w:r>
        <w:rPr>
          <w:rFonts w:ascii="DejaVu Serif" w:hAnsi="DejaVu Serif"/>
        </w:rPr>
        <w:t xml:space="preserve">TOGAF exists to solve a fundamental problem in large organisations: as enterprises grow, they </w:t>
      </w:r>
      <w:r>
        <w:rPr>
          <w:rFonts w:ascii="DejaVu Serif" w:hAnsi="DejaVu Serif"/>
          <w:b/>
          <w:bCs/>
        </w:rPr>
        <w:t>accumulate</w:t>
      </w:r>
      <w:r>
        <w:rPr>
          <w:rFonts w:ascii="DejaVu Serif" w:hAnsi="DejaVu Serif"/>
        </w:rPr>
        <w:t xml:space="preserve"> technology, processes, data, and systems in an unplanned way. The result is a tangled landscape that is expensive to run, slow to change, hard to understand, and impossible to </w:t>
      </w:r>
      <w:r>
        <w:rPr>
          <w:rFonts w:ascii="DejaVu Serif" w:hAnsi="DejaVu Serif"/>
          <w:b/>
          <w:bCs/>
        </w:rPr>
        <w:t>govern</w:t>
      </w:r>
      <w:r>
        <w:rPr>
          <w:rFonts w:ascii="DejaVu Serif" w:hAnsi="DejaVu Serif"/>
        </w:rPr>
        <w:t xml:space="preserve">. TOGAF </w:t>
      </w:r>
      <w:r>
        <w:rPr>
          <w:rFonts w:ascii="DejaVu Serif" w:hAnsi="DejaVu Serif"/>
          <w:b/>
          <w:bCs/>
        </w:rPr>
        <w:t>gives</w:t>
      </w:r>
      <w:r>
        <w:rPr>
          <w:rFonts w:ascii="DejaVu Serif" w:hAnsi="DejaVu Serif"/>
        </w:rPr>
        <w:t xml:space="preserve"> organisations a common </w:t>
      </w:r>
      <w:r>
        <w:rPr>
          <w:rFonts w:ascii="DejaVu Serif" w:hAnsi="DejaVu Serif"/>
          <w:b/>
          <w:bCs/>
        </w:rPr>
        <w:t>language</w:t>
      </w:r>
      <w:r>
        <w:rPr>
          <w:rFonts w:ascii="DejaVu Serif" w:hAnsi="DejaVu Serif"/>
        </w:rPr>
        <w:t xml:space="preserve">, a common </w:t>
      </w:r>
      <w:r>
        <w:rPr>
          <w:rFonts w:ascii="DejaVu Serif" w:hAnsi="DejaVu Serif"/>
          <w:b/>
          <w:bCs/>
        </w:rPr>
        <w:t>method</w:t>
      </w:r>
      <w:r>
        <w:rPr>
          <w:rFonts w:ascii="DejaVu Serif" w:hAnsi="DejaVu Serif"/>
        </w:rPr>
        <w:t xml:space="preserve">, and a common </w:t>
      </w:r>
      <w:r>
        <w:rPr>
          <w:rFonts w:ascii="DejaVu Serif" w:hAnsi="DejaVu Serif"/>
          <w:b/>
          <w:bCs/>
        </w:rPr>
        <w:t>set</w:t>
      </w:r>
      <w:r>
        <w:rPr>
          <w:rFonts w:ascii="DejaVu Serif" w:hAnsi="DejaVu Serif"/>
        </w:rPr>
        <w:t xml:space="preserve"> of </w:t>
      </w:r>
      <w:r>
        <w:rPr>
          <w:rFonts w:ascii="DejaVu Serif" w:hAnsi="DejaVu Serif"/>
          <w:b/>
          <w:bCs/>
        </w:rPr>
        <w:t>artefacts</w:t>
      </w:r>
      <w:r>
        <w:rPr>
          <w:rFonts w:ascii="DejaVu Serif" w:hAnsi="DejaVu Serif"/>
        </w:rPr>
        <w:t xml:space="preserve"> so that architecture can be done deliberately rather than accidentally.</w:t>
      </w:r>
    </w:p>
    <w:p>
      <w:pPr>
        <w:pStyle w:val="Heading3"/>
        <w:spacing w:before="220" w:after="120"/>
        <w:rPr/>
      </w:pPr>
      <w:r>
        <w:rPr>
          <w:b/>
          <w:bCs/>
          <w:color w:val="404040"/>
        </w:rPr>
        <w:t>Specific Purposes</w:t>
      </w:r>
    </w:p>
    <w:p>
      <w:pPr>
        <w:pStyle w:val="ListParagraph"/>
        <w:numPr>
          <w:ilvl w:val="0"/>
          <w:numId w:val="2"/>
        </w:numPr>
        <w:spacing w:lineRule="auto" w:line="281" w:before="0" w:after="80"/>
        <w:rPr>
          <w:rFonts w:ascii="DejaVu Serif" w:hAnsi="DejaVu Serif"/>
        </w:rPr>
      </w:pPr>
      <w:r>
        <w:rPr>
          <w:rFonts w:ascii="DejaVu Serif" w:hAnsi="DejaVu Serif"/>
        </w:rPr>
        <w:t xml:space="preserve">Provide a </w:t>
      </w:r>
      <w:r>
        <w:rPr>
          <w:rFonts w:ascii="DejaVu Serif" w:hAnsi="DejaVu Serif"/>
          <w:b/>
          <w:bCs/>
        </w:rPr>
        <w:t>repeatable</w:t>
      </w:r>
      <w:r>
        <w:rPr>
          <w:rFonts w:ascii="DejaVu Serif" w:hAnsi="DejaVu Serif"/>
        </w:rPr>
        <w:t xml:space="preserve"> </w:t>
      </w:r>
      <w:r>
        <w:rPr>
          <w:rFonts w:ascii="DejaVu Serif" w:hAnsi="DejaVu Serif"/>
          <w:b/>
          <w:bCs/>
        </w:rPr>
        <w:t>method</w:t>
      </w:r>
      <w:r>
        <w:rPr>
          <w:rFonts w:ascii="DejaVu Serif" w:hAnsi="DejaVu Serif"/>
        </w:rPr>
        <w:t xml:space="preserve"> (the ADM) for developing architectures.</w:t>
      </w:r>
    </w:p>
    <w:p>
      <w:pPr>
        <w:pStyle w:val="ListParagraph"/>
        <w:numPr>
          <w:ilvl w:val="0"/>
          <w:numId w:val="2"/>
        </w:numPr>
        <w:spacing w:lineRule="auto" w:line="281" w:before="0" w:after="80"/>
        <w:rPr>
          <w:rFonts w:ascii="DejaVu Serif" w:hAnsi="DejaVu Serif"/>
        </w:rPr>
      </w:pPr>
      <w:r>
        <w:rPr>
          <w:rFonts w:ascii="DejaVu Serif" w:hAnsi="DejaVu Serif"/>
        </w:rPr>
        <w:t xml:space="preserve">Provide a common </w:t>
      </w:r>
      <w:r>
        <w:rPr>
          <w:rFonts w:ascii="DejaVu Serif" w:hAnsi="DejaVu Serif"/>
          <w:b/>
          <w:bCs/>
        </w:rPr>
        <w:t>vocabulary</w:t>
      </w:r>
      <w:r>
        <w:rPr>
          <w:rFonts w:ascii="DejaVu Serif" w:hAnsi="DejaVu Serif"/>
        </w:rPr>
        <w:t xml:space="preserve"> so that business, IT, security, and data professionals can communicate </w:t>
      </w:r>
      <w:r>
        <w:rPr>
          <w:rFonts w:ascii="DejaVu Serif" w:hAnsi="DejaVu Serif"/>
          <w:b/>
          <w:bCs/>
        </w:rPr>
        <w:t>without</w:t>
      </w:r>
      <w:r>
        <w:rPr>
          <w:rFonts w:ascii="DejaVu Serif" w:hAnsi="DejaVu Serif"/>
        </w:rPr>
        <w:t xml:space="preserve"> confusion.</w:t>
      </w:r>
    </w:p>
    <w:p>
      <w:pPr>
        <w:pStyle w:val="ListParagraph"/>
        <w:numPr>
          <w:ilvl w:val="0"/>
          <w:numId w:val="2"/>
        </w:numPr>
        <w:spacing w:lineRule="auto" w:line="281" w:before="0" w:after="80"/>
        <w:rPr>
          <w:rFonts w:ascii="DejaVu Serif" w:hAnsi="DejaVu Serif"/>
        </w:rPr>
      </w:pPr>
      <w:r>
        <w:rPr>
          <w:rFonts w:ascii="DejaVu Serif" w:hAnsi="DejaVu Serif"/>
        </w:rPr>
        <w:t xml:space="preserve">Reduce risk and cost in </w:t>
      </w:r>
      <w:r>
        <w:rPr>
          <w:rFonts w:ascii="DejaVu Serif" w:hAnsi="DejaVu Serif"/>
          <w:b/>
          <w:bCs/>
        </w:rPr>
        <w:t>transformation</w:t>
      </w:r>
      <w:r>
        <w:rPr>
          <w:rFonts w:ascii="DejaVu Serif" w:hAnsi="DejaVu Serif"/>
        </w:rPr>
        <w:t xml:space="preserve"> programmes by promoting reuse and discouraging duplication.</w:t>
      </w:r>
    </w:p>
    <w:p>
      <w:pPr>
        <w:pStyle w:val="ListParagraph"/>
        <w:numPr>
          <w:ilvl w:val="0"/>
          <w:numId w:val="2"/>
        </w:numPr>
        <w:spacing w:lineRule="auto" w:line="281" w:before="0" w:after="80"/>
        <w:rPr>
          <w:rFonts w:ascii="DejaVu Serif" w:hAnsi="DejaVu Serif"/>
        </w:rPr>
      </w:pPr>
      <w:r>
        <w:rPr>
          <w:rFonts w:ascii="DejaVu Serif" w:hAnsi="DejaVu Serif"/>
        </w:rPr>
        <w:t>Align IT investment with business strategy through traceability from goals → capabilities → systems.</w:t>
      </w:r>
    </w:p>
    <w:p>
      <w:pPr>
        <w:pStyle w:val="ListParagraph"/>
        <w:numPr>
          <w:ilvl w:val="0"/>
          <w:numId w:val="2"/>
        </w:numPr>
        <w:spacing w:lineRule="auto" w:line="281" w:before="0" w:after="80"/>
        <w:rPr>
          <w:rFonts w:ascii="DejaVu Serif" w:hAnsi="DejaVu Serif"/>
        </w:rPr>
      </w:pPr>
      <w:r>
        <w:rPr>
          <w:rFonts w:ascii="DejaVu Serif" w:hAnsi="DejaVu Serif"/>
        </w:rPr>
        <w:t>Promote interoperability and openness through vendor-neutral standards.</w:t>
      </w:r>
    </w:p>
    <w:p>
      <w:pPr>
        <w:pStyle w:val="ListParagraph"/>
        <w:numPr>
          <w:ilvl w:val="0"/>
          <w:numId w:val="2"/>
        </w:numPr>
        <w:spacing w:lineRule="auto" w:line="281" w:before="0" w:after="80"/>
        <w:rPr>
          <w:rFonts w:ascii="DejaVu Serif" w:hAnsi="DejaVu Serif"/>
        </w:rPr>
      </w:pPr>
      <w:r>
        <w:rPr>
          <w:rFonts w:ascii="DejaVu Serif" w:hAnsi="DejaVu Serif"/>
        </w:rPr>
        <w:t>Support effective governance so that architectures are not just designed but actually adhered to.</w:t>
      </w:r>
    </w:p>
    <w:p>
      <w:pPr>
        <w:pStyle w:val="ListParagraph"/>
        <w:numPr>
          <w:ilvl w:val="0"/>
          <w:numId w:val="2"/>
        </w:numPr>
        <w:spacing w:lineRule="auto" w:line="281" w:before="0" w:after="80"/>
        <w:rPr>
          <w:rFonts w:ascii="DejaVu Serif" w:hAnsi="DejaVu Serif"/>
        </w:rPr>
      </w:pPr>
      <w:r>
        <w:rPr>
          <w:rFonts w:ascii="DejaVu Serif" w:hAnsi="DejaVu Serif"/>
        </w:rPr>
        <w:t>Enable certification of practitioners so that organisations can hire architects with verified knowledge.</w:t>
      </w:r>
    </w:p>
    <w:p>
      <w:pPr>
        <w:pStyle w:val="Heading2"/>
        <w:spacing w:before="280" w:after="160"/>
        <w:rPr>
          <w:b/>
          <w:bCs/>
          <w:color w:val="2E75B6"/>
        </w:rPr>
      </w:pPr>
      <w:r>
        <w:rPr>
          <w:rFonts w:ascii="DejaVu Serif" w:hAnsi="DejaVu Serif"/>
          <w:b/>
          <w:bCs/>
          <w:color w:val="2E75B6"/>
        </w:rPr>
        <w:t>1.3 Target Us</w:t>
      </w:r>
      <w:r>
        <w:rPr>
          <w:b/>
          <w:bCs/>
          <w:color w:val="2E75B6"/>
        </w:rPr>
        <w:t>ers</w:t>
      </w:r>
    </w:p>
    <w:p>
      <w:pPr>
        <w:pStyle w:val="BodyText"/>
        <w:jc w:val="both"/>
        <w:rPr>
          <w:rFonts w:ascii="DejaVu Serif" w:hAnsi="DejaVu Serif"/>
        </w:rPr>
      </w:pPr>
      <w:r>
        <w:rPr>
          <w:rFonts w:ascii="DejaVu Serif" w:hAnsi="DejaVu Serif"/>
        </w:rPr>
        <w:t>TOGAF is not written for a single audience. It is layered so that different people can read different parts of it. The Open Group explicitly identifies the following target users:</w:t>
      </w:r>
    </w:p>
    <w:tbl>
      <w:tblPr>
        <w:tblW w:w="9360" w:type="dxa"/>
        <w:jc w:val="left"/>
        <w:tblInd w:w="0" w:type="dxa"/>
        <w:tblLayout w:type="fixed"/>
        <w:tblCellMar>
          <w:top w:w="100" w:type="dxa"/>
          <w:left w:w="120" w:type="dxa"/>
          <w:bottom w:w="100" w:type="dxa"/>
          <w:right w:w="120" w:type="dxa"/>
        </w:tblCellMar>
      </w:tblPr>
      <w:tblGrid>
        <w:gridCol w:w="1828"/>
        <w:gridCol w:w="3872"/>
        <w:gridCol w:w="3660"/>
      </w:tblGrid>
      <w:tr>
        <w:trPr>
          <w:tblHeader w:val="true"/>
          <w:trHeight w:val="750" w:hRule="atLeast"/>
        </w:trPr>
        <w:tc>
          <w:tcPr>
            <w:tcW w:w="1828"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jc w:val="both"/>
              <w:rPr>
                <w:sz w:val="20"/>
                <w:szCs w:val="20"/>
              </w:rPr>
            </w:pPr>
            <w:r>
              <w:rPr>
                <w:rFonts w:ascii="DejaVu Serif" w:hAnsi="DejaVu Serif"/>
                <w:sz w:val="20"/>
                <w:szCs w:val="20"/>
              </w:rPr>
              <w:t>User Group</w:t>
            </w:r>
          </w:p>
        </w:tc>
        <w:tc>
          <w:tcPr>
            <w:tcW w:w="3872"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jc w:val="both"/>
              <w:rPr>
                <w:sz w:val="20"/>
                <w:szCs w:val="20"/>
              </w:rPr>
            </w:pPr>
            <w:r>
              <w:rPr>
                <w:rFonts w:ascii="DejaVu Serif" w:hAnsi="DejaVu Serif"/>
                <w:sz w:val="20"/>
                <w:szCs w:val="20"/>
              </w:rPr>
              <w:t>Why They Use TOGAF</w:t>
            </w:r>
          </w:p>
        </w:tc>
        <w:tc>
          <w:tcPr>
            <w:tcW w:w="36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jc w:val="both"/>
              <w:rPr>
                <w:sz w:val="20"/>
                <w:szCs w:val="20"/>
              </w:rPr>
            </w:pPr>
            <w:r>
              <w:rPr>
                <w:rFonts w:ascii="DejaVu Serif" w:hAnsi="DejaVu Serif"/>
                <w:sz w:val="20"/>
                <w:szCs w:val="20"/>
              </w:rPr>
              <w:t>Typical TOGAF Areas of Interest</w:t>
            </w:r>
          </w:p>
        </w:tc>
      </w:tr>
      <w:tr>
        <w:trPr/>
        <w:tc>
          <w:tcPr>
            <w:tcW w:w="182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Enterprise Architects</w:t>
            </w:r>
          </w:p>
        </w:tc>
        <w:tc>
          <w:tcPr>
            <w:tcW w:w="387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To design, evolve and govern the overall architecture of the enterprise.</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ADM, Content Framework, Repository, Reference Models</w:t>
            </w:r>
          </w:p>
        </w:tc>
      </w:tr>
      <w:tr>
        <w:trPr/>
        <w:tc>
          <w:tcPr>
            <w:tcW w:w="182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Solution Architects</w:t>
            </w:r>
          </w:p>
        </w:tc>
        <w:tc>
          <w:tcPr>
            <w:tcW w:w="387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To design specific solutions that fit within the enterprise architecture.</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ADM Phases B–D, Building Blocks, Standards</w:t>
            </w:r>
          </w:p>
        </w:tc>
      </w:tr>
      <w:tr>
        <w:trPr/>
        <w:tc>
          <w:tcPr>
            <w:tcW w:w="182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Business Architects</w:t>
            </w:r>
          </w:p>
        </w:tc>
        <w:tc>
          <w:tcPr>
            <w:tcW w:w="387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To map business capabilities, value streams and processes to IT.</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Phase B (Business Architecture), Capability Modelling</w:t>
            </w:r>
          </w:p>
        </w:tc>
      </w:tr>
      <w:tr>
        <w:trPr/>
        <w:tc>
          <w:tcPr>
            <w:tcW w:w="182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Data / Application / Technology Architects</w:t>
            </w:r>
          </w:p>
        </w:tc>
        <w:tc>
          <w:tcPr>
            <w:tcW w:w="387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To define domain-specific architectures.</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Phases C and D, TRM, III-RM</w:t>
            </w:r>
          </w:p>
        </w:tc>
      </w:tr>
      <w:tr>
        <w:trPr/>
        <w:tc>
          <w:tcPr>
            <w:tcW w:w="182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Programme &amp; Project Managers</w:t>
            </w:r>
          </w:p>
        </w:tc>
        <w:tc>
          <w:tcPr>
            <w:tcW w:w="387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To understand how architecture deliverables feed into delivery.</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Phases E–G, Implementation Governance</w:t>
            </w:r>
          </w:p>
        </w:tc>
      </w:tr>
      <w:tr>
        <w:trPr/>
        <w:tc>
          <w:tcPr>
            <w:tcW w:w="182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CIOs and IT Leadership</w:t>
            </w:r>
          </w:p>
        </w:tc>
        <w:tc>
          <w:tcPr>
            <w:tcW w:w="387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To establish an architecture practice and align IT to strategy.</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Preliminary Phase, Architecture Capability Framework</w:t>
            </w:r>
          </w:p>
        </w:tc>
      </w:tr>
      <w:tr>
        <w:trPr/>
        <w:tc>
          <w:tcPr>
            <w:tcW w:w="182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Vendors and Consultants</w:t>
            </w:r>
          </w:p>
        </w:tc>
        <w:tc>
          <w:tcPr>
            <w:tcW w:w="387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To align products and services with a recognised standard.</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jc w:val="both"/>
              <w:rPr>
                <w:sz w:val="20"/>
                <w:szCs w:val="20"/>
              </w:rPr>
            </w:pPr>
            <w:r>
              <w:rPr>
                <w:rFonts w:ascii="DejaVu Serif" w:hAnsi="DejaVu Serif"/>
                <w:sz w:val="20"/>
                <w:szCs w:val="20"/>
              </w:rPr>
              <w:t>Reference Models, Standards Information Base</w:t>
            </w:r>
          </w:p>
        </w:tc>
      </w:tr>
      <w:tr>
        <w:trPr/>
        <w:tc>
          <w:tcPr>
            <w:tcW w:w="182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Auditors and Risk Officers</w:t>
            </w:r>
          </w:p>
        </w:tc>
        <w:tc>
          <w:tcPr>
            <w:tcW w:w="387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To assess whether architecture decisions are governed.</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jc w:val="both"/>
              <w:rPr>
                <w:sz w:val="20"/>
                <w:szCs w:val="20"/>
              </w:rPr>
            </w:pPr>
            <w:r>
              <w:rPr>
                <w:rFonts w:ascii="DejaVu Serif" w:hAnsi="DejaVu Serif"/>
                <w:sz w:val="20"/>
                <w:szCs w:val="20"/>
              </w:rPr>
              <w:t>Architecture Governance, Compliance Reviews</w:t>
            </w:r>
          </w:p>
        </w:tc>
      </w:tr>
    </w:tbl>
    <w:p>
      <w:pPr>
        <w:pStyle w:val="BodyText"/>
        <w:jc w:val="both"/>
        <w:rPr>
          <w:rFonts w:ascii="DejaVu Serif" w:hAnsi="DejaVu Serif"/>
        </w:rPr>
      </w:pPr>
      <w:r>
        <w:rPr>
          <w:rFonts w:ascii="DejaVu Serif" w:hAnsi="DejaVu Serif"/>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BodyText"/>
              <w:rPr>
                <w:rFonts w:ascii="DejaVu Serif" w:hAnsi="DejaVu Serif"/>
              </w:rPr>
            </w:pPr>
            <w:r>
              <w:rPr>
                <w:rFonts w:ascii="DejaVu Serif" w:hAnsi="DejaVu Serif"/>
              </w:rPr>
              <w:t xml:space="preserve">▶ </w:t>
            </w:r>
            <w:r>
              <w:rPr>
                <w:rFonts w:ascii="DejaVu Serif" w:hAnsi="DejaVu Serif"/>
              </w:rPr>
              <w:t>Real-World Example: A Global Bank Adopts TOGAF</w:t>
            </w:r>
          </w:p>
          <w:p>
            <w:pPr>
              <w:pStyle w:val="BodyText"/>
              <w:rPr>
                <w:rFonts w:ascii="DejaVu Serif" w:hAnsi="DejaVu Serif"/>
              </w:rPr>
            </w:pPr>
            <w:r>
              <w:rPr>
                <w:rFonts w:ascii="DejaVu Serif" w:hAnsi="DejaVu Serif"/>
              </w:rPr>
              <w:t>A multinational bank operating in 30 countries finds that each region runs its own core-banking system, customer database and reporting tool. Mergers and acquisitions over 20 years have left the bank with 14 different CRM platforms. Compliance reporting takes three months because data must be reconciled by hand.</w:t>
            </w:r>
          </w:p>
          <w:p>
            <w:pPr>
              <w:pStyle w:val="BodyText"/>
              <w:rPr>
                <w:rFonts w:ascii="DejaVu Serif" w:hAnsi="DejaVu Serif"/>
              </w:rPr>
            </w:pPr>
            <w:r>
              <w:rPr>
                <w:rFonts w:ascii="DejaVu Serif" w:hAnsi="DejaVu Serif"/>
              </w:rPr>
              <w:t>The bank adopts TOGAF to: (1) describe a single target architecture for customer data; (2) give every regional CIO a common vocabulary; (3) define a transition roadmap to consolidate the 14 CRMs onto two strategic platforms over five years; and (4) put in place an Architecture Board that approves any new system before procurement.</w:t>
            </w:r>
          </w:p>
          <w:p>
            <w:pPr>
              <w:pStyle w:val="BodyText"/>
              <w:spacing w:before="0" w:after="140"/>
              <w:rPr>
                <w:rFonts w:ascii="DejaVu Serif" w:hAnsi="DejaVu Serif"/>
              </w:rPr>
            </w:pPr>
            <w:r>
              <w:rPr>
                <w:rFonts w:ascii="DejaVu Serif" w:hAnsi="DejaVu Serif"/>
              </w:rPr>
              <w:t>Without TOGAF, each region would propose its own solution, the consolidation would have no roadmap, and the Architecture Board would have nothing consistent to approve against.</w:t>
            </w:r>
          </w:p>
        </w:tc>
      </w:tr>
    </w:tbl>
    <w:p>
      <w:pPr>
        <w:pStyle w:val="Heading1"/>
        <w:spacing w:before="0" w:after="200"/>
        <w:rPr/>
      </w:pPr>
      <w:r>
        <w:rPr>
          <w:b/>
          <w:bCs/>
          <w:color w:val="1F4E78"/>
        </w:rPr>
        <w:t>2. TOGAF Version Timeline</w:t>
      </w:r>
    </w:p>
    <w:p>
      <w:pPr>
        <w:pStyle w:val="BodyText"/>
        <w:jc w:val="both"/>
        <w:rPr>
          <w:rFonts w:ascii="DejaVu Serif" w:hAnsi="DejaVu Serif"/>
        </w:rPr>
      </w:pPr>
      <w:r>
        <w:rPr>
          <w:rFonts w:ascii="DejaVu Serif" w:hAnsi="DejaVu Serif"/>
        </w:rPr>
        <w:t>Understanding TOGAF's history is essential because each major version reflects a shift in thinking about enterprise architecture. The framework did not appear fully formed; it evolved over more than three decades from a U.S. Department of Defense initiative into the most widely adopted EA framework in the world.</w:t>
      </w:r>
    </w:p>
    <w:p>
      <w:pPr>
        <w:pStyle w:val="Heading2"/>
        <w:spacing w:before="280" w:after="160"/>
        <w:rPr/>
      </w:pPr>
      <w:r>
        <w:rPr>
          <w:b/>
          <w:bCs/>
          <w:color w:val="2E75B6"/>
        </w:rPr>
        <w:t>2.1 The Full Lineage at a Glance</w:t>
      </w:r>
    </w:p>
    <w:tbl>
      <w:tblPr>
        <w:tblW w:w="9360" w:type="dxa"/>
        <w:jc w:val="left"/>
        <w:tblInd w:w="0" w:type="dxa"/>
        <w:tblLayout w:type="fixed"/>
        <w:tblCellMar>
          <w:top w:w="100" w:type="dxa"/>
          <w:left w:w="120" w:type="dxa"/>
          <w:bottom w:w="100" w:type="dxa"/>
          <w:right w:w="120" w:type="dxa"/>
        </w:tblCellMar>
      </w:tblPr>
      <w:tblGrid>
        <w:gridCol w:w="900"/>
        <w:gridCol w:w="2900"/>
        <w:gridCol w:w="5560"/>
      </w:tblGrid>
      <w:tr>
        <w:trPr>
          <w:tblHeader w:val="true"/>
        </w:trPr>
        <w:tc>
          <w:tcPr>
            <w:tcW w:w="90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sz w:val="20"/>
                <w:szCs w:val="20"/>
              </w:rPr>
            </w:pPr>
            <w:r>
              <w:rPr>
                <w:rFonts w:ascii="DejaVu Serif" w:hAnsi="DejaVu Serif"/>
                <w:sz w:val="20"/>
                <w:szCs w:val="20"/>
              </w:rPr>
              <w:t>Year</w:t>
            </w:r>
          </w:p>
        </w:tc>
        <w:tc>
          <w:tcPr>
            <w:tcW w:w="290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sz w:val="20"/>
                <w:szCs w:val="20"/>
              </w:rPr>
            </w:pPr>
            <w:r>
              <w:rPr>
                <w:rFonts w:ascii="DejaVu Serif" w:hAnsi="DejaVu Serif"/>
                <w:sz w:val="20"/>
                <w:szCs w:val="20"/>
              </w:rPr>
              <w:t>Version / Event</w:t>
            </w:r>
          </w:p>
        </w:tc>
        <w:tc>
          <w:tcPr>
            <w:tcW w:w="55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sz w:val="20"/>
                <w:szCs w:val="20"/>
              </w:rPr>
            </w:pPr>
            <w:r>
              <w:rPr>
                <w:rFonts w:ascii="DejaVu Serif" w:hAnsi="DejaVu Serif"/>
                <w:sz w:val="20"/>
                <w:szCs w:val="20"/>
              </w:rPr>
              <w:t>Key Significance</w:t>
            </w:r>
          </w:p>
        </w:tc>
      </w:tr>
      <w:tr>
        <w:trPr/>
        <w:tc>
          <w:tcPr>
            <w:tcW w:w="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1990</w:t>
            </w:r>
          </w:p>
        </w:tc>
        <w:tc>
          <w:tcPr>
            <w:tcW w:w="2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TAFIM created by U.S. DoD</w:t>
            </w:r>
          </w:p>
        </w:tc>
        <w:tc>
          <w:tcPr>
            <w:tcW w:w="5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The technical and conceptual ancestor of TOGAF; first formal architecture framework.</w:t>
            </w:r>
          </w:p>
        </w:tc>
      </w:tr>
      <w:tr>
        <w:trPr/>
        <w:tc>
          <w:tcPr>
            <w:tcW w:w="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1995</w:t>
            </w:r>
          </w:p>
        </w:tc>
        <w:tc>
          <w:tcPr>
            <w:tcW w:w="2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TOGAF Version 1</w:t>
            </w:r>
          </w:p>
        </w:tc>
        <w:tc>
          <w:tcPr>
            <w:tcW w:w="5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The Open Group adapts TAFIM into a vendor-neutral, openly published EA framework.</w:t>
            </w:r>
          </w:p>
        </w:tc>
      </w:tr>
      <w:tr>
        <w:trPr/>
        <w:tc>
          <w:tcPr>
            <w:tcW w:w="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1996–2002</w:t>
            </w:r>
          </w:p>
        </w:tc>
        <w:tc>
          <w:tcPr>
            <w:tcW w:w="2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Versions 2 to 7</w:t>
            </w:r>
          </w:p>
        </w:tc>
        <w:tc>
          <w:tcPr>
            <w:tcW w:w="5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Incremental refinements; ADM matures; Technical Reference Model added.</w:t>
            </w:r>
          </w:p>
        </w:tc>
      </w:tr>
      <w:tr>
        <w:trPr/>
        <w:tc>
          <w:tcPr>
            <w:tcW w:w="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2003</w:t>
            </w:r>
          </w:p>
        </w:tc>
        <w:tc>
          <w:tcPr>
            <w:tcW w:w="2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TOGAF 8 ("Enterprise Edition")</w:t>
            </w:r>
          </w:p>
        </w:tc>
        <w:tc>
          <w:tcPr>
            <w:tcW w:w="5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Expanded beyond technology architecture to include business, data, and applications.</w:t>
            </w:r>
          </w:p>
        </w:tc>
      </w:tr>
      <w:tr>
        <w:trPr/>
        <w:tc>
          <w:tcPr>
            <w:tcW w:w="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2009</w:t>
            </w:r>
          </w:p>
        </w:tc>
        <w:tc>
          <w:tcPr>
            <w:tcW w:w="2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TOGAF 9</w:t>
            </w:r>
          </w:p>
        </w:tc>
        <w:tc>
          <w:tcPr>
            <w:tcW w:w="5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Major rewrite: introduced Content Framework, Architecture Capability Framework, and Enterprise Continuum as we know them today.</w:t>
            </w:r>
          </w:p>
        </w:tc>
      </w:tr>
      <w:tr>
        <w:trPr/>
        <w:tc>
          <w:tcPr>
            <w:tcW w:w="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2011</w:t>
            </w:r>
          </w:p>
        </w:tc>
        <w:tc>
          <w:tcPr>
            <w:tcW w:w="2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TOGAF 9.1</w:t>
            </w:r>
          </w:p>
        </w:tc>
        <w:tc>
          <w:tcPr>
            <w:tcW w:w="5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Mostly editorial; clarified ambiguities in 9.</w:t>
            </w:r>
          </w:p>
        </w:tc>
      </w:tr>
      <w:tr>
        <w:trPr/>
        <w:tc>
          <w:tcPr>
            <w:tcW w:w="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2018</w:t>
            </w:r>
          </w:p>
        </w:tc>
        <w:tc>
          <w:tcPr>
            <w:tcW w:w="29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TOGAF 9.2</w:t>
            </w:r>
          </w:p>
        </w:tc>
        <w:tc>
          <w:tcPr>
            <w:tcW w:w="55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sz w:val="20"/>
                <w:szCs w:val="20"/>
              </w:rPr>
            </w:pPr>
            <w:r>
              <w:rPr>
                <w:rFonts w:ascii="DejaVu Serif" w:hAnsi="DejaVu Serif"/>
                <w:sz w:val="20"/>
                <w:szCs w:val="20"/>
              </w:rPr>
              <w:t>Updated for digital transformation; clarified Business Architecture; aligned with newer Open Group standards.</w:t>
            </w:r>
          </w:p>
        </w:tc>
      </w:tr>
      <w:tr>
        <w:trPr/>
        <w:tc>
          <w:tcPr>
            <w:tcW w:w="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2022</w:t>
            </w:r>
          </w:p>
        </w:tc>
        <w:tc>
          <w:tcPr>
            <w:tcW w:w="29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TOGAF 10 (Standard, 10th Edition)</w:t>
            </w:r>
          </w:p>
        </w:tc>
        <w:tc>
          <w:tcPr>
            <w:tcW w:w="55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sz w:val="20"/>
                <w:szCs w:val="20"/>
              </w:rPr>
            </w:pPr>
            <w:r>
              <w:rPr>
                <w:rFonts w:ascii="DejaVu Serif" w:hAnsi="DejaVu Serif"/>
                <w:sz w:val="20"/>
                <w:szCs w:val="20"/>
              </w:rPr>
              <w:t>Modular split into Fundamental Content + Series Guides; published as a body of knowledge rather than a single book.</w:t>
            </w:r>
          </w:p>
        </w:tc>
      </w:tr>
    </w:tbl>
    <w:p>
      <w:pPr>
        <w:pStyle w:val="Heading2"/>
        <w:spacing w:before="280" w:after="160"/>
        <w:rPr/>
      </w:pPr>
      <w:r>
        <w:rPr>
          <w:b/>
          <w:bCs/>
          <w:color w:val="2E75B6"/>
        </w:rPr>
        <w:t>2.2 TAFIM (1990) — The Forgotten Ancestor</w:t>
      </w:r>
    </w:p>
    <w:p>
      <w:pPr>
        <w:pStyle w:val="BodyText"/>
        <w:jc w:val="both"/>
        <w:rPr>
          <w:rFonts w:ascii="DejaVu Serif" w:hAnsi="DejaVu Serif"/>
        </w:rPr>
      </w:pPr>
      <w:r>
        <w:rPr>
          <w:rFonts w:ascii="DejaVu Serif" w:hAnsi="DejaVu Serif"/>
          <w:b/>
          <w:bCs/>
        </w:rPr>
        <w:t>TAFIM</w:t>
      </w:r>
      <w:r>
        <w:rPr>
          <w:rFonts w:ascii="DejaVu Serif" w:hAnsi="DejaVu Serif"/>
        </w:rPr>
        <w:t xml:space="preserve"> stands for the </w:t>
      </w:r>
      <w:r>
        <w:rPr>
          <w:rFonts w:ascii="DejaVu Serif" w:hAnsi="DejaVu Serif"/>
          <w:i/>
          <w:iCs/>
        </w:rPr>
        <w:t>Technical Architecture Framework for Information Management</w:t>
      </w:r>
      <w:r>
        <w:rPr>
          <w:rFonts w:ascii="DejaVu Serif" w:hAnsi="DejaVu Serif"/>
        </w:rPr>
        <w:t>. It was developed by the U.S. Department of Defense in the late 1980s and published in 1990. Its purpose was to give DoD a structured way to plan and manage IT across its enormous, fragmented IT estate.</w:t>
      </w:r>
    </w:p>
    <w:p>
      <w:pPr>
        <w:pStyle w:val="BodyText"/>
        <w:jc w:val="both"/>
        <w:rPr>
          <w:rFonts w:ascii="DejaVu Serif" w:hAnsi="DejaVu Serif"/>
        </w:rPr>
      </w:pPr>
      <w:r>
        <w:rPr>
          <w:rFonts w:ascii="DejaVu Serif" w:hAnsi="DejaVu Serif"/>
        </w:rPr>
        <w:t>TAFIM was important for two reasons. First, it was one of the earliest formal frameworks to separate the technical architecture from the business it supported. Second, it introduced the idea of an Architecture Development Method — a stepwise process for producing an architecture — which became the direct ancestor of TOGAF's ADM.</w:t>
      </w:r>
    </w:p>
    <w:p>
      <w:pPr>
        <w:pStyle w:val="BodyText"/>
        <w:jc w:val="both"/>
        <w:rPr>
          <w:rFonts w:ascii="DejaVu Serif" w:hAnsi="DejaVu Serif"/>
        </w:rPr>
      </w:pPr>
      <w:r>
        <w:rPr>
          <w:rFonts w:ascii="DejaVu Serif" w:hAnsi="DejaVu Serif"/>
        </w:rPr>
        <w:t>In 1995 the U.S. DoD declared TAFIM obsolete and transferred its intellectual property to The Open Group, which used it as the foundation for TOGAF. This is why the early ADM in TOGAF Versions 1–7 looks remarkably similar to the TAFIM process.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jc w:val="both"/>
              <w:rPr>
                <w:rFonts w:ascii="DejaVu Serif" w:hAnsi="DejaVu Serif"/>
              </w:rPr>
            </w:pPr>
            <w:r>
              <w:rPr>
                <w:rFonts w:ascii="DejaVu Serif" w:hAnsi="DejaVu Serif"/>
                <w:b/>
                <w:bCs/>
                <w:color w:val="1F4E78"/>
              </w:rPr>
              <w:t xml:space="preserve">🔑 </w:t>
            </w:r>
            <w:r>
              <w:rPr>
                <w:rFonts w:ascii="DejaVu Serif" w:hAnsi="DejaVu Serif"/>
                <w:b/>
                <w:bCs/>
                <w:color w:val="1F4E78"/>
              </w:rPr>
              <w:t xml:space="preserve">TAFIM: </w:t>
            </w:r>
            <w:r>
              <w:rPr>
                <w:rFonts w:ascii="DejaVu Serif" w:hAnsi="DejaVu Serif"/>
              </w:rPr>
              <w:t>Technical Architecture Framework for Information Management — a U.S. DoD framework (1990) that became the conceptual basis for TOGAF when its IP was transferred to The Open Group in 1995.</w:t>
            </w:r>
          </w:p>
        </w:tc>
      </w:tr>
    </w:tbl>
    <w:p>
      <w:pPr>
        <w:pStyle w:val="Heading2"/>
        <w:spacing w:before="280" w:after="160"/>
        <w:rPr/>
      </w:pPr>
      <w:r>
        <w:rPr>
          <w:b/>
          <w:bCs/>
          <w:color w:val="2E75B6"/>
        </w:rPr>
        <w:t>2.3 TOGAF 1 (1995) — The Birth</w:t>
      </w:r>
    </w:p>
    <w:p>
      <w:pPr>
        <w:pStyle w:val="BodyText"/>
        <w:jc w:val="both"/>
        <w:rPr>
          <w:rFonts w:ascii="DejaVu Serif" w:hAnsi="DejaVu Serif"/>
        </w:rPr>
      </w:pPr>
      <w:r>
        <w:rPr>
          <w:rFonts w:ascii="DejaVu Serif" w:hAnsi="DejaVu Serif"/>
        </w:rPr>
        <w:t>TOGAF Version 1 was published in 1995 by The Open Group. It was very close to TAFIM in content but was reframed as a vendor-neutral, openly available framework that any organisation — commercial or government, U.S. or international — could adopt without licensing fees. This open publication model, which still applies today, is one of the main reasons TOGAF spread so widely.</w:t>
      </w:r>
    </w:p>
    <w:p>
      <w:pPr>
        <w:pStyle w:val="BodyText"/>
        <w:jc w:val="both"/>
        <w:rPr>
          <w:rFonts w:ascii="DejaVu Serif" w:hAnsi="DejaVu Serif"/>
        </w:rPr>
      </w:pPr>
      <w:r>
        <w:rPr>
          <w:rFonts w:ascii="DejaVu Serif" w:hAnsi="DejaVu Serif"/>
        </w:rPr>
        <w:t>Version 1 already contained the seed of what would become the Architecture Development Method, although the ADM as a named, eight-phase cycle did not crystallise until later versions.</w:t>
      </w:r>
    </w:p>
    <w:p>
      <w:pPr>
        <w:pStyle w:val="Heading2"/>
        <w:spacing w:before="280" w:after="160"/>
        <w:rPr/>
      </w:pPr>
      <w:r>
        <w:rPr>
          <w:b/>
          <w:bCs/>
          <w:color w:val="2E75B6"/>
        </w:rPr>
        <w:t>2.4 TOGAF 9 (2009) — The Modern Form</w:t>
      </w:r>
    </w:p>
    <w:p>
      <w:pPr>
        <w:pStyle w:val="BodyText"/>
        <w:rPr>
          <w:rFonts w:ascii="DejaVu Serif" w:hAnsi="DejaVu Serif"/>
        </w:rPr>
      </w:pPr>
      <w:r>
        <w:rPr>
          <w:rFonts w:ascii="DejaVu Serif" w:hAnsi="DejaVu Serif"/>
        </w:rPr>
        <w:t>TOGAF 9 was a watershed release. It restructured the entire framework into the modular form recognisable today and introduced (or formalised) several ideas that are now core:</w:t>
      </w:r>
    </w:p>
    <w:p>
      <w:pPr>
        <w:pStyle w:val="BodyText"/>
        <w:numPr>
          <w:ilvl w:val="0"/>
          <w:numId w:val="3"/>
        </w:numPr>
        <w:rPr>
          <w:rFonts w:ascii="DejaVu Serif" w:hAnsi="DejaVu Serif"/>
        </w:rPr>
      </w:pPr>
      <w:r>
        <w:rPr>
          <w:rFonts w:ascii="DejaVu Serif" w:hAnsi="DejaVu Serif"/>
        </w:rPr>
        <w:t>The Architecture Content Framework, which provides a structured metamodel for architecture deliverables.</w:t>
      </w:r>
    </w:p>
    <w:p>
      <w:pPr>
        <w:pStyle w:val="BodyText"/>
        <w:numPr>
          <w:ilvl w:val="0"/>
          <w:numId w:val="3"/>
        </w:numPr>
        <w:rPr>
          <w:rFonts w:ascii="DejaVu Serif" w:hAnsi="DejaVu Serif"/>
        </w:rPr>
      </w:pPr>
      <w:r>
        <w:rPr>
          <w:rFonts w:ascii="DejaVu Serif" w:hAnsi="DejaVu Serif"/>
        </w:rPr>
        <w:t>The Enterprise Continuum, which provides a way to classify architectures and solutions from generic to organisation-specific.</w:t>
      </w:r>
    </w:p>
    <w:p>
      <w:pPr>
        <w:pStyle w:val="BodyText"/>
        <w:numPr>
          <w:ilvl w:val="0"/>
          <w:numId w:val="3"/>
        </w:numPr>
        <w:rPr>
          <w:rFonts w:ascii="DejaVu Serif" w:hAnsi="DejaVu Serif"/>
        </w:rPr>
      </w:pPr>
      <w:r>
        <w:rPr>
          <w:rFonts w:ascii="DejaVu Serif" w:hAnsi="DejaVu Serif"/>
        </w:rPr>
        <w:t>The Architecture Capability Framework, which describes the people, processes and tools needed to run an architecture practice.</w:t>
      </w:r>
    </w:p>
    <w:p>
      <w:pPr>
        <w:pStyle w:val="BodyText"/>
        <w:numPr>
          <w:ilvl w:val="0"/>
          <w:numId w:val="3"/>
        </w:numPr>
        <w:rPr>
          <w:rFonts w:ascii="DejaVu Serif" w:hAnsi="DejaVu Serif"/>
        </w:rPr>
      </w:pPr>
      <w:r>
        <w:rPr>
          <w:rFonts w:ascii="DejaVu Serif" w:hAnsi="DejaVu Serif"/>
        </w:rPr>
        <w:t>Formal recognition of four architecture domains: Business, Data, Application, Technology (BDAT).</w:t>
      </w:r>
    </w:p>
    <w:p>
      <w:pPr>
        <w:pStyle w:val="BodyText"/>
        <w:numPr>
          <w:ilvl w:val="0"/>
          <w:numId w:val="3"/>
        </w:numPr>
        <w:rPr>
          <w:rFonts w:ascii="DejaVu Serif" w:hAnsi="DejaVu Serif"/>
        </w:rPr>
      </w:pPr>
      <w:r>
        <w:rPr>
          <w:rFonts w:ascii="DejaVu Serif" w:hAnsi="DejaVu Serif"/>
        </w:rPr>
        <w:t>The Architecture Repository concept, distinct from the Continuum.</w:t>
      </w:r>
    </w:p>
    <w:p>
      <w:pPr>
        <w:pStyle w:val="BodyText"/>
        <w:rPr>
          <w:rFonts w:ascii="DejaVu Serif" w:hAnsi="DejaVu Serif"/>
        </w:rPr>
      </w:pPr>
      <w:r>
        <w:rPr>
          <w:rFonts w:ascii="DejaVu Serif" w:hAnsi="DejaVu Serif"/>
        </w:rPr>
        <w:t>TOGAF 9 also introduced the two-level certification scheme (Foundation and Certified) that became the global standard for architect credentialing.</w:t>
      </w:r>
    </w:p>
    <w:p>
      <w:pPr>
        <w:pStyle w:val="Heading2"/>
        <w:spacing w:before="280" w:after="160"/>
        <w:rPr/>
      </w:pPr>
      <w:r>
        <w:rPr>
          <w:b/>
          <w:bCs/>
          <w:color w:val="2E75B6"/>
        </w:rPr>
        <w:t>2.5 TOGAF 9.2 (2018) — Refinement for the Digital Era</w:t>
      </w:r>
    </w:p>
    <w:p>
      <w:pPr>
        <w:pStyle w:val="Normal"/>
        <w:spacing w:lineRule="auto" w:line="300" w:before="0" w:after="120"/>
        <w:jc w:val="both"/>
        <w:rPr>
          <w:rFonts w:ascii="DejaVu Serif" w:hAnsi="DejaVu Serif"/>
        </w:rPr>
      </w:pPr>
      <w:r>
        <w:rPr>
          <w:rFonts w:ascii="DejaVu Serif" w:hAnsi="DejaVu Serif"/>
        </w:rPr>
        <w:t>Released in April 2018, TOGAF 9.2 was a refinement rather than a redesign. Its main themes were:</w:t>
      </w:r>
    </w:p>
    <w:p>
      <w:pPr>
        <w:pStyle w:val="ListParagraph"/>
        <w:numPr>
          <w:ilvl w:val="0"/>
          <w:numId w:val="2"/>
        </w:numPr>
        <w:spacing w:lineRule="auto" w:line="281" w:before="0" w:after="80"/>
        <w:jc w:val="both"/>
        <w:rPr>
          <w:rFonts w:ascii="DejaVu Serif" w:hAnsi="DejaVu Serif"/>
        </w:rPr>
      </w:pPr>
      <w:r>
        <w:rPr>
          <w:rFonts w:ascii="DejaVu Serif" w:hAnsi="DejaVu Serif"/>
        </w:rPr>
        <w:t>Strengthened guidance on Business Architecture, including business capabilities, value streams, and information mapping.</w:t>
      </w:r>
    </w:p>
    <w:p>
      <w:pPr>
        <w:pStyle w:val="ListParagraph"/>
        <w:numPr>
          <w:ilvl w:val="0"/>
          <w:numId w:val="2"/>
        </w:numPr>
        <w:spacing w:lineRule="auto" w:line="281" w:before="0" w:after="80"/>
        <w:jc w:val="both"/>
        <w:rPr>
          <w:rFonts w:ascii="DejaVu Serif" w:hAnsi="DejaVu Serif"/>
        </w:rPr>
      </w:pPr>
      <w:r>
        <w:rPr>
          <w:rFonts w:ascii="DejaVu Serif" w:hAnsi="DejaVu Serif"/>
        </w:rPr>
        <w:t>Removal of outdated material (such as deprecated reference content).</w:t>
      </w:r>
    </w:p>
    <w:p>
      <w:pPr>
        <w:pStyle w:val="ListParagraph"/>
        <w:numPr>
          <w:ilvl w:val="0"/>
          <w:numId w:val="2"/>
        </w:numPr>
        <w:spacing w:lineRule="auto" w:line="281" w:before="0" w:after="80"/>
        <w:jc w:val="both"/>
        <w:rPr>
          <w:rFonts w:ascii="DejaVu Serif" w:hAnsi="DejaVu Serif"/>
        </w:rPr>
      </w:pPr>
      <w:r>
        <w:rPr>
          <w:rFonts w:ascii="DejaVu Serif" w:hAnsi="DejaVu Serif"/>
        </w:rPr>
        <w:t>Better alignment with The Open Group's newer standards including the IT4IT Reference Architecture and ArchiMate.</w:t>
      </w:r>
    </w:p>
    <w:p>
      <w:pPr>
        <w:pStyle w:val="ListParagraph"/>
        <w:numPr>
          <w:ilvl w:val="0"/>
          <w:numId w:val="2"/>
        </w:numPr>
        <w:spacing w:lineRule="auto" w:line="281" w:before="0" w:after="80"/>
        <w:jc w:val="both"/>
        <w:rPr>
          <w:rFonts w:ascii="DejaVu Serif" w:hAnsi="DejaVu Serif"/>
        </w:rPr>
      </w:pPr>
      <w:r>
        <w:rPr>
          <w:rFonts w:ascii="DejaVu Serif" w:hAnsi="DejaVu Serif"/>
        </w:rPr>
        <w:t>Clarification of language around the Phase B (Business Architecture) deliverables.</w:t>
      </w:r>
    </w:p>
    <w:p>
      <w:pPr>
        <w:pStyle w:val="Normal"/>
        <w:spacing w:lineRule="auto" w:line="300" w:before="0" w:after="120"/>
        <w:jc w:val="both"/>
        <w:rPr/>
      </w:pPr>
      <w:r>
        <w:rPr>
          <w:rFonts w:ascii="DejaVu Serif" w:hAnsi="DejaVu Serif"/>
        </w:rPr>
        <w:t>9.2 was the last "single-book" version of TOGAF. Everything you needed was bound into one publication</w:t>
      </w:r>
      <w:r>
        <w:rPr/>
        <w:t>.</w:t>
      </w:r>
    </w:p>
    <w:p>
      <w:pPr>
        <w:pStyle w:val="Heading2"/>
        <w:spacing w:before="280" w:after="160"/>
        <w:rPr/>
      </w:pPr>
      <w:r>
        <w:rPr>
          <w:b/>
          <w:bCs/>
          <w:color w:val="2E75B6"/>
        </w:rPr>
        <w:t>2.6 TOGAF 10 (2022) — The Modular Era</w:t>
      </w:r>
    </w:p>
    <w:p>
      <w:pPr>
        <w:pStyle w:val="Normal"/>
        <w:spacing w:lineRule="auto" w:line="300" w:before="0" w:after="120"/>
        <w:jc w:val="both"/>
        <w:rPr>
          <w:rFonts w:ascii="DejaVu Serif" w:hAnsi="DejaVu Serif"/>
        </w:rPr>
      </w:pPr>
      <w:r>
        <w:rPr>
          <w:rFonts w:ascii="DejaVu Serif" w:hAnsi="DejaVu Serif"/>
        </w:rPr>
        <w:t>Published in April 2022 as the TOGAF Standard, 10th Edition, TOGAF 10 represents the biggest structural change since TOGAF 9. The single book was broken into a smaller core (Fundamental Content) plus a growing library of Series Guides covering specific topics in depth. This change is described in detail in Section 5 of this guide, but the key idea is: TOGAF is now a body of knowledge that can grow and update topic by topic, rather than a monolithic publication that can only update every several years.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Why the Modular Split Matters</w:t>
            </w:r>
          </w:p>
          <w:p>
            <w:pPr>
              <w:pStyle w:val="Normal"/>
              <w:spacing w:lineRule="auto" w:line="281" w:before="0" w:after="60"/>
              <w:jc w:val="both"/>
              <w:rPr>
                <w:rFonts w:ascii="DejaVu Serif" w:hAnsi="DejaVu Serif"/>
              </w:rPr>
            </w:pPr>
            <w:r>
              <w:rPr>
                <w:rFonts w:ascii="DejaVu Serif" w:hAnsi="DejaVu Serif"/>
              </w:rPr>
              <w:t>Imagine a textbook on medicine that is updated every six years. Between editions, treatments change and entire sections become outdated. Now imagine the same textbook published as a small "core principles" volume plus dozens of topic guides (cardiology, oncology, diabetes care) each maintained on its own schedule.</w:t>
            </w:r>
          </w:p>
          <w:p>
            <w:pPr>
              <w:pStyle w:val="Normal"/>
              <w:spacing w:lineRule="auto" w:line="281" w:before="0" w:after="60"/>
              <w:jc w:val="both"/>
              <w:rPr>
                <w:rFonts w:ascii="DejaVu Serif" w:hAnsi="DejaVu Serif"/>
              </w:rPr>
            </w:pPr>
            <w:r>
              <w:rPr>
                <w:rFonts w:ascii="DejaVu Serif" w:hAnsi="DejaVu Serif"/>
              </w:rPr>
              <w:t>TOGAF 10 made the same transition. The Fundamental Content rarely changes, but topics like Business Architecture, Agile, or Digital Enterprise can be refreshed independently as Series Guides. This is faster, more focused, and lets the framework keep pace with real-world practice.</w:t>
            </w:r>
          </w:p>
        </w:tc>
      </w:tr>
    </w:tbl>
    <w:p>
      <w:pPr>
        <w:pStyle w:val="Heading1"/>
        <w:spacing w:before="0" w:after="200"/>
        <w:rPr/>
      </w:pPr>
      <w:r>
        <w:rPr>
          <w:b/>
          <w:bCs/>
          <w:color w:val="1F4E78"/>
        </w:rPr>
        <w:t>3. The Open Group and How TOGAF Is Governed</w:t>
      </w:r>
    </w:p>
    <w:p>
      <w:pPr>
        <w:pStyle w:val="Heading2"/>
        <w:spacing w:before="280" w:after="160"/>
        <w:rPr/>
      </w:pPr>
      <w:r>
        <w:rPr>
          <w:b/>
          <w:bCs/>
          <w:color w:val="2E75B6"/>
        </w:rPr>
        <w:t>3.1 Who is The Open Group?</w:t>
      </w:r>
    </w:p>
    <w:p>
      <w:pPr>
        <w:pStyle w:val="BodyText"/>
        <w:jc w:val="both"/>
        <w:rPr>
          <w:rFonts w:ascii="DejaVu Serif" w:hAnsi="DejaVu Serif"/>
        </w:rPr>
      </w:pPr>
      <w:r>
        <w:rPr>
          <w:rFonts w:ascii="DejaVu Serif" w:hAnsi="DejaVu Serif"/>
        </w:rPr>
        <w:t>The Open Group is a global, vendor-neutral consortium founded in 1996 through the merger of the Open Software Foundation and X/Open. It has more than 900 member organisations including major technology vendors, end-user enterprises, government agencies, academic institutions and consulting firms. Its mission, often summarised as "Boundaryless Information Flow™", is to enable interoperable IT through open standards.</w:t>
      </w:r>
    </w:p>
    <w:p>
      <w:pPr>
        <w:pStyle w:val="BodyText"/>
        <w:jc w:val="both"/>
        <w:rPr/>
      </w:pPr>
      <w:r>
        <w:rPr>
          <w:rFonts w:ascii="DejaVu Serif" w:hAnsi="DejaVu Serif"/>
        </w:rPr>
        <w:t>The Open Group does not sell software. It produces and maintains open standards, certification programmes, and reference frameworks. Its revenue comes from membership fees, certification fees, and publication sales — not from product licensing. This funding model is what allows it to remain genuinely vendor-neutral.</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jc w:val="both"/>
              <w:rPr>
                <w:rFonts w:ascii="DejaVu Serif" w:hAnsi="DejaVu Serif"/>
              </w:rPr>
            </w:pPr>
            <w:r>
              <w:rPr>
                <w:rFonts w:ascii="DejaVu Serif" w:hAnsi="DejaVu Serif"/>
                <w:b/>
                <w:bCs/>
                <w:color w:val="1F4E78"/>
              </w:rPr>
              <w:t xml:space="preserve">🔑 </w:t>
            </w:r>
            <w:r>
              <w:rPr>
                <w:rFonts w:ascii="DejaVu Serif" w:hAnsi="DejaVu Serif"/>
                <w:b/>
                <w:bCs/>
                <w:color w:val="1F4E78"/>
              </w:rPr>
              <w:t xml:space="preserve">The Open Group: </w:t>
            </w:r>
            <w:r>
              <w:rPr>
                <w:rFonts w:ascii="DejaVu Serif" w:hAnsi="DejaVu Serif"/>
              </w:rPr>
              <w:t>A global vendor-neutral standards consortium that owns, develops, maintains, and certifies the TOGAF Standard along with related standards such as ArchiMate®, IT4IT™, the Open FAIR™ risk standard, and the Open Agile Architecture™ standard.</w:t>
            </w:r>
          </w:p>
        </w:tc>
      </w:tr>
    </w:tbl>
    <w:p>
      <w:pPr>
        <w:pStyle w:val="BodyText"/>
        <w:jc w:val="both"/>
        <w:rPr>
          <w:b/>
          <w:bCs/>
        </w:rPr>
      </w:pPr>
      <w:r>
        <w:rPr>
          <w:b/>
          <w:bCs/>
        </w:rPr>
        <w:t>3.2 How TOGAF Is Governed</w:t>
      </w:r>
    </w:p>
    <w:p>
      <w:pPr>
        <w:pStyle w:val="Normal"/>
        <w:spacing w:lineRule="auto" w:line="300" w:before="0" w:after="120"/>
        <w:jc w:val="both"/>
        <w:rPr/>
      </w:pPr>
      <w:r>
        <w:rPr/>
        <w:t>TOGAF is developed and maintained through a formal governance process inside The Open Group. This is important to understand because it explains why TOGAF evolves the way it does.</w:t>
      </w:r>
    </w:p>
    <w:p>
      <w:pPr>
        <w:pStyle w:val="Heading3"/>
        <w:spacing w:before="220" w:after="120"/>
        <w:rPr/>
      </w:pPr>
      <w:r>
        <w:rPr>
          <w:b/>
          <w:bCs/>
          <w:color w:val="404040"/>
        </w:rPr>
        <w:t>3.2.1 The Architecture Forum</w:t>
      </w:r>
    </w:p>
    <w:p>
      <w:pPr>
        <w:pStyle w:val="BodyText"/>
        <w:jc w:val="both"/>
        <w:rPr>
          <w:rFonts w:ascii="DejaVu Serif" w:hAnsi="DejaVu Serif"/>
        </w:rPr>
      </w:pPr>
      <w:r>
        <w:rPr>
          <w:rFonts w:ascii="DejaVu Serif" w:hAnsi="DejaVu Serif"/>
        </w:rPr>
        <w:t>The Architecture Forum is the working body within The Open Group responsible for TOGAF. It is composed of member-organisation representatives — practising architects, vendors, and end-user enterprises. The Forum meets regularly (in person and virtually), debates proposed changes, drafts new content, reviews public comments, and votes on the publication of new versions.</w:t>
      </w:r>
    </w:p>
    <w:p>
      <w:pPr>
        <w:pStyle w:val="Heading3"/>
        <w:spacing w:before="220" w:after="120"/>
        <w:rPr/>
      </w:pPr>
      <w:r>
        <w:rPr>
          <w:b/>
          <w:bCs/>
          <w:color w:val="404040"/>
        </w:rPr>
        <w:t>3.2.2 The Standards Process</w:t>
      </w:r>
    </w:p>
    <w:p>
      <w:pPr>
        <w:pStyle w:val="ListParagraph"/>
        <w:numPr>
          <w:ilvl w:val="0"/>
          <w:numId w:val="12"/>
        </w:numPr>
        <w:spacing w:lineRule="auto" w:line="281" w:before="0" w:after="80"/>
        <w:rPr>
          <w:rFonts w:ascii="DejaVu Serif" w:hAnsi="DejaVu Serif"/>
        </w:rPr>
      </w:pPr>
      <w:r>
        <w:rPr>
          <w:rFonts w:ascii="DejaVu Serif" w:hAnsi="DejaVu Serif"/>
        </w:rPr>
        <w:t>A topic is identified — either a gap in the current standard or a request from members.</w:t>
      </w:r>
    </w:p>
    <w:p>
      <w:pPr>
        <w:pStyle w:val="ListParagraph"/>
        <w:numPr>
          <w:ilvl w:val="0"/>
          <w:numId w:val="5"/>
        </w:numPr>
        <w:spacing w:lineRule="auto" w:line="281" w:before="0" w:after="80"/>
        <w:rPr>
          <w:rFonts w:ascii="DejaVu Serif" w:hAnsi="DejaVu Serif"/>
        </w:rPr>
      </w:pPr>
      <w:r>
        <w:rPr>
          <w:rFonts w:ascii="DejaVu Serif" w:hAnsi="DejaVu Serif"/>
        </w:rPr>
        <w:t>A working group is formed within the Architecture Forum.</w:t>
      </w:r>
    </w:p>
    <w:p>
      <w:pPr>
        <w:pStyle w:val="ListParagraph"/>
        <w:numPr>
          <w:ilvl w:val="0"/>
          <w:numId w:val="5"/>
        </w:numPr>
        <w:spacing w:lineRule="auto" w:line="281" w:before="0" w:after="80"/>
        <w:rPr>
          <w:rFonts w:ascii="DejaVu Serif" w:hAnsi="DejaVu Serif"/>
        </w:rPr>
      </w:pPr>
      <w:r>
        <w:rPr>
          <w:rFonts w:ascii="DejaVu Serif" w:hAnsi="DejaVu Serif"/>
        </w:rPr>
        <w:t>A draft is produced, often called a Snapshot, and circulated for member review.</w:t>
      </w:r>
    </w:p>
    <w:p>
      <w:pPr>
        <w:pStyle w:val="ListParagraph"/>
        <w:numPr>
          <w:ilvl w:val="0"/>
          <w:numId w:val="5"/>
        </w:numPr>
        <w:spacing w:lineRule="auto" w:line="281" w:before="0" w:after="80"/>
        <w:rPr>
          <w:rFonts w:ascii="DejaVu Serif" w:hAnsi="DejaVu Serif"/>
        </w:rPr>
      </w:pPr>
      <w:r>
        <w:rPr>
          <w:rFonts w:ascii="DejaVu Serif" w:hAnsi="DejaVu Serif"/>
        </w:rPr>
        <w:t>Public review periods may be opened so non-members can comment.</w:t>
      </w:r>
    </w:p>
    <w:p>
      <w:pPr>
        <w:pStyle w:val="ListParagraph"/>
        <w:numPr>
          <w:ilvl w:val="0"/>
          <w:numId w:val="5"/>
        </w:numPr>
        <w:spacing w:lineRule="auto" w:line="281" w:before="0" w:after="80"/>
        <w:rPr>
          <w:rFonts w:ascii="DejaVu Serif" w:hAnsi="DejaVu Serif"/>
        </w:rPr>
      </w:pPr>
      <w:r>
        <w:rPr>
          <w:rFonts w:ascii="DejaVu Serif" w:hAnsi="DejaVu Serif"/>
        </w:rPr>
        <w:t>The Forum revises the draft based on feedback.</w:t>
      </w:r>
    </w:p>
    <w:p>
      <w:pPr>
        <w:pStyle w:val="ListParagraph"/>
        <w:numPr>
          <w:ilvl w:val="0"/>
          <w:numId w:val="5"/>
        </w:numPr>
        <w:spacing w:lineRule="auto" w:line="281" w:before="0" w:after="80"/>
        <w:rPr>
          <w:rFonts w:ascii="DejaVu Serif" w:hAnsi="DejaVu Serif"/>
        </w:rPr>
      </w:pPr>
      <w:r>
        <w:rPr>
          <w:rFonts w:ascii="DejaVu Serif" w:hAnsi="DejaVu Serif"/>
        </w:rPr>
        <w:t>A formal vote is held; with sufficient consensus the document is published as part of the Standard or as a Series Guide.</w:t>
      </w:r>
    </w:p>
    <w:p>
      <w:pPr>
        <w:pStyle w:val="ListParagraph"/>
        <w:numPr>
          <w:ilvl w:val="0"/>
          <w:numId w:val="5"/>
        </w:numPr>
        <w:spacing w:lineRule="auto" w:line="281" w:before="0" w:after="80"/>
        <w:rPr>
          <w:rFonts w:ascii="DejaVu Serif" w:hAnsi="DejaVu Serif"/>
        </w:rPr>
      </w:pPr>
      <w:r>
        <w:rPr>
          <w:rFonts w:ascii="DejaVu Serif" w:hAnsi="DejaVu Serif"/>
        </w:rPr>
        <w:t>The published document is maintained and may be revised through the same process.</w:t>
      </w:r>
    </w:p>
    <w:p>
      <w:pPr>
        <w:pStyle w:val="Heading3"/>
        <w:spacing w:before="220" w:after="120"/>
        <w:rPr/>
      </w:pPr>
      <w:r>
        <w:rPr>
          <w:b/>
          <w:bCs/>
          <w:color w:val="404040"/>
        </w:rPr>
        <w:t>3.2.3 Certification Governance</w:t>
      </w:r>
    </w:p>
    <w:p>
      <w:pPr>
        <w:pStyle w:val="BodyText"/>
        <w:jc w:val="both"/>
        <w:rPr>
          <w:rFonts w:ascii="DejaVu Serif" w:hAnsi="DejaVu Serif"/>
        </w:rPr>
      </w:pPr>
      <w:r>
        <w:rPr>
          <w:rFonts w:ascii="DejaVu Serif" w:hAnsi="DejaVu Serif"/>
        </w:rPr>
        <w:t>Separate from content development, The Open Group runs the TOGAF certification programme. It accredits training providers, accredits exam delivery partners (such as Pearson VUE), defines the syllabus, sets the question banks, and issues certificates. This separation between content and certification is deliberate — it ensures that the standard is not designed primarily to make people pass exams, and that exam questions are tested for fairness.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Why Vendor-Neutral Governance Matters</w:t>
            </w:r>
          </w:p>
          <w:p>
            <w:pPr>
              <w:pStyle w:val="BodyText"/>
              <w:spacing w:before="0" w:after="140"/>
              <w:jc w:val="both"/>
              <w:rPr>
                <w:rFonts w:ascii="DejaVu Serif" w:hAnsi="DejaVu Serif"/>
              </w:rPr>
            </w:pPr>
            <w:r>
              <w:rPr>
                <w:rFonts w:ascii="DejaVu Serif" w:hAnsi="DejaVu Serif"/>
              </w:rPr>
              <w:t>Suppose Microsoft proposed that TOGAF mandate the use of Azure for cloud architecture. In a vendor-controlled framework, this might be accepted. In The Open Group, such a proposal would be rejected immediately because it violates vendor neutrality — and the same would be true of equivalent proposals from AWS, Google, Oracle, or IBM. This neutrality is why governments and competing vendors can sit in the same room and agree on TOGAF content.</w:t>
            </w:r>
          </w:p>
        </w:tc>
      </w:tr>
    </w:tbl>
    <w:p>
      <w:pPr>
        <w:pStyle w:val="Heading1"/>
        <w:spacing w:before="0" w:after="200"/>
        <w:rPr/>
      </w:pPr>
      <w:r>
        <w:rPr>
          <w:b/>
          <w:bCs/>
          <w:color w:val="1F4E78"/>
        </w:rPr>
        <w:t>4. TOGAF 10 Modular Structure</w:t>
      </w:r>
    </w:p>
    <w:p>
      <w:pPr>
        <w:pStyle w:val="BodyText"/>
        <w:jc w:val="both"/>
        <w:rPr>
          <w:rFonts w:ascii="DejaVu Serif" w:hAnsi="DejaVu Serif"/>
        </w:rPr>
      </w:pPr>
      <w:r>
        <w:rPr>
          <w:rFonts w:ascii="DejaVu Serif" w:hAnsi="DejaVu Serif"/>
        </w:rPr>
        <w:t xml:space="preserve">TOGAF 10 is no longer a single book. It is a body of knowledge organised into two distinct parts: </w:t>
      </w:r>
      <w:r>
        <w:rPr>
          <w:rFonts w:ascii="DejaVu Serif" w:hAnsi="DejaVu Serif"/>
          <w:b/>
          <w:bCs/>
        </w:rPr>
        <w:t>Fundamental</w:t>
      </w:r>
      <w:r>
        <w:rPr>
          <w:rFonts w:ascii="DejaVu Serif" w:hAnsi="DejaVu Serif"/>
        </w:rPr>
        <w:t xml:space="preserve"> </w:t>
      </w:r>
      <w:r>
        <w:rPr>
          <w:rFonts w:ascii="DejaVu Serif" w:hAnsi="DejaVu Serif"/>
          <w:b/>
          <w:bCs/>
        </w:rPr>
        <w:t>Content</w:t>
      </w:r>
      <w:r>
        <w:rPr>
          <w:rFonts w:ascii="DejaVu Serif" w:hAnsi="DejaVu Serif"/>
        </w:rPr>
        <w:t xml:space="preserve"> and </w:t>
      </w:r>
      <w:r>
        <w:rPr>
          <w:rFonts w:ascii="DejaVu Serif" w:hAnsi="DejaVu Serif"/>
          <w:b/>
          <w:bCs/>
        </w:rPr>
        <w:t>Series</w:t>
      </w:r>
      <w:r>
        <w:rPr>
          <w:rFonts w:ascii="DejaVu Serif" w:hAnsi="DejaVu Serif"/>
        </w:rPr>
        <w:t xml:space="preserve"> </w:t>
      </w:r>
      <w:r>
        <w:rPr>
          <w:rFonts w:ascii="DejaVu Serif" w:hAnsi="DejaVu Serif"/>
          <w:b/>
          <w:bCs/>
        </w:rPr>
        <w:t>Guides</w:t>
      </w:r>
      <w:r>
        <w:rPr>
          <w:rFonts w:ascii="DejaVu Serif" w:hAnsi="DejaVu Serif"/>
        </w:rPr>
        <w:t>. Understanding this distinction is critical — it appears explicitly on the certification exam, and it changes how you actually use the framework in practice.</w:t>
      </w:r>
    </w:p>
    <w:p>
      <w:pPr>
        <w:pStyle w:val="Heading2"/>
        <w:spacing w:before="280" w:after="160"/>
        <w:rPr/>
      </w:pPr>
      <w:r>
        <w:rPr>
          <w:b/>
          <w:bCs/>
          <w:color w:val="2E75B6"/>
        </w:rPr>
        <w:t>4.1 Fundamental Content</w:t>
      </w:r>
    </w:p>
    <w:p>
      <w:pPr>
        <w:pStyle w:val="BodyText"/>
        <w:jc w:val="both"/>
        <w:rPr>
          <w:rFonts w:ascii="DejaVu Serif" w:hAnsi="DejaVu Serif"/>
        </w:rPr>
      </w:pPr>
      <w:r>
        <w:rPr>
          <w:rFonts w:ascii="DejaVu Serif" w:hAnsi="DejaVu Serif"/>
        </w:rPr>
        <w:t>Fundamental Content is the stable core of TOGAF. It contains the concepts, methods, and structures that every TOGAF practitioner is expected to know and that change very rarely between releases. It is the part of TOGAF that you must master to be certified.</w:t>
      </w:r>
    </w:p>
    <w:p>
      <w:pPr>
        <w:pStyle w:val="Heading3"/>
        <w:spacing w:before="220" w:after="120"/>
        <w:rPr/>
      </w:pPr>
      <w:r>
        <w:rPr>
          <w:b/>
          <w:bCs/>
          <w:color w:val="404040"/>
        </w:rPr>
        <w:t>Documents That Make Up Fundamental Content</w:t>
      </w:r>
    </w:p>
    <w:p>
      <w:pPr>
        <w:pStyle w:val="ListParagraph"/>
        <w:numPr>
          <w:ilvl w:val="0"/>
          <w:numId w:val="2"/>
        </w:numPr>
        <w:spacing w:lineRule="auto" w:line="281" w:before="0" w:after="80"/>
        <w:rPr>
          <w:rFonts w:ascii="DejaVu Serif" w:hAnsi="DejaVu Serif"/>
        </w:rPr>
      </w:pPr>
      <w:r>
        <w:rPr>
          <w:rFonts w:ascii="DejaVu Serif" w:hAnsi="DejaVu Serif"/>
        </w:rPr>
        <w:t>Introduction and Core Concepts — overview, definitions, and the value proposition of EA.</w:t>
      </w:r>
    </w:p>
    <w:p>
      <w:pPr>
        <w:pStyle w:val="ListParagraph"/>
        <w:numPr>
          <w:ilvl w:val="0"/>
          <w:numId w:val="2"/>
        </w:numPr>
        <w:spacing w:lineRule="auto" w:line="281" w:before="0" w:after="80"/>
        <w:rPr>
          <w:rFonts w:ascii="DejaVu Serif" w:hAnsi="DejaVu Serif"/>
        </w:rPr>
      </w:pPr>
      <w:r>
        <w:rPr>
          <w:rFonts w:ascii="DejaVu Serif" w:hAnsi="DejaVu Serif"/>
        </w:rPr>
        <w:t>Architecture Development Method (ADM) — the eight-phase iterative method (Preliminary, A, B, C, D, E, F, G, H, plus Requirements Management).</w:t>
      </w:r>
    </w:p>
    <w:p>
      <w:pPr>
        <w:pStyle w:val="ListParagraph"/>
        <w:numPr>
          <w:ilvl w:val="0"/>
          <w:numId w:val="2"/>
        </w:numPr>
        <w:spacing w:lineRule="auto" w:line="281" w:before="0" w:after="80"/>
        <w:rPr>
          <w:rFonts w:ascii="DejaVu Serif" w:hAnsi="DejaVu Serif"/>
        </w:rPr>
      </w:pPr>
      <w:r>
        <w:rPr>
          <w:rFonts w:ascii="DejaVu Serif" w:hAnsi="DejaVu Serif"/>
        </w:rPr>
        <w:t>ADM Techniques — supporting techniques such as stakeholder management, business scenarios, gap analysis, risk management, and capability-based planning.</w:t>
      </w:r>
    </w:p>
    <w:p>
      <w:pPr>
        <w:pStyle w:val="ListParagraph"/>
        <w:numPr>
          <w:ilvl w:val="0"/>
          <w:numId w:val="2"/>
        </w:numPr>
        <w:spacing w:lineRule="auto" w:line="281" w:before="0" w:after="80"/>
        <w:rPr>
          <w:rFonts w:ascii="DejaVu Serif" w:hAnsi="DejaVu Serif"/>
        </w:rPr>
      </w:pPr>
      <w:r>
        <w:rPr>
          <w:rFonts w:ascii="DejaVu Serif" w:hAnsi="DejaVu Serif"/>
        </w:rPr>
        <w:t>Applying the ADM — guidance on iteration, levels of architecture, security and SOA integration.</w:t>
      </w:r>
    </w:p>
    <w:p>
      <w:pPr>
        <w:pStyle w:val="ListParagraph"/>
        <w:numPr>
          <w:ilvl w:val="0"/>
          <w:numId w:val="2"/>
        </w:numPr>
        <w:spacing w:lineRule="auto" w:line="281" w:before="0" w:after="80"/>
        <w:rPr>
          <w:rFonts w:ascii="DejaVu Serif" w:hAnsi="DejaVu Serif"/>
        </w:rPr>
      </w:pPr>
      <w:r>
        <w:rPr>
          <w:rFonts w:ascii="DejaVu Serif" w:hAnsi="DejaVu Serif"/>
        </w:rPr>
        <w:t>Architecture Content Framework — the metamodel describing artefacts, deliverables, and building blocks.</w:t>
      </w:r>
    </w:p>
    <w:p>
      <w:pPr>
        <w:pStyle w:val="ListParagraph"/>
        <w:numPr>
          <w:ilvl w:val="0"/>
          <w:numId w:val="2"/>
        </w:numPr>
        <w:spacing w:lineRule="auto" w:line="281" w:before="0" w:after="80"/>
        <w:rPr>
          <w:rFonts w:ascii="DejaVu Serif" w:hAnsi="DejaVu Serif"/>
        </w:rPr>
      </w:pPr>
      <w:r>
        <w:rPr>
          <w:rFonts w:ascii="DejaVu Serif" w:hAnsi="DejaVu Serif"/>
        </w:rPr>
        <w:t>Enterprise Continuum and Tools — classification scheme for architectures and solutions, and the Architecture Repository.</w:t>
      </w:r>
    </w:p>
    <w:p>
      <w:pPr>
        <w:pStyle w:val="ListParagraph"/>
        <w:numPr>
          <w:ilvl w:val="0"/>
          <w:numId w:val="2"/>
        </w:numPr>
        <w:spacing w:lineRule="auto" w:line="281" w:before="0" w:after="80"/>
        <w:rPr>
          <w:rFonts w:ascii="DejaVu Serif" w:hAnsi="DejaVu Serif"/>
        </w:rPr>
      </w:pPr>
      <w:r>
        <w:rPr>
          <w:rFonts w:ascii="DejaVu Serif" w:hAnsi="DejaVu Serif"/>
        </w:rPr>
        <w:t>Architecture Capability Framework — establishing and operating an architecture practice (Architecture Board, Governance, Skills, Compliance, Contracts).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Fundamental Content: </w:t>
            </w:r>
            <w:r>
              <w:rPr/>
              <w:t>The stable, normative core of the TOGAF Standard. It contains the ADM, the Content Framework, the Enterprise Continuum, the Architecture Capability Framework, and supporting techniques. It changes rarely and is the primary subject of TOGAF Foundation certification.</w:t>
            </w:r>
          </w:p>
        </w:tc>
      </w:tr>
    </w:tbl>
    <w:p>
      <w:pPr>
        <w:pStyle w:val="Heading2"/>
        <w:spacing w:before="280" w:after="160"/>
        <w:rPr/>
      </w:pPr>
      <w:r>
        <w:rPr>
          <w:b/>
          <w:bCs/>
          <w:color w:val="2E75B6"/>
        </w:rPr>
        <w:t>4.2 Series Guides</w:t>
      </w:r>
    </w:p>
    <w:p>
      <w:pPr>
        <w:pStyle w:val="Normal"/>
        <w:spacing w:lineRule="auto" w:line="300" w:before="0" w:after="120"/>
        <w:jc w:val="both"/>
        <w:rPr>
          <w:rFonts w:ascii="DejaVu Serif" w:hAnsi="DejaVu Serif"/>
        </w:rPr>
      </w:pPr>
      <w:r>
        <w:rPr>
          <w:rFonts w:ascii="DejaVu Serif" w:hAnsi="DejaVu Serif"/>
        </w:rPr>
        <w:t>Series Guides are topic-specific, deeper-dive documents that complement the Fundamental Content. They are published independently, can be updated independently, and address either (a) specialised domains, (b) emerging practices, or (c) detailed treatments of subjects that the Fundamental Content can only touch briefly.</w:t>
      </w:r>
    </w:p>
    <w:p>
      <w:pPr>
        <w:pStyle w:val="Heading3"/>
        <w:spacing w:before="220" w:after="120"/>
        <w:rPr/>
      </w:pPr>
      <w:r>
        <w:rPr>
          <w:b/>
          <w:bCs/>
          <w:color w:val="404040"/>
        </w:rPr>
        <w:t>Categories of Series Guides</w:t>
      </w:r>
    </w:p>
    <w:p>
      <w:pPr>
        <w:pStyle w:val="ListParagraph"/>
        <w:numPr>
          <w:ilvl w:val="0"/>
          <w:numId w:val="2"/>
        </w:numPr>
        <w:spacing w:lineRule="auto" w:line="281" w:before="0" w:after="80"/>
        <w:rPr>
          <w:rFonts w:ascii="DejaVu Serif" w:hAnsi="DejaVu Serif"/>
        </w:rPr>
      </w:pPr>
      <w:r>
        <w:rPr>
          <w:rFonts w:ascii="DejaVu Serif" w:hAnsi="DejaVu Serif"/>
        </w:rPr>
        <w:t>Business Architecture — guides on Business Capabilities, Value Streams, Information Mapping, Organization Mapping, and Business Models.</w:t>
      </w:r>
    </w:p>
    <w:p>
      <w:pPr>
        <w:pStyle w:val="ListParagraph"/>
        <w:numPr>
          <w:ilvl w:val="0"/>
          <w:numId w:val="2"/>
        </w:numPr>
        <w:spacing w:lineRule="auto" w:line="281" w:before="0" w:after="80"/>
        <w:rPr>
          <w:rFonts w:ascii="DejaVu Serif" w:hAnsi="DejaVu Serif"/>
        </w:rPr>
      </w:pPr>
      <w:r>
        <w:rPr>
          <w:rFonts w:ascii="DejaVu Serif" w:hAnsi="DejaVu Serif"/>
        </w:rPr>
        <w:t>Adapting the ADM — Agile methods, Digital Enterprise, Microservices Architecture.</w:t>
      </w:r>
    </w:p>
    <w:p>
      <w:pPr>
        <w:pStyle w:val="ListParagraph"/>
        <w:numPr>
          <w:ilvl w:val="0"/>
          <w:numId w:val="2"/>
        </w:numPr>
        <w:spacing w:lineRule="auto" w:line="281" w:before="0" w:after="80"/>
        <w:rPr>
          <w:rFonts w:ascii="DejaVu Serif" w:hAnsi="DejaVu Serif"/>
        </w:rPr>
      </w:pPr>
      <w:r>
        <w:rPr>
          <w:rFonts w:ascii="DejaVu Serif" w:hAnsi="DejaVu Serif"/>
        </w:rPr>
        <w:t>Reference Models — TRM (Technical Reference Model), III-RM (Integrated Information Infrastructure Reference Model), and others.</w:t>
      </w:r>
    </w:p>
    <w:p>
      <w:pPr>
        <w:pStyle w:val="ListParagraph"/>
        <w:numPr>
          <w:ilvl w:val="0"/>
          <w:numId w:val="2"/>
        </w:numPr>
        <w:spacing w:lineRule="auto" w:line="281" w:before="0" w:after="80"/>
        <w:rPr>
          <w:rFonts w:ascii="DejaVu Serif" w:hAnsi="DejaVu Serif"/>
        </w:rPr>
      </w:pPr>
      <w:r>
        <w:rPr>
          <w:rFonts w:ascii="DejaVu Serif" w:hAnsi="DejaVu Serif"/>
        </w:rPr>
        <w:t>Architecture Capabilities — Enterprise Architecture team operating models, EA practitioners' approaches.</w:t>
      </w:r>
    </w:p>
    <w:p>
      <w:pPr>
        <w:pStyle w:val="ListParagraph"/>
        <w:numPr>
          <w:ilvl w:val="0"/>
          <w:numId w:val="2"/>
        </w:numPr>
        <w:spacing w:lineRule="auto" w:line="281" w:before="0" w:after="80"/>
        <w:rPr>
          <w:rFonts w:ascii="DejaVu Serif" w:hAnsi="DejaVu Serif"/>
        </w:rPr>
      </w:pPr>
      <w:r>
        <w:rPr>
          <w:rFonts w:ascii="DejaVu Serif" w:hAnsi="DejaVu Serif"/>
        </w:rPr>
        <w:t>Domain-Specific Guides — Security architecture, Risk and Security integration, Government EA, etc.</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Series Guides: </w:t>
            </w:r>
            <w:r>
              <w:rPr/>
              <w:t>Topic-specific TOGAF documents published alongside but separately from the Fundamental Content. They cover specialised topics in greater depth, can be updated independently, and let the standard evolve faster without disturbing the stable core.</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Concrete Example of Fundamental vs Series</w:t>
            </w:r>
          </w:p>
          <w:p>
            <w:pPr>
              <w:pStyle w:val="Normal"/>
              <w:spacing w:lineRule="auto" w:line="281" w:before="0" w:after="60"/>
              <w:jc w:val="both"/>
              <w:rPr/>
            </w:pPr>
            <w:r>
              <w:rPr/>
              <w:t>An architect is asked to design a target architecture using business capabilities. The Fundamental Content tells them WHAT a business capability is and HOW Phase B uses it.</w:t>
            </w:r>
          </w:p>
          <w:p>
            <w:pPr>
              <w:pStyle w:val="Normal"/>
              <w:spacing w:lineRule="auto" w:line="281" w:before="0" w:after="60"/>
              <w:jc w:val="both"/>
              <w:rPr/>
            </w:pPr>
            <w:r>
              <w:rPr/>
              <w:t>But the architect needs to actually build a capability map, score capabilities, and link them to value streams. For that depth, they turn to the Series Guide "TOGAF® Series Guide: Business Capabilities", which provides templates, scoring methods, and detailed worked examples.</w:t>
            </w:r>
          </w:p>
          <w:p>
            <w:pPr>
              <w:pStyle w:val="Normal"/>
              <w:spacing w:lineRule="auto" w:line="281" w:before="0" w:after="60"/>
              <w:jc w:val="both"/>
              <w:rPr/>
            </w:pPr>
            <w:r>
              <w:rPr/>
              <w:t>Both documents are part of TOGAF 10, but they serve different purposes: the core teaches the concept; the Series Guide teaches the practice.</w:t>
            </w:r>
          </w:p>
        </w:tc>
      </w:tr>
    </w:tbl>
    <w:p>
      <w:pPr>
        <w:pStyle w:val="Heading2"/>
        <w:spacing w:before="280" w:after="160"/>
        <w:rPr/>
      </w:pPr>
      <w:r>
        <w:rPr>
          <w:b/>
          <w:bCs/>
          <w:color w:val="2E75B6"/>
        </w:rPr>
        <w:t>4.3 The Whole Picture</w:t>
      </w:r>
    </w:p>
    <w:tbl>
      <w:tblPr>
        <w:tblW w:w="9360" w:type="dxa"/>
        <w:jc w:val="left"/>
        <w:tblInd w:w="0" w:type="dxa"/>
        <w:tblLayout w:type="fixed"/>
        <w:tblCellMar>
          <w:top w:w="100" w:type="dxa"/>
          <w:left w:w="120" w:type="dxa"/>
          <w:bottom w:w="100" w:type="dxa"/>
          <w:right w:w="120" w:type="dxa"/>
        </w:tblCellMar>
      </w:tblPr>
      <w:tblGrid>
        <w:gridCol w:w="1888"/>
        <w:gridCol w:w="3712"/>
        <w:gridCol w:w="3760"/>
      </w:tblGrid>
      <w:tr>
        <w:trPr>
          <w:tblHeader w:val="true"/>
        </w:trPr>
        <w:tc>
          <w:tcPr>
            <w:tcW w:w="1888" w:type="dxa"/>
            <w:tcBorders>
              <w:top w:val="single" w:sz="4" w:space="0" w:color="999999"/>
              <w:left w:val="single" w:sz="4" w:space="0" w:color="999999"/>
              <w:bottom w:val="single" w:sz="4" w:space="0" w:color="999999"/>
              <w:right w:val="single" w:sz="4" w:space="0" w:color="999999"/>
            </w:tcBorders>
            <w:shd w:fill="1F4E78" w:val="clear"/>
          </w:tcPr>
          <w:p>
            <w:pPr>
              <w:pStyle w:val="Normal"/>
              <w:rPr>
                <w:rFonts w:ascii="DejaVu Serif" w:hAnsi="DejaVu Serif"/>
              </w:rPr>
            </w:pPr>
            <w:r>
              <w:rPr>
                <w:rFonts w:ascii="DejaVu Serif" w:hAnsi="DejaVu Serif"/>
                <w:b/>
                <w:bCs/>
                <w:color w:val="FFFFFF"/>
              </w:rPr>
              <w:t>Aspect</w:t>
            </w:r>
          </w:p>
        </w:tc>
        <w:tc>
          <w:tcPr>
            <w:tcW w:w="3712" w:type="dxa"/>
            <w:tcBorders>
              <w:top w:val="single" w:sz="4" w:space="0" w:color="999999"/>
              <w:left w:val="single" w:sz="4" w:space="0" w:color="999999"/>
              <w:bottom w:val="single" w:sz="4" w:space="0" w:color="999999"/>
              <w:right w:val="single" w:sz="4" w:space="0" w:color="999999"/>
            </w:tcBorders>
            <w:shd w:fill="1F4E78" w:val="clear"/>
          </w:tcPr>
          <w:p>
            <w:pPr>
              <w:pStyle w:val="Normal"/>
              <w:rPr>
                <w:rFonts w:ascii="DejaVu Serif" w:hAnsi="DejaVu Serif"/>
              </w:rPr>
            </w:pPr>
            <w:r>
              <w:rPr>
                <w:rFonts w:ascii="DejaVu Serif" w:hAnsi="DejaVu Serif"/>
                <w:b/>
                <w:bCs/>
                <w:color w:val="FFFFFF"/>
              </w:rPr>
              <w:t>Fundamental Content</w:t>
            </w:r>
          </w:p>
        </w:tc>
        <w:tc>
          <w:tcPr>
            <w:tcW w:w="3760" w:type="dxa"/>
            <w:tcBorders>
              <w:top w:val="single" w:sz="4" w:space="0" w:color="999999"/>
              <w:left w:val="single" w:sz="4" w:space="0" w:color="999999"/>
              <w:bottom w:val="single" w:sz="4" w:space="0" w:color="999999"/>
              <w:right w:val="single" w:sz="4" w:space="0" w:color="999999"/>
            </w:tcBorders>
            <w:shd w:fill="1F4E78" w:val="clear"/>
          </w:tcPr>
          <w:p>
            <w:pPr>
              <w:pStyle w:val="Normal"/>
              <w:rPr>
                <w:rFonts w:ascii="DejaVu Serif" w:hAnsi="DejaVu Serif"/>
              </w:rPr>
            </w:pPr>
            <w:r>
              <w:rPr>
                <w:rFonts w:ascii="DejaVu Serif" w:hAnsi="DejaVu Serif"/>
                <w:b/>
                <w:bCs/>
                <w:color w:val="FFFFFF"/>
              </w:rPr>
              <w:t>Series Guides</w:t>
            </w:r>
          </w:p>
        </w:tc>
      </w:tr>
      <w:tr>
        <w:trPr/>
        <w:tc>
          <w:tcPr>
            <w:tcW w:w="188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Stability</w:t>
            </w:r>
          </w:p>
        </w:tc>
        <w:tc>
          <w:tcPr>
            <w:tcW w:w="371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Very stable — changes rarely.</w:t>
            </w:r>
          </w:p>
        </w:tc>
        <w:tc>
          <w:tcPr>
            <w:tcW w:w="37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Evolves continuously; new guides added regularly.</w:t>
            </w:r>
          </w:p>
        </w:tc>
      </w:tr>
      <w:tr>
        <w:trPr/>
        <w:tc>
          <w:tcPr>
            <w:tcW w:w="188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Scope</w:t>
            </w:r>
          </w:p>
        </w:tc>
        <w:tc>
          <w:tcPr>
            <w:tcW w:w="371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Universal — applies to every TOGAF engagement.</w:t>
            </w:r>
          </w:p>
        </w:tc>
        <w:tc>
          <w:tcPr>
            <w:tcW w:w="37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Topic-specific or industry-specific.</w:t>
            </w:r>
          </w:p>
        </w:tc>
      </w:tr>
      <w:tr>
        <w:trPr/>
        <w:tc>
          <w:tcPr>
            <w:tcW w:w="188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Depth</w:t>
            </w:r>
          </w:p>
        </w:tc>
        <w:tc>
          <w:tcPr>
            <w:tcW w:w="371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Concept and method.</w:t>
            </w:r>
          </w:p>
        </w:tc>
        <w:tc>
          <w:tcPr>
            <w:tcW w:w="37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Detailed practice, templates, examples.</w:t>
            </w:r>
          </w:p>
        </w:tc>
      </w:tr>
      <w:tr>
        <w:trPr/>
        <w:tc>
          <w:tcPr>
            <w:tcW w:w="188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Certification</w:t>
            </w:r>
          </w:p>
        </w:tc>
        <w:tc>
          <w:tcPr>
            <w:tcW w:w="371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Tested in Foundation and Practitioner exams.</w:t>
            </w:r>
          </w:p>
        </w:tc>
        <w:tc>
          <w:tcPr>
            <w:tcW w:w="37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Generally not tested at Foundation level (some at Practitioner).</w:t>
            </w:r>
          </w:p>
        </w:tc>
      </w:tr>
      <w:tr>
        <w:trPr/>
        <w:tc>
          <w:tcPr>
            <w:tcW w:w="188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When to read</w:t>
            </w:r>
          </w:p>
        </w:tc>
        <w:tc>
          <w:tcPr>
            <w:tcW w:w="371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Always — it is the spine of TOGAF.</w:t>
            </w:r>
          </w:p>
        </w:tc>
        <w:tc>
          <w:tcPr>
            <w:tcW w:w="37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rPr>
            </w:pPr>
            <w:r>
              <w:rPr>
                <w:rFonts w:ascii="DejaVu Serif" w:hAnsi="DejaVu Serif"/>
              </w:rPr>
              <w:t>When you need depth on a specific topic.</w:t>
            </w:r>
          </w:p>
        </w:tc>
      </w:tr>
      <w:tr>
        <w:trPr/>
        <w:tc>
          <w:tcPr>
            <w:tcW w:w="188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Update cadence</w:t>
            </w:r>
          </w:p>
        </w:tc>
        <w:tc>
          <w:tcPr>
            <w:tcW w:w="371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Major release (every several years).</w:t>
            </w:r>
          </w:p>
        </w:tc>
        <w:tc>
          <w:tcPr>
            <w:tcW w:w="37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rPr>
            </w:pPr>
            <w:r>
              <w:rPr>
                <w:rFonts w:ascii="DejaVu Serif" w:hAnsi="DejaVu Serif"/>
              </w:rPr>
              <w:t>Independent, ongoing publication.</w:t>
            </w:r>
          </w:p>
        </w:tc>
      </w:tr>
    </w:tbl>
    <w:p>
      <w:pPr>
        <w:pStyle w:val="Heading1"/>
        <w:spacing w:before="0" w:after="200"/>
        <w:rPr/>
      </w:pPr>
      <w:r>
        <w:rPr>
          <w:b/>
          <w:bCs/>
          <w:color w:val="1F4E78"/>
        </w:rPr>
        <w:t>5. What Changed from TOGAF 9.2 to TOGAF 10</w:t>
      </w:r>
    </w:p>
    <w:p>
      <w:pPr>
        <w:pStyle w:val="BodyText"/>
        <w:jc w:val="both"/>
        <w:rPr>
          <w:rFonts w:ascii="DejaVu Serif" w:hAnsi="DejaVu Serif"/>
        </w:rPr>
      </w:pPr>
      <w:r>
        <w:rPr>
          <w:rFonts w:ascii="DejaVu Serif" w:hAnsi="DejaVu Serif"/>
        </w:rPr>
        <w:t>The transition from TOGAF 9.2 (2018) to TOGAF 10 (2022) is one of the most asked-about topics in certification. Three changes are essential to remember: the modular split, the introduction of the Series Guides library, and the certification rename.</w:t>
      </w:r>
    </w:p>
    <w:p>
      <w:pPr>
        <w:pStyle w:val="Heading2"/>
        <w:spacing w:before="280" w:after="160"/>
        <w:rPr/>
      </w:pPr>
      <w:r>
        <w:rPr>
          <w:b/>
          <w:bCs/>
          <w:color w:val="2E75B6"/>
        </w:rPr>
        <w:t>5.1 Change 1 — The Modular Split</w:t>
      </w:r>
    </w:p>
    <w:p>
      <w:pPr>
        <w:pStyle w:val="BodyText"/>
        <w:jc w:val="both"/>
        <w:rPr>
          <w:rFonts w:ascii="DejaVu Serif" w:hAnsi="DejaVu Serif"/>
        </w:rPr>
      </w:pPr>
      <w:r>
        <w:rPr>
          <w:rFonts w:ascii="DejaVu Serif" w:hAnsi="DejaVu Serif"/>
        </w:rPr>
        <w:t>In 9.2, TOGAF was a single, monolithic publication. To find anything you opened the book, regardless of whether you were looking up the ADM or a niche topic. In TOGAF 10 the content was deliberately split: stable, universal content went into Fundamental Content, and detailed, evolving, topical content went into Series Guides.</w:t>
      </w:r>
    </w:p>
    <w:p>
      <w:pPr>
        <w:pStyle w:val="BodyText"/>
        <w:jc w:val="both"/>
        <w:rPr>
          <w:rFonts w:ascii="DejaVu Serif" w:hAnsi="DejaVu Serif"/>
        </w:rPr>
      </w:pPr>
      <w:r>
        <w:rPr>
          <w:rFonts w:ascii="DejaVu Serif" w:hAnsi="DejaVu Serif"/>
        </w:rPr>
        <w:t>Practical consequences of the split:</w:t>
      </w:r>
    </w:p>
    <w:p>
      <w:pPr>
        <w:pStyle w:val="ListParagraph"/>
        <w:numPr>
          <w:ilvl w:val="0"/>
          <w:numId w:val="2"/>
        </w:numPr>
        <w:spacing w:lineRule="auto" w:line="281" w:before="0" w:after="80"/>
        <w:rPr>
          <w:rFonts w:ascii="DejaVu Serif" w:hAnsi="DejaVu Serif"/>
        </w:rPr>
      </w:pPr>
      <w:r>
        <w:rPr>
          <w:rFonts w:ascii="DejaVu Serif" w:hAnsi="DejaVu Serif"/>
        </w:rPr>
        <w:t>Faster updates — a Series Guide on Microservices can be revised without touching the rest of the standard.</w:t>
      </w:r>
    </w:p>
    <w:p>
      <w:pPr>
        <w:pStyle w:val="ListParagraph"/>
        <w:numPr>
          <w:ilvl w:val="0"/>
          <w:numId w:val="2"/>
        </w:numPr>
        <w:spacing w:lineRule="auto" w:line="281" w:before="0" w:after="80"/>
        <w:rPr>
          <w:rFonts w:ascii="DejaVu Serif" w:hAnsi="DejaVu Serif"/>
        </w:rPr>
      </w:pPr>
      <w:r>
        <w:rPr>
          <w:rFonts w:ascii="DejaVu Serif" w:hAnsi="DejaVu Serif"/>
        </w:rPr>
        <w:t>Smaller core — practitioners and exam candidates have less stable material to memorise.</w:t>
      </w:r>
    </w:p>
    <w:p>
      <w:pPr>
        <w:pStyle w:val="ListParagraph"/>
        <w:numPr>
          <w:ilvl w:val="0"/>
          <w:numId w:val="2"/>
        </w:numPr>
        <w:spacing w:lineRule="auto" w:line="281" w:before="0" w:after="80"/>
        <w:rPr>
          <w:rFonts w:ascii="DejaVu Serif" w:hAnsi="DejaVu Serif"/>
        </w:rPr>
      </w:pPr>
      <w:r>
        <w:rPr>
          <w:rFonts w:ascii="DejaVu Serif" w:hAnsi="DejaVu Serif"/>
        </w:rPr>
        <w:t>Clearer signposting — readers know whether they're reading universal doctrine or topic-specific guidance.</w:t>
      </w:r>
    </w:p>
    <w:p>
      <w:pPr>
        <w:pStyle w:val="ListParagraph"/>
        <w:numPr>
          <w:ilvl w:val="0"/>
          <w:numId w:val="2"/>
        </w:numPr>
        <w:spacing w:lineRule="auto" w:line="281" w:before="0" w:after="80"/>
        <w:rPr>
          <w:rFonts w:ascii="DejaVu Serif" w:hAnsi="DejaVu Serif"/>
        </w:rPr>
      </w:pPr>
      <w:r>
        <w:rPr>
          <w:rFonts w:ascii="DejaVu Serif" w:hAnsi="DejaVu Serif"/>
        </w:rPr>
        <w:t>Better organisation — topics that previously felt cramped (like Business Architecture) now have room to breathe in their own guides.</w:t>
      </w:r>
    </w:p>
    <w:p>
      <w:pPr>
        <w:pStyle w:val="Heading2"/>
        <w:spacing w:before="280" w:after="160"/>
        <w:rPr/>
      </w:pPr>
      <w:r>
        <w:rPr>
          <w:b/>
          <w:bCs/>
          <w:color w:val="2E75B6"/>
        </w:rPr>
        <w:t>5.2 Change 2 — Expanded Series Guides Library</w:t>
      </w:r>
    </w:p>
    <w:p>
      <w:pPr>
        <w:pStyle w:val="BodyText"/>
        <w:jc w:val="both"/>
        <w:rPr>
          <w:rFonts w:ascii="DejaVu Serif" w:hAnsi="DejaVu Serif"/>
        </w:rPr>
      </w:pPr>
      <w:r>
        <w:rPr>
          <w:rFonts w:ascii="DejaVu Serif" w:hAnsi="DejaVu Serif"/>
        </w:rPr>
        <w:t>Although Series Guides existed informally before TOGAF 10, the 10th Edition formally established them as a recognised, growing component of the standard. Many guides that existed previously as supplements were republished as part of the official TOGAF body of knowledge, and new ones were added.</w:t>
      </w:r>
    </w:p>
    <w:p>
      <w:pPr>
        <w:pStyle w:val="BodyText"/>
        <w:jc w:val="both"/>
        <w:rPr>
          <w:rFonts w:ascii="DejaVu Serif" w:hAnsi="DejaVu Serif"/>
        </w:rPr>
      </w:pPr>
      <w:r>
        <w:rPr>
          <w:rFonts w:ascii="DejaVu Serif" w:hAnsi="DejaVu Serif"/>
        </w:rPr>
        <w:t>Notable Series Guides accompanying or following TOGAF 10's release include guides on Business Capabilities, Value Streams, Information Mapping, Organization Mapping, Business Models, Agile and the ADM, Microservices Architecture, Digital Enterprise, the Architecture Project, Practitioners' Approaches to EA, and many more.</w:t>
      </w:r>
    </w:p>
    <w:p>
      <w:pPr>
        <w:pStyle w:val="Heading2"/>
        <w:spacing w:before="280" w:after="160"/>
        <w:rPr/>
      </w:pPr>
      <w:r>
        <w:rPr>
          <w:b/>
          <w:bCs/>
          <w:color w:val="2E75B6"/>
        </w:rPr>
        <w:t>5.3 Change 3 — Certification Rename</w:t>
      </w:r>
    </w:p>
    <w:p>
      <w:pPr>
        <w:pStyle w:val="BodyText"/>
        <w:rPr>
          <w:rFonts w:ascii="DejaVu Serif" w:hAnsi="DejaVu Serif"/>
        </w:rPr>
      </w:pPr>
      <w:r>
        <w:rPr>
          <w:rFonts w:ascii="DejaVu Serif" w:hAnsi="DejaVu Serif"/>
        </w:rPr>
        <w:t>The certification scheme was renamed and re-aligned. Two specific name changes are exam-critical:</w:t>
      </w:r>
    </w:p>
    <w:tbl>
      <w:tblPr>
        <w:tblW w:w="9360" w:type="dxa"/>
        <w:jc w:val="left"/>
        <w:tblInd w:w="0" w:type="dxa"/>
        <w:tblLayout w:type="fixed"/>
        <w:tblCellMar>
          <w:top w:w="100" w:type="dxa"/>
          <w:left w:w="120" w:type="dxa"/>
          <w:bottom w:w="100" w:type="dxa"/>
          <w:right w:w="120" w:type="dxa"/>
        </w:tblCellMar>
      </w:tblPr>
      <w:tblGrid>
        <w:gridCol w:w="2369"/>
        <w:gridCol w:w="3331"/>
        <w:gridCol w:w="3660"/>
      </w:tblGrid>
      <w:tr>
        <w:trPr>
          <w:tblHeader w:val="true"/>
        </w:trPr>
        <w:tc>
          <w:tcPr>
            <w:tcW w:w="236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Old Name (TOGAF 9 era)</w:t>
            </w:r>
          </w:p>
        </w:tc>
        <w:tc>
          <w:tcPr>
            <w:tcW w:w="333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New Name (TOGAF 10 era)</w:t>
            </w:r>
          </w:p>
        </w:tc>
        <w:tc>
          <w:tcPr>
            <w:tcW w:w="366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Notes</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9 Certified (Level 2)</w:t>
            </w:r>
          </w:p>
        </w:tc>
        <w:tc>
          <w:tcPr>
            <w:tcW w:w="333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Enterprise Architecture Practitioner</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Tests application of TOGAF, scenario-based questions.</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9 Foundation (Level 1)</w:t>
            </w:r>
          </w:p>
        </w:tc>
        <w:tc>
          <w:tcPr>
            <w:tcW w:w="333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Enterprise Architecture Foundation</w:t>
            </w:r>
          </w:p>
        </w:tc>
        <w:tc>
          <w:tcPr>
            <w:tcW w:w="366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Tests knowledge of concepts and terminology.</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(no equivalent)</w:t>
            </w:r>
          </w:p>
        </w:tc>
        <w:tc>
          <w:tcPr>
            <w:tcW w:w="333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Business Architecture Foundation / Practitioner</w:t>
            </w:r>
          </w:p>
        </w:tc>
        <w:tc>
          <w:tcPr>
            <w:tcW w:w="366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New separate track focusing on Business Architecture.</w:t>
            </w:r>
          </w:p>
        </w:tc>
      </w:tr>
    </w:tbl>
    <w:p>
      <w:pPr>
        <w:pStyle w:val="Normal"/>
        <w:spacing w:lineRule="auto" w:line="300" w:before="0" w:after="120"/>
        <w:jc w:val="both"/>
        <w:rPr>
          <w:rFonts w:ascii="DejaVu Serif" w:hAnsi="DejaVu Serif"/>
        </w:rPr>
      </w:pPr>
      <w:r>
        <w:rPr>
          <w:rFonts w:ascii="DejaVu Serif" w:hAnsi="DejaVu Serif"/>
        </w:rPr>
        <w:t>In addition, holders of the older TOGAF 9 credentials remain certified, but new candidates take the renamed exams against the TOGAF 10 syllabus.</w:t>
      </w:r>
    </w:p>
    <w:p>
      <w:pPr>
        <w:pStyle w:val="Heading2"/>
        <w:spacing w:before="280" w:after="160"/>
        <w:rPr/>
      </w:pPr>
      <w:r>
        <w:rPr>
          <w:b/>
          <w:bCs/>
          <w:color w:val="2E75B6"/>
        </w:rPr>
        <w:t>5.4 What Did NOT Change</w:t>
      </w:r>
    </w:p>
    <w:p>
      <w:pPr>
        <w:pStyle w:val="Normal"/>
        <w:spacing w:lineRule="auto" w:line="300" w:before="0" w:after="120"/>
        <w:jc w:val="both"/>
        <w:rPr>
          <w:rFonts w:ascii="DejaVu Serif" w:hAnsi="DejaVu Serif"/>
        </w:rPr>
      </w:pPr>
      <w:r>
        <w:rPr>
          <w:rFonts w:ascii="DejaVu Serif" w:hAnsi="DejaVu Serif"/>
        </w:rPr>
        <w:t>It is just as important to know what stayed the same. Despite the structural overhaul, the conceptual framework of TOGAF was preserved:</w:t>
      </w:r>
    </w:p>
    <w:p>
      <w:pPr>
        <w:pStyle w:val="ListParagraph"/>
        <w:numPr>
          <w:ilvl w:val="0"/>
          <w:numId w:val="2"/>
        </w:numPr>
        <w:spacing w:lineRule="auto" w:line="281" w:before="0" w:after="80"/>
        <w:rPr>
          <w:rFonts w:ascii="DejaVu Serif" w:hAnsi="DejaVu Serif"/>
        </w:rPr>
      </w:pPr>
      <w:r>
        <w:rPr>
          <w:rFonts w:ascii="DejaVu Serif" w:hAnsi="DejaVu Serif"/>
        </w:rPr>
        <w:t>The ADM still has the same phases (Preliminary, A through H, plus Requirements Management at the centre).</w:t>
      </w:r>
    </w:p>
    <w:p>
      <w:pPr>
        <w:pStyle w:val="ListParagraph"/>
        <w:numPr>
          <w:ilvl w:val="0"/>
          <w:numId w:val="2"/>
        </w:numPr>
        <w:spacing w:lineRule="auto" w:line="281" w:before="0" w:after="80"/>
        <w:rPr>
          <w:rFonts w:ascii="DejaVu Serif" w:hAnsi="DejaVu Serif"/>
        </w:rPr>
      </w:pPr>
      <w:r>
        <w:rPr>
          <w:rFonts w:ascii="DejaVu Serif" w:hAnsi="DejaVu Serif"/>
        </w:rPr>
        <w:t>The four architecture domains (Business, Data, Application, Technology) are unchanged.</w:t>
      </w:r>
    </w:p>
    <w:p>
      <w:pPr>
        <w:pStyle w:val="ListParagraph"/>
        <w:numPr>
          <w:ilvl w:val="0"/>
          <w:numId w:val="2"/>
        </w:numPr>
        <w:spacing w:lineRule="auto" w:line="281" w:before="0" w:after="80"/>
        <w:rPr>
          <w:rFonts w:ascii="DejaVu Serif" w:hAnsi="DejaVu Serif"/>
        </w:rPr>
      </w:pPr>
      <w:r>
        <w:rPr>
          <w:rFonts w:ascii="DejaVu Serif" w:hAnsi="DejaVu Serif"/>
        </w:rPr>
        <w:t>The Enterprise Continuum, Architecture Repository, and Architecture Capability Framework are unchanged in concept.</w:t>
      </w:r>
    </w:p>
    <w:p>
      <w:pPr>
        <w:pStyle w:val="ListParagraph"/>
        <w:numPr>
          <w:ilvl w:val="0"/>
          <w:numId w:val="2"/>
        </w:numPr>
        <w:spacing w:lineRule="auto" w:line="281" w:before="0" w:after="80"/>
        <w:rPr>
          <w:rFonts w:ascii="DejaVu Serif" w:hAnsi="DejaVu Serif"/>
        </w:rPr>
      </w:pPr>
      <w:r>
        <w:rPr>
          <w:rFonts w:ascii="DejaVu Serif" w:hAnsi="DejaVu Serif"/>
        </w:rPr>
        <w:t>Core deliverables such as the Architecture Vision, Architecture Definition Document, and Architecture Requirements Specification remain.</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C9A227"/>
              <w:left w:val="single" w:sz="24" w:space="0" w:color="C9A227"/>
              <w:bottom w:val="single" w:sz="8" w:space="0" w:color="C9A227"/>
              <w:right w:val="single" w:sz="4" w:space="0" w:color="C9A227"/>
            </w:tcBorders>
            <w:shd w:fill="FFE5E5" w:val="clear"/>
          </w:tcPr>
          <w:p>
            <w:pPr>
              <w:pStyle w:val="Normal"/>
              <w:spacing w:before="0" w:after="80"/>
              <w:rPr/>
            </w:pPr>
            <w:r>
              <w:rPr>
                <w:b/>
                <w:bCs/>
                <w:color w:val="7C5800"/>
              </w:rPr>
              <w:t>Exam Insight</w:t>
            </w:r>
          </w:p>
          <w:p>
            <w:pPr>
              <w:pStyle w:val="Normal"/>
              <w:spacing w:lineRule="auto" w:line="281" w:before="0" w:after="60"/>
              <w:jc w:val="both"/>
              <w:rPr/>
            </w:pPr>
            <w:r>
              <w:rPr/>
              <w:t>If a question asks you to identify a change between 9.2 and 10, the answer almost always relates to (a) modular structure, (b) Series Guides, or (c) certification names. It is a trap to pick a change in the ADM phases or the four domains — those did not change.</w:t>
            </w:r>
          </w:p>
        </w:tc>
      </w:tr>
    </w:tbl>
    <w:p>
      <w:pPr>
        <w:pStyle w:val="Heading1"/>
        <w:spacing w:before="0" w:after="200"/>
        <w:rPr/>
      </w:pPr>
      <w:r>
        <w:rPr>
          <w:b/>
          <w:bCs/>
          <w:color w:val="1F4E78"/>
        </w:rPr>
        <w:t>6. Definitions of Enterprise Architecture</w:t>
      </w:r>
    </w:p>
    <w:p>
      <w:pPr>
        <w:pStyle w:val="BodyText"/>
        <w:jc w:val="both"/>
        <w:rPr>
          <w:rFonts w:ascii="DejaVu Serif" w:hAnsi="DejaVu Serif"/>
        </w:rPr>
      </w:pPr>
      <w:r>
        <w:rPr>
          <w:rFonts w:ascii="DejaVu Serif" w:hAnsi="DejaVu Serif"/>
        </w:rPr>
        <w:t>Enterprise Architecture (EA) is a discipline, not just a document. Unfortunately, three of the most cited definitions come from three different bodies and use slightly different language. The exam expects you to recognise all three and, more importantly, to understand what they share.</w:t>
      </w:r>
    </w:p>
    <w:p>
      <w:pPr>
        <w:pStyle w:val="Heading2"/>
        <w:spacing w:before="280" w:after="160"/>
        <w:rPr/>
      </w:pPr>
      <w:r>
        <w:rPr>
          <w:b/>
          <w:bCs/>
          <w:color w:val="2E75B6"/>
        </w:rPr>
        <w:t>6.1 The TOGAF Definition</w:t>
      </w:r>
    </w:p>
    <w:p>
      <w:pPr>
        <w:pStyle w:val="BodyText"/>
        <w:jc w:val="both"/>
        <w:rPr>
          <w:rFonts w:ascii="DejaVu Serif" w:hAnsi="DejaVu Serif"/>
        </w:rPr>
      </w:pPr>
      <w:r>
        <w:rPr>
          <w:rFonts w:ascii="DejaVu Serif" w:hAnsi="DejaVu Serif"/>
        </w:rPr>
        <w:t xml:space="preserve">TOGAF defines architecture in two senses (drawn from ISO/IEC/IEEE 42010): (1) </w:t>
      </w:r>
      <w:r>
        <w:rPr>
          <w:rFonts w:ascii="DejaVu Serif" w:hAnsi="DejaVu Serif"/>
          <w:i/>
          <w:iCs/>
        </w:rPr>
        <w:t>the fundamental concepts or properties of a system in its environment, embodied in its elements, relationships, and the principles of its design and evolution</w:t>
      </w:r>
      <w:r>
        <w:rPr>
          <w:rFonts w:ascii="DejaVu Serif" w:hAnsi="DejaVu Serif"/>
        </w:rPr>
        <w:t xml:space="preserve">; and (2) </w:t>
      </w:r>
      <w:r>
        <w:rPr>
          <w:rFonts w:ascii="DejaVu Serif" w:hAnsi="DejaVu Serif"/>
          <w:i/>
          <w:iCs/>
        </w:rPr>
        <w:t>the structure of components, their interrelationships, and the principles and guidelines governing their design and evolution over time</w:t>
      </w:r>
      <w:r>
        <w:rPr>
          <w:rFonts w:ascii="DejaVu Serif" w:hAnsi="DejaVu Serif"/>
        </w:rPr>
        <w:t>.</w:t>
      </w:r>
    </w:p>
    <w:p>
      <w:pPr>
        <w:pStyle w:val="BodyText"/>
        <w:jc w:val="both"/>
        <w:rPr>
          <w:rFonts w:ascii="DejaVu Serif" w:hAnsi="DejaVu Serif"/>
        </w:rPr>
      </w:pPr>
      <w:r>
        <w:rPr>
          <w:rFonts w:ascii="DejaVu Serif" w:hAnsi="DejaVu Serif"/>
        </w:rPr>
        <w:t>"Enterprise" in TOGAF refers to any collection of organisations sharing a common set of goals — it can be a corporation, a government department, a partnership of multiple companies, or a single business unit. "Enterprise Architecture" is therefore architecture applied at that organisational scope.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Enterprise (TOGAF): </w:t>
            </w:r>
            <w:r>
              <w:rPr/>
              <w:t>Any collection of organisations that has a common set of goals. This is intentionally broad — it can be a single company, a government agency, a multi-organisation alliance, or a single business unit large enough to need its own architecture.</w:t>
            </w:r>
          </w:p>
        </w:tc>
      </w:tr>
    </w:tbl>
    <w:p>
      <w:pPr>
        <w:pStyle w:val="Heading2"/>
        <w:spacing w:before="280" w:after="160"/>
        <w:rPr/>
      </w:pPr>
      <w:r>
        <w:rPr>
          <w:b/>
          <w:bCs/>
          <w:color w:val="2E75B6"/>
        </w:rPr>
        <w:t>6.2 The Gartner Definition</w:t>
      </w:r>
    </w:p>
    <w:p>
      <w:pPr>
        <w:pStyle w:val="BodyText"/>
        <w:jc w:val="both"/>
        <w:rPr>
          <w:rFonts w:ascii="DejaVu Serif" w:hAnsi="DejaVu Serif"/>
        </w:rPr>
      </w:pPr>
      <w:r>
        <w:rPr>
          <w:rFonts w:ascii="DejaVu Serif" w:hAnsi="DejaVu Serif"/>
        </w:rPr>
        <w:t xml:space="preserve">Gartner defines EA as </w:t>
      </w:r>
      <w:r>
        <w:rPr>
          <w:rFonts w:ascii="DejaVu Serif" w:hAnsi="DejaVu Serif"/>
          <w:i/>
          <w:iCs/>
        </w:rPr>
        <w:t>a discipline for proactively and holistically leading enterprise responses to disruptive forces by identifying and analysing the execution of change toward desired business vision and outcomes</w:t>
      </w:r>
      <w:r>
        <w:rPr>
          <w:rFonts w:ascii="DejaVu Serif" w:hAnsi="DejaVu Serif"/>
        </w:rPr>
        <w:t>.</w:t>
      </w:r>
    </w:p>
    <w:p>
      <w:pPr>
        <w:pStyle w:val="BodyText"/>
        <w:jc w:val="both"/>
        <w:rPr>
          <w:rFonts w:ascii="DejaVu Serif" w:hAnsi="DejaVu Serif"/>
        </w:rPr>
      </w:pPr>
      <w:r>
        <w:rPr>
          <w:rFonts w:ascii="DejaVu Serif" w:hAnsi="DejaVu Serif"/>
        </w:rPr>
        <w:t>Gartner's definition is the most outcome-focused of the three. It treats EA as a strategic management discipline rather than a documentation exercise. The emphasis on "disruptive forces" reflects Gartner's positioning of EA as the function that helps an enterprise respond to change — digital transformation, regulatory shocks, market shifts — rather than merely cataloguing existing systems.</w:t>
      </w:r>
    </w:p>
    <w:p>
      <w:pPr>
        <w:pStyle w:val="Heading2"/>
        <w:spacing w:before="280" w:after="160"/>
        <w:rPr/>
      </w:pPr>
      <w:r>
        <w:rPr>
          <w:b/>
          <w:bCs/>
          <w:color w:val="2E75B6"/>
        </w:rPr>
        <w:t>6.3 The IEEE / ISO 42010 Definition</w:t>
      </w:r>
    </w:p>
    <w:p>
      <w:pPr>
        <w:pStyle w:val="BodyText"/>
        <w:jc w:val="both"/>
        <w:rPr>
          <w:rFonts w:ascii="DejaVu Serif" w:hAnsi="DejaVu Serif"/>
        </w:rPr>
      </w:pPr>
      <w:r>
        <w:rPr>
          <w:rFonts w:ascii="DejaVu Serif" w:hAnsi="DejaVu Serif"/>
        </w:rPr>
        <w:t>ISO/IEC/IEEE 42010 (originally IEEE 1471) is the international standard for architecture description. It defines architecture (of a system) as the fundamental concepts or properties of that system in its environment, embodied in its elements, relationships, and the principles of its design and evolution.</w:t>
      </w:r>
    </w:p>
    <w:p>
      <w:pPr>
        <w:pStyle w:val="BodyText"/>
        <w:jc w:val="both"/>
        <w:rPr>
          <w:rFonts w:ascii="DejaVu Serif" w:hAnsi="DejaVu Serif"/>
        </w:rPr>
      </w:pPr>
      <w:r>
        <w:rPr>
          <w:rFonts w:ascii="DejaVu Serif" w:hAnsi="DejaVu Serif"/>
        </w:rPr>
        <w:t>This is a structural definition. It does not mention strategy, transformation, or business outcomes. Instead, it focuses on what an architecture is as an artefact: a description of components, relationships, and principles. ISO 42010 is the foundation for many architecture description standards across industries.</w:t>
      </w:r>
    </w:p>
    <w:p>
      <w:pPr>
        <w:pStyle w:val="Heading2"/>
        <w:spacing w:before="280" w:after="160"/>
        <w:rPr/>
      </w:pPr>
      <w:r>
        <w:rPr>
          <w:b/>
          <w:bCs/>
          <w:color w:val="2E75B6"/>
        </w:rPr>
        <w:t>6.4 What All Three Definitions Share</w:t>
      </w:r>
    </w:p>
    <w:p>
      <w:pPr>
        <w:pStyle w:val="Normal"/>
        <w:spacing w:lineRule="auto" w:line="300" w:before="0" w:after="120"/>
        <w:jc w:val="both"/>
        <w:rPr/>
      </w:pPr>
      <w:r>
        <w:rPr/>
        <w:t>Despite different wording, all three definitions converge on the same essential ideas:</w:t>
      </w:r>
    </w:p>
    <w:tbl>
      <w:tblPr>
        <w:tblW w:w="9360" w:type="dxa"/>
        <w:jc w:val="left"/>
        <w:tblInd w:w="0" w:type="dxa"/>
        <w:tblLayout w:type="fixed"/>
        <w:tblCellMar>
          <w:top w:w="100" w:type="dxa"/>
          <w:left w:w="120" w:type="dxa"/>
          <w:bottom w:w="100" w:type="dxa"/>
          <w:right w:w="120" w:type="dxa"/>
        </w:tblCellMar>
      </w:tblPr>
      <w:tblGrid>
        <w:gridCol w:w="2398"/>
        <w:gridCol w:w="6962"/>
      </w:tblGrid>
      <w:tr>
        <w:trPr>
          <w:tblHeader w:val="true"/>
        </w:trPr>
        <w:tc>
          <w:tcPr>
            <w:tcW w:w="2398" w:type="dxa"/>
            <w:tcBorders>
              <w:top w:val="single" w:sz="4" w:space="0" w:color="999999"/>
              <w:left w:val="single" w:sz="4" w:space="0" w:color="999999"/>
              <w:bottom w:val="single" w:sz="4" w:space="0" w:color="999999"/>
              <w:right w:val="single" w:sz="4" w:space="0" w:color="999999"/>
            </w:tcBorders>
            <w:shd w:fill="1F4E78" w:val="clear"/>
          </w:tcPr>
          <w:p>
            <w:pPr>
              <w:pStyle w:val="Normal"/>
              <w:rPr>
                <w:sz w:val="20"/>
                <w:szCs w:val="20"/>
              </w:rPr>
            </w:pPr>
            <w:r>
              <w:rPr>
                <w:rFonts w:ascii="DejaVu Serif" w:hAnsi="DejaVu Serif"/>
                <w:b/>
                <w:bCs/>
                <w:color w:val="FFFFFF"/>
                <w:sz w:val="20"/>
                <w:szCs w:val="20"/>
              </w:rPr>
              <w:t>Common Element</w:t>
            </w:r>
          </w:p>
        </w:tc>
        <w:tc>
          <w:tcPr>
            <w:tcW w:w="6962" w:type="dxa"/>
            <w:tcBorders>
              <w:top w:val="single" w:sz="4" w:space="0" w:color="999999"/>
              <w:left w:val="single" w:sz="4" w:space="0" w:color="999999"/>
              <w:bottom w:val="single" w:sz="4" w:space="0" w:color="999999"/>
              <w:right w:val="single" w:sz="4" w:space="0" w:color="999999"/>
            </w:tcBorders>
            <w:shd w:fill="1F4E78" w:val="clear"/>
          </w:tcPr>
          <w:p>
            <w:pPr>
              <w:pStyle w:val="Normal"/>
              <w:rPr>
                <w:sz w:val="20"/>
                <w:szCs w:val="20"/>
              </w:rPr>
            </w:pPr>
            <w:r>
              <w:rPr>
                <w:rFonts w:ascii="DejaVu Serif" w:hAnsi="DejaVu Serif"/>
                <w:b/>
                <w:bCs/>
                <w:color w:val="FFFFFF"/>
                <w:sz w:val="20"/>
                <w:szCs w:val="20"/>
              </w:rPr>
              <w:t>How It Appears in Each Definition</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sz w:val="20"/>
                <w:szCs w:val="20"/>
              </w:rPr>
            </w:pPr>
            <w:r>
              <w:rPr>
                <w:rFonts w:ascii="DejaVu Serif" w:hAnsi="DejaVu Serif"/>
                <w:sz w:val="20"/>
                <w:szCs w:val="20"/>
              </w:rPr>
              <w:t>Structure / components</w:t>
            </w:r>
          </w:p>
        </w:tc>
        <w:tc>
          <w:tcPr>
            <w:tcW w:w="69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sz w:val="20"/>
                <w:szCs w:val="20"/>
              </w:rPr>
            </w:pPr>
            <w:r>
              <w:rPr>
                <w:rFonts w:ascii="DejaVu Serif" w:hAnsi="DejaVu Serif"/>
                <w:sz w:val="20"/>
                <w:szCs w:val="20"/>
              </w:rPr>
              <w:t>TOGAF: 'structure of components'; IEEE 42010: 'elements'; Gartner: implied in 'execution of change'.</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sz w:val="20"/>
                <w:szCs w:val="20"/>
              </w:rPr>
            </w:pPr>
            <w:r>
              <w:rPr>
                <w:rFonts w:ascii="DejaVu Serif" w:hAnsi="DejaVu Serif"/>
                <w:sz w:val="20"/>
                <w:szCs w:val="20"/>
              </w:rPr>
              <w:t>Relationships</w:t>
            </w:r>
          </w:p>
        </w:tc>
        <w:tc>
          <w:tcPr>
            <w:tcW w:w="696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sz w:val="20"/>
                <w:szCs w:val="20"/>
              </w:rPr>
            </w:pPr>
            <w:r>
              <w:rPr>
                <w:rFonts w:ascii="DejaVu Serif" w:hAnsi="DejaVu Serif"/>
                <w:sz w:val="20"/>
                <w:szCs w:val="20"/>
              </w:rPr>
              <w:t>TOGAF: 'interrelationships'; IEEE 42010: 'relationships'; Gartner: 'holistically'.</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sz w:val="20"/>
                <w:szCs w:val="20"/>
              </w:rPr>
            </w:pPr>
            <w:r>
              <w:rPr>
                <w:rFonts w:ascii="DejaVu Serif" w:hAnsi="DejaVu Serif"/>
                <w:sz w:val="20"/>
                <w:szCs w:val="20"/>
              </w:rPr>
              <w:t>Principles</w:t>
            </w:r>
          </w:p>
        </w:tc>
        <w:tc>
          <w:tcPr>
            <w:tcW w:w="69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sz w:val="20"/>
                <w:szCs w:val="20"/>
              </w:rPr>
            </w:pPr>
            <w:r>
              <w:rPr>
                <w:rFonts w:ascii="DejaVu Serif" w:hAnsi="DejaVu Serif"/>
                <w:sz w:val="20"/>
                <w:szCs w:val="20"/>
              </w:rPr>
              <w:t>All three explicitly mention principles or guidelines governing design and evolution.</w:t>
            </w:r>
          </w:p>
        </w:tc>
      </w:tr>
      <w:tr>
        <w:trPr/>
        <w:tc>
          <w:tcPr>
            <w:tcW w:w="23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sz w:val="20"/>
                <w:szCs w:val="20"/>
              </w:rPr>
            </w:pPr>
            <w:r>
              <w:rPr>
                <w:rFonts w:ascii="DejaVu Serif" w:hAnsi="DejaVu Serif"/>
                <w:sz w:val="20"/>
                <w:szCs w:val="20"/>
              </w:rPr>
              <w:t>Evolution over time</w:t>
            </w:r>
          </w:p>
        </w:tc>
        <w:tc>
          <w:tcPr>
            <w:tcW w:w="696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sz w:val="20"/>
                <w:szCs w:val="20"/>
              </w:rPr>
            </w:pPr>
            <w:r>
              <w:rPr>
                <w:rFonts w:ascii="DejaVu Serif" w:hAnsi="DejaVu Serif"/>
                <w:sz w:val="20"/>
                <w:szCs w:val="20"/>
              </w:rPr>
              <w:t>TOGAF and IEEE 42010 both stress evolution; Gartner stresses change and disruption.</w:t>
            </w:r>
          </w:p>
        </w:tc>
      </w:tr>
      <w:tr>
        <w:trPr/>
        <w:tc>
          <w:tcPr>
            <w:tcW w:w="23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sz w:val="20"/>
                <w:szCs w:val="20"/>
              </w:rPr>
            </w:pPr>
            <w:r>
              <w:rPr>
                <w:rFonts w:ascii="DejaVu Serif" w:hAnsi="DejaVu Serif"/>
                <w:sz w:val="20"/>
                <w:szCs w:val="20"/>
              </w:rPr>
              <w:t>Context / environment</w:t>
            </w:r>
          </w:p>
        </w:tc>
        <w:tc>
          <w:tcPr>
            <w:tcW w:w="69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sz w:val="20"/>
                <w:szCs w:val="20"/>
              </w:rPr>
            </w:pPr>
            <w:r>
              <w:rPr>
                <w:rFonts w:ascii="DejaVu Serif" w:hAnsi="DejaVu Serif"/>
                <w:sz w:val="20"/>
                <w:szCs w:val="20"/>
              </w:rPr>
              <w:t>IEEE 42010: 'system in its environment'; TOGAF: enterprise scope; Gartner: 'business vision and outcomes'.</w:t>
            </w:r>
          </w:p>
        </w:tc>
      </w:tr>
    </w:tbl>
    <w:p>
      <w:pPr>
        <w:pStyle w:val="BodyText"/>
        <w:jc w:val="both"/>
        <w:rPr/>
      </w:pPr>
      <w:r>
        <w:rPr>
          <w:rFonts w:ascii="DejaVu Serif" w:hAnsi="DejaVu Serif"/>
        </w:rPr>
        <w:t>So the synthesis is: Enterprise Architecture is a structured description of an enterprise's elements and their relationships, governed by principles, designed to evolve coherently over time in service of business outcomes. Whichever definition the exam asks about, this synthesis applies.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Concrete Example: A Hospital Group's EA</w:t>
            </w:r>
          </w:p>
          <w:p>
            <w:pPr>
              <w:pStyle w:val="Normal"/>
              <w:spacing w:lineRule="auto" w:line="281" w:before="0" w:after="60"/>
              <w:jc w:val="both"/>
              <w:rPr/>
            </w:pPr>
            <w:r>
              <w:rPr/>
              <w:t>A hospital group describes its EA as: the patient management system, the electronic medical records system, the laboratory and imaging systems, the billing system, and the integration layer that connects them — together with the principles that govern them (e.g., "clinical data is owned by the clinician of record", "all systems must support HL7 FHIR"), and a roadmap for evolving the estate over five years.</w:t>
            </w:r>
          </w:p>
          <w:p>
            <w:pPr>
              <w:pStyle w:val="Normal"/>
              <w:spacing w:lineRule="auto" w:line="281" w:before="0" w:after="60"/>
              <w:jc w:val="both"/>
              <w:rPr/>
            </w:pPr>
            <w:r>
              <w:rPr/>
              <w:t>This satisfies all three definitions: it has structure (TOGAF), it focuses on outcomes like patient safety (Gartner), and it describes elements, relationships, and principles (IEEE 42010).</w:t>
            </w:r>
          </w:p>
        </w:tc>
      </w:tr>
    </w:tbl>
    <w:p>
      <w:pPr>
        <w:pStyle w:val="Heading1"/>
        <w:spacing w:before="0" w:after="200"/>
        <w:rPr/>
      </w:pPr>
      <w:r>
        <w:rPr>
          <w:b/>
          <w:bCs/>
          <w:color w:val="1F4E78"/>
        </w:rPr>
        <w:t>7. Why Enterprise Architecture Exists</w:t>
      </w:r>
    </w:p>
    <w:p>
      <w:pPr>
        <w:pStyle w:val="Normal"/>
        <w:spacing w:lineRule="auto" w:line="300" w:before="0" w:after="120"/>
        <w:jc w:val="both"/>
        <w:rPr/>
      </w:pPr>
      <w:r>
        <w:rPr/>
        <w:t>The strongest justification for EA is what happens without it. Organisations that grow without architectural discipline tend to fall into a recognisable set of failure patterns. Six patterns appear repeatedly in the literature and in TOGAF's own justification material.</w:t>
      </w:r>
    </w:p>
    <w:p>
      <w:pPr>
        <w:pStyle w:val="Heading3"/>
        <w:spacing w:before="220" w:after="120"/>
        <w:rPr/>
      </w:pPr>
      <w:r>
        <w:rPr>
          <w:b/>
          <w:bCs/>
          <w:color w:val="404040"/>
        </w:rPr>
        <w:t>1. Fragmentation</w:t>
      </w:r>
    </w:p>
    <w:p>
      <w:pPr>
        <w:pStyle w:val="Normal"/>
        <w:spacing w:lineRule="auto" w:line="300" w:before="0" w:after="120"/>
        <w:jc w:val="both"/>
        <w:rPr/>
      </w:pPr>
      <w:r>
        <w:rPr/>
        <w:t>The enterprise's IT estate is composed of disconnected systems built or bought independently by different teams or business units. There is no shared model of customer, product, or employee. Data lives in silos. Integration is point-to-point and brittle.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retailer has a different customer database in its e-commerce system, its physical store POS, its loyalty program, and its call centre. A customer who calls about a website order is a stranger to the call centre agent because the systems do not share identity.</w:t>
            </w:r>
          </w:p>
        </w:tc>
      </w:tr>
    </w:tbl>
    <w:p>
      <w:pPr>
        <w:pStyle w:val="Heading3"/>
        <w:spacing w:before="220" w:after="120"/>
        <w:rPr/>
      </w:pPr>
      <w:r>
        <w:rPr>
          <w:b/>
          <w:bCs/>
          <w:color w:val="404040"/>
        </w:rPr>
        <w:t>2. Duplication</w:t>
      </w:r>
    </w:p>
    <w:p>
      <w:pPr>
        <w:pStyle w:val="Normal"/>
        <w:spacing w:lineRule="auto" w:line="300" w:before="0" w:after="120"/>
        <w:jc w:val="both"/>
        <w:rPr/>
      </w:pPr>
      <w:r>
        <w:rPr/>
        <w:t>The same business capability is implemented multiple times in different parts of the organisation, often using different technologies. This drives up cost (multiple licences, multiple support teams), creates inconsistency (each implementation behaves slightly differently), and slows change.</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manufacturing company discovers it runs five separate inventory management systems — one per factory — each with its own vendor, its own customisations, and its own data model. A single "global stock view" is impossible without manual reconciliation.</w:t>
            </w:r>
          </w:p>
        </w:tc>
      </w:tr>
    </w:tbl>
    <w:p>
      <w:pPr>
        <w:pStyle w:val="Heading3"/>
        <w:spacing w:before="220" w:after="120"/>
        <w:rPr/>
      </w:pPr>
      <w:r>
        <w:rPr>
          <w:b/>
          <w:bCs/>
          <w:color w:val="404040"/>
        </w:rPr>
        <w:t>3. Drift (Misalignment)</w:t>
      </w:r>
    </w:p>
    <w:p>
      <w:pPr>
        <w:pStyle w:val="Normal"/>
        <w:spacing w:lineRule="auto" w:line="300" w:before="0" w:after="120"/>
        <w:jc w:val="both"/>
        <w:rPr/>
      </w:pPr>
      <w:r>
        <w:rPr/>
        <w:t>Over time, IT decisions are made without reference to business strategy. New systems get built because someone funded them, not because they advance the strategy. Slowly the architecture drifts away from what the business actually needs.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bank's strategy is "digital first, mobile led," but 70% of the IT budget continues to flow into mainframe enhancements because that is where existing teams and contracts sit. Five years later the digital channels are underdeveloped while legacy systems are over-engineered.</w:t>
            </w:r>
          </w:p>
        </w:tc>
      </w:tr>
    </w:tbl>
    <w:p>
      <w:pPr>
        <w:pStyle w:val="Heading3"/>
        <w:spacing w:before="220" w:after="120"/>
        <w:rPr/>
      </w:pPr>
      <w:r>
        <w:rPr>
          <w:b/>
          <w:bCs/>
          <w:color w:val="404040"/>
        </w:rPr>
        <w:t>4. Lock-in</w:t>
      </w:r>
    </w:p>
    <w:p>
      <w:pPr>
        <w:pStyle w:val="Normal"/>
        <w:spacing w:lineRule="auto" w:line="300" w:before="0" w:after="120"/>
        <w:jc w:val="both"/>
        <w:rPr/>
      </w:pPr>
      <w:r>
        <w:rPr/>
        <w:t>Architectural decisions are made tactically, locking the organisation into specific vendors, technologies, or data formats. Later, switching is prohibitively expensive, and the organisation loses negotiating power and the ability to adopt better technology.</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government agency standardises on a proprietary database without an abstraction layer. Ten years later, migrating to a cheaper, better-performing alternative would require rewriting hundreds of stored procedures, and the agency continues paying premium licence fees.</w:t>
            </w:r>
          </w:p>
        </w:tc>
      </w:tr>
    </w:tbl>
    <w:p>
      <w:pPr>
        <w:pStyle w:val="Heading3"/>
        <w:spacing w:before="220" w:after="120"/>
        <w:rPr/>
      </w:pPr>
      <w:r>
        <w:rPr>
          <w:b/>
          <w:bCs/>
          <w:color w:val="404040"/>
        </w:rPr>
        <w:t>5. Risk Blindness</w:t>
      </w:r>
    </w:p>
    <w:p>
      <w:pPr>
        <w:pStyle w:val="Normal"/>
        <w:spacing w:lineRule="auto" w:line="300" w:before="0" w:after="120"/>
        <w:jc w:val="both"/>
        <w:rPr/>
      </w:pPr>
      <w:r>
        <w:rPr/>
        <w:t>Without an architectural view of the enterprise, security, compliance, resilience and operational risks are managed system by system. Cross-cutting risks — those that span multiple systems — are invisible until something breaks.</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An insurer suffers a regulatory fine because customer data is processed across 14 systems, but no single team knew the full data flow. A privacy regulator asked for a data lineage map; the insurer could not produce one within the deadline.</w:t>
            </w:r>
          </w:p>
        </w:tc>
      </w:tr>
    </w:tbl>
    <w:p>
      <w:pPr>
        <w:pStyle w:val="Heading3"/>
        <w:spacing w:before="220" w:after="120"/>
        <w:rPr/>
      </w:pPr>
      <w:r>
        <w:rPr>
          <w:b/>
          <w:bCs/>
          <w:color w:val="404040"/>
        </w:rPr>
        <w:t>6. Inability to Change</w:t>
      </w:r>
    </w:p>
    <w:p>
      <w:pPr>
        <w:pStyle w:val="Normal"/>
        <w:spacing w:lineRule="auto" w:line="300" w:before="0" w:after="120"/>
        <w:jc w:val="both"/>
        <w:rPr/>
      </w:pPr>
      <w:r>
        <w:rPr/>
        <w:t>Without architectural discipline, every change ripples unpredictably. Estimates become unreliable, change windows become longer, and eventually the organisation loses the ability to deliver strategic transformation at all. The IT function becomes a brake on the business rather than an enabler.</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Example</w:t>
            </w:r>
          </w:p>
          <w:p>
            <w:pPr>
              <w:pStyle w:val="Normal"/>
              <w:spacing w:lineRule="auto" w:line="281" w:before="0" w:after="60"/>
              <w:jc w:val="both"/>
              <w:rPr/>
            </w:pPr>
            <w:r>
              <w:rPr/>
              <w:t>A telco's CRM has been customised so heavily that no one is sure which fields are still in use. Every minor change requires a six-week impact analysis. A planned product launch is delayed by nine months because the CRM team cannot confirm whether changing one field will break billing.</w:t>
            </w:r>
          </w:p>
        </w:tc>
      </w:tr>
    </w:tbl>
    <w:p>
      <w:pPr>
        <w:pStyle w:val="Heading2"/>
        <w:spacing w:before="280" w:after="160"/>
        <w:rPr/>
      </w:pPr>
      <w:r>
        <w:rPr>
          <w:b/>
          <w:bCs/>
          <w:color w:val="2E75B6"/>
        </w:rPr>
        <w:t>7.1 What EA Provides in Response</w:t>
      </w:r>
    </w:p>
    <w:tbl>
      <w:tblPr>
        <w:tblW w:w="9360" w:type="dxa"/>
        <w:jc w:val="left"/>
        <w:tblInd w:w="0" w:type="dxa"/>
        <w:tblLayout w:type="fixed"/>
        <w:tblCellMar>
          <w:top w:w="100" w:type="dxa"/>
          <w:left w:w="120" w:type="dxa"/>
          <w:bottom w:w="100" w:type="dxa"/>
          <w:right w:w="120" w:type="dxa"/>
        </w:tblCellMar>
      </w:tblPr>
      <w:tblGrid>
        <w:gridCol w:w="2010"/>
        <w:gridCol w:w="7350"/>
      </w:tblGrid>
      <w:tr>
        <w:trPr>
          <w:tblHeader w:val="true"/>
        </w:trPr>
        <w:tc>
          <w:tcPr>
            <w:tcW w:w="201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Failure Pattern</w:t>
            </w:r>
          </w:p>
        </w:tc>
        <w:tc>
          <w:tcPr>
            <w:tcW w:w="735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How EA Addresses It</w:t>
            </w:r>
          </w:p>
        </w:tc>
      </w:tr>
      <w:tr>
        <w:trPr/>
        <w:tc>
          <w:tcPr>
            <w:tcW w:w="20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Fragmentation</w:t>
            </w:r>
          </w:p>
        </w:tc>
        <w:tc>
          <w:tcPr>
            <w:tcW w:w="735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 shared metamodel and target architecture so that systems can be designed to integrate.</w:t>
            </w:r>
          </w:p>
        </w:tc>
      </w:tr>
      <w:tr>
        <w:trPr/>
        <w:tc>
          <w:tcPr>
            <w:tcW w:w="201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Duplication</w:t>
            </w:r>
          </w:p>
        </w:tc>
        <w:tc>
          <w:tcPr>
            <w:tcW w:w="735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Capability mapping reveals overlap; rationalisation roadmaps consolidate redundant systems.</w:t>
            </w:r>
          </w:p>
        </w:tc>
      </w:tr>
      <w:tr>
        <w:trPr/>
        <w:tc>
          <w:tcPr>
            <w:tcW w:w="20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Drift</w:t>
            </w:r>
          </w:p>
        </w:tc>
        <w:tc>
          <w:tcPr>
            <w:tcW w:w="735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Traceability from business strategy → capabilities → systems keeps IT investment aligned.</w:t>
            </w:r>
          </w:p>
        </w:tc>
      </w:tr>
      <w:tr>
        <w:trPr/>
        <w:tc>
          <w:tcPr>
            <w:tcW w:w="201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Lock-in</w:t>
            </w:r>
          </w:p>
        </w:tc>
        <w:tc>
          <w:tcPr>
            <w:tcW w:w="735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principles and standards mandate openness, interoperability, and abstraction.</w:t>
            </w:r>
          </w:p>
        </w:tc>
      </w:tr>
      <w:tr>
        <w:trPr/>
        <w:tc>
          <w:tcPr>
            <w:tcW w:w="20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Risk Blindness</w:t>
            </w:r>
          </w:p>
        </w:tc>
        <w:tc>
          <w:tcPr>
            <w:tcW w:w="735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Cross-domain views reveal cumulative risk; governance ensures it is reviewed.</w:t>
            </w:r>
          </w:p>
        </w:tc>
      </w:tr>
      <w:tr>
        <w:trPr/>
        <w:tc>
          <w:tcPr>
            <w:tcW w:w="201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Inability to Change</w:t>
            </w:r>
          </w:p>
        </w:tc>
        <w:tc>
          <w:tcPr>
            <w:tcW w:w="735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Reusable building blocks, well-documented baselines, and disciplined transition architectures shorten cycle times.</w:t>
            </w:r>
          </w:p>
        </w:tc>
      </w:tr>
    </w:tbl>
    <w:p>
      <w:pPr>
        <w:pStyle w:val="Heading1"/>
        <w:spacing w:before="0" w:after="200"/>
        <w:rPr/>
      </w:pPr>
      <w:r>
        <w:rPr>
          <w:b/>
          <w:bCs/>
          <w:color w:val="1F4E78"/>
        </w:rPr>
        <w:t>8. How TOGAF Compares to Other Frameworks</w:t>
      </w:r>
    </w:p>
    <w:p>
      <w:pPr>
        <w:pStyle w:val="Normal"/>
        <w:spacing w:lineRule="auto" w:line="300" w:before="0" w:after="120"/>
        <w:jc w:val="both"/>
        <w:rPr/>
      </w:pPr>
      <w:r>
        <w:rPr/>
        <w:t>TOGAF is the most widely adopted EA framework but it is not the only one. The exam expects awareness of the major alternatives, their distinctive characteristics, and the situations in which each is preferred.</w:t>
      </w:r>
    </w:p>
    <w:p>
      <w:pPr>
        <w:pStyle w:val="Heading2"/>
        <w:spacing w:before="280" w:after="160"/>
        <w:rPr/>
      </w:pPr>
      <w:r>
        <w:rPr>
          <w:b/>
          <w:bCs/>
          <w:color w:val="2E75B6"/>
        </w:rPr>
        <w:t>8.1 Zachman Framework</w:t>
      </w:r>
    </w:p>
    <w:p>
      <w:pPr>
        <w:pStyle w:val="Normal"/>
        <w:spacing w:lineRule="auto" w:line="300" w:before="0" w:after="120"/>
        <w:jc w:val="both"/>
        <w:rPr/>
      </w:pPr>
      <w:r>
        <w:rPr/>
        <w:t>Created by John Zachman in 1987 (and refined since), the Zachman Framework is best understood as a classification scheme rather than a method. It is a 6×6 matrix: six rows representing perspectives (Executive/Scope, Business Management, Architect, Engineer, Technician, Enterprise) and six columns representing the interrogatives (What, How, Where, Who, When, Why).</w:t>
      </w:r>
    </w:p>
    <w:p>
      <w:pPr>
        <w:pStyle w:val="Normal"/>
        <w:spacing w:lineRule="auto" w:line="300" w:before="0" w:after="120"/>
        <w:jc w:val="both"/>
        <w:rPr/>
      </w:pPr>
      <w:r>
        <w:rPr/>
        <w:t>Each cell of the matrix names a type of artefact. For example, the row "Architect" intersected with the column "What" identifies the data model. The framework deliberately does not say how to produce these artefacts — it only classifies them.</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Zachman Framework: </w:t>
            </w:r>
            <w:r>
              <w:rPr/>
              <w:t>An ontology / classification matrix (6 perspectives × 6 interrogatives) for organising architecture artefacts. It is descriptive, not prescriptive — it tells you what to produce, but not how to produce it.</w:t>
            </w:r>
          </w:p>
        </w:tc>
      </w:tr>
    </w:tbl>
    <w:p>
      <w:pPr>
        <w:pStyle w:val="Heading2"/>
        <w:spacing w:before="280" w:after="160"/>
        <w:rPr/>
      </w:pPr>
      <w:r>
        <w:rPr>
          <w:b/>
          <w:bCs/>
          <w:color w:val="2E75B6"/>
        </w:rPr>
        <w:t>8.2 FEAF (Federal Enterprise Architecture Framework)</w:t>
      </w:r>
    </w:p>
    <w:p>
      <w:pPr>
        <w:pStyle w:val="Normal"/>
        <w:spacing w:lineRule="auto" w:line="300" w:before="0" w:after="120"/>
        <w:jc w:val="both"/>
        <w:rPr/>
      </w:pPr>
      <w:r>
        <w:rPr/>
        <w:t>FEAF was developed by the U.S. federal government, originally in 1999, and is now part of the FEA / FEAF version 2 (2013). Its purpose is to enable the comparison and consolidation of architectures across U.S. federal agencies. FEAF includes a Consolidated Reference Model with sub-models for Performance, Business, Data, Application, Infrastructure, and Security.</w:t>
      </w:r>
    </w:p>
    <w:p>
      <w:pPr>
        <w:pStyle w:val="Normal"/>
        <w:spacing w:lineRule="auto" w:line="300" w:before="0" w:after="120"/>
        <w:jc w:val="both"/>
        <w:rPr/>
      </w:pPr>
      <w:r>
        <w:rPr/>
        <w:t>FEAF is highly prescriptive about reference models and is closely tied to U.S. federal procurement and budgeting processes (notably OMB Circular A-130). Outside of U.S. federal government use, FEAF is rarely adopted directly, although its reference-model thinking has influenced many other frameworks.</w:t>
      </w:r>
    </w:p>
    <w:p>
      <w:pPr>
        <w:pStyle w:val="Heading2"/>
        <w:spacing w:before="280" w:after="160"/>
        <w:rPr/>
      </w:pPr>
      <w:r>
        <w:rPr>
          <w:b/>
          <w:bCs/>
          <w:color w:val="2E75B6"/>
        </w:rPr>
        <w:t>8.3 DoDAF (Department of Defense Architecture Framework)</w:t>
      </w:r>
    </w:p>
    <w:p>
      <w:pPr>
        <w:pStyle w:val="Normal"/>
        <w:spacing w:lineRule="auto" w:line="300" w:before="0" w:after="120"/>
        <w:jc w:val="both"/>
        <w:rPr/>
      </w:pPr>
      <w:r>
        <w:rPr/>
        <w:t>DoDAF is the architecture framework of the U.S. Department of Defense. The current major version is DoDAF 2.0 (2009). It is built around "viewpoints" that describe the system from different perspectives: All Viewpoint (AV), Capability Viewpoint (CV), Operational Viewpoint (OV), Services Viewpoint (SvcV), Systems Viewpoint (SV), Standards Viewpoint (StdV), Data and Information Viewpoint (DIV), and Project Viewpoint (PV).</w:t>
      </w:r>
    </w:p>
    <w:p>
      <w:pPr>
        <w:pStyle w:val="Normal"/>
        <w:spacing w:lineRule="auto" w:line="300" w:before="0" w:after="120"/>
        <w:jc w:val="both"/>
        <w:rPr/>
      </w:pPr>
      <w:r>
        <w:rPr/>
        <w:t>DoDAF is heavily oriented toward defence systems-of-systems and mission-critical interoperability. It defines specific "models" (e.g., OV-1 High-Level Operational Concept, SV-2 Systems Resource Flow Description) that must be produced in specific formats. It is essentially mandatory for U.S. defence contracting.</w:t>
      </w:r>
    </w:p>
    <w:p>
      <w:pPr>
        <w:pStyle w:val="Heading2"/>
        <w:spacing w:before="280" w:after="160"/>
        <w:rPr/>
      </w:pPr>
      <w:r>
        <w:rPr>
          <w:b/>
          <w:bCs/>
          <w:color w:val="2E75B6"/>
        </w:rPr>
        <w:t>8.4 Gartner EA</w:t>
      </w:r>
    </w:p>
    <w:p>
      <w:pPr>
        <w:pStyle w:val="Normal"/>
        <w:spacing w:lineRule="auto" w:line="300" w:before="0" w:after="120"/>
        <w:jc w:val="both"/>
        <w:rPr/>
      </w:pPr>
      <w:r>
        <w:rPr/>
        <w:t>Gartner does not publish a formal framework in the same sense as TOGAF or DoDAF. Instead, Gartner offers a methodology and a body of analyst guidance focused on EA as a business-outcome discipline. Gartner's approach emphasises strategic planning, business capability modelling, and the role of EA in driving change. Organisations adopting "Gartner EA" are typically using Gartner research, advisory services, and tools rather than a public standard.</w:t>
      </w:r>
    </w:p>
    <w:p>
      <w:pPr>
        <w:pStyle w:val="Heading2"/>
        <w:spacing w:before="280" w:after="160"/>
        <w:rPr/>
      </w:pPr>
      <w:r>
        <w:rPr>
          <w:b/>
          <w:bCs/>
          <w:color w:val="2E75B6"/>
        </w:rPr>
        <w:t>8.5 Side-by-Side Comparison</w:t>
      </w:r>
    </w:p>
    <w:tbl>
      <w:tblPr>
        <w:tblW w:w="9360" w:type="dxa"/>
        <w:jc w:val="left"/>
        <w:tblInd w:w="0" w:type="dxa"/>
        <w:tblLayout w:type="fixed"/>
        <w:tblCellMar>
          <w:top w:w="100" w:type="dxa"/>
          <w:left w:w="120" w:type="dxa"/>
          <w:bottom w:w="100" w:type="dxa"/>
          <w:right w:w="120" w:type="dxa"/>
        </w:tblCellMar>
      </w:tblPr>
      <w:tblGrid>
        <w:gridCol w:w="1110"/>
        <w:gridCol w:w="1800"/>
        <w:gridCol w:w="1613"/>
        <w:gridCol w:w="1613"/>
        <w:gridCol w:w="1615"/>
        <w:gridCol w:w="1609"/>
      </w:tblGrid>
      <w:tr>
        <w:trPr>
          <w:tblHeader w:val="true"/>
        </w:trPr>
        <w:tc>
          <w:tcPr>
            <w:tcW w:w="111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Aspect</w:t>
            </w:r>
          </w:p>
        </w:tc>
        <w:tc>
          <w:tcPr>
            <w:tcW w:w="1800"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TOGAF</w:t>
            </w:r>
          </w:p>
        </w:tc>
        <w:tc>
          <w:tcPr>
            <w:tcW w:w="1613"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Zachman</w:t>
            </w:r>
          </w:p>
        </w:tc>
        <w:tc>
          <w:tcPr>
            <w:tcW w:w="1613"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FEAF</w:t>
            </w:r>
          </w:p>
        </w:tc>
        <w:tc>
          <w:tcPr>
            <w:tcW w:w="1615"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DoDAF</w:t>
            </w:r>
          </w:p>
        </w:tc>
        <w:tc>
          <w:tcPr>
            <w:tcW w:w="160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sz w:val="20"/>
                <w:szCs w:val="20"/>
              </w:rPr>
            </w:pPr>
            <w:r>
              <w:rPr>
                <w:rFonts w:ascii="DejaVu Serif" w:hAnsi="DejaVu Serif"/>
                <w:sz w:val="20"/>
                <w:szCs w:val="20"/>
              </w:rPr>
              <w:t>Gartner EA</w:t>
            </w:r>
          </w:p>
        </w:tc>
      </w:tr>
      <w:tr>
        <w:trPr/>
        <w:tc>
          <w:tcPr>
            <w:tcW w:w="11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Type</w:t>
            </w:r>
          </w:p>
        </w:tc>
        <w:tc>
          <w:tcPr>
            <w:tcW w:w="1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Method + Content + Capability framework</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Ontology / classification matrix</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Reference framework with mandated models</w:t>
            </w:r>
          </w:p>
        </w:tc>
        <w:tc>
          <w:tcPr>
            <w:tcW w:w="1615"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Viewpoint-based framework with mandated models</w:t>
            </w:r>
          </w:p>
        </w:tc>
        <w:tc>
          <w:tcPr>
            <w:tcW w:w="160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Practitioner methodology + advisory</w:t>
            </w:r>
          </w:p>
        </w:tc>
      </w:tr>
      <w:tr>
        <w:trPr/>
        <w:tc>
          <w:tcPr>
            <w:tcW w:w="111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Origin</w:t>
            </w:r>
          </w:p>
        </w:tc>
        <w:tc>
          <w:tcPr>
            <w:tcW w:w="18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Open Group (1995)</w:t>
            </w:r>
          </w:p>
        </w:tc>
        <w:tc>
          <w:tcPr>
            <w:tcW w:w="161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John Zachman (1987)</w:t>
            </w:r>
          </w:p>
        </w:tc>
        <w:tc>
          <w:tcPr>
            <w:tcW w:w="161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 Federal Government (1999)</w:t>
            </w:r>
          </w:p>
        </w:tc>
        <w:tc>
          <w:tcPr>
            <w:tcW w:w="1615"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 Department of Defense</w:t>
            </w:r>
          </w:p>
        </w:tc>
        <w:tc>
          <w:tcPr>
            <w:tcW w:w="160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Gartner Inc.</w:t>
            </w:r>
          </w:p>
        </w:tc>
      </w:tr>
      <w:tr>
        <w:trPr/>
        <w:tc>
          <w:tcPr>
            <w:tcW w:w="11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Primary Focus</w:t>
            </w:r>
          </w:p>
        </w:tc>
        <w:tc>
          <w:tcPr>
            <w:tcW w:w="1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Repeatable EA development process</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Classification of artefacts</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Federal agency interoperability</w:t>
            </w:r>
          </w:p>
        </w:tc>
        <w:tc>
          <w:tcPr>
            <w:tcW w:w="1615"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Defence systems-of-systems</w:t>
            </w:r>
          </w:p>
        </w:tc>
        <w:tc>
          <w:tcPr>
            <w:tcW w:w="160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Business outcomes &amp; disruption response</w:t>
            </w:r>
          </w:p>
        </w:tc>
      </w:tr>
      <w:tr>
        <w:trPr/>
        <w:tc>
          <w:tcPr>
            <w:tcW w:w="111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Prescriptiveness</w:t>
            </w:r>
          </w:p>
        </w:tc>
        <w:tc>
          <w:tcPr>
            <w:tcW w:w="18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Method (ADM) yes; specific artefacts flexible</w:t>
            </w:r>
          </w:p>
        </w:tc>
        <w:tc>
          <w:tcPr>
            <w:tcW w:w="161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Cells named, content not prescribed</w:t>
            </w:r>
          </w:p>
        </w:tc>
        <w:tc>
          <w:tcPr>
            <w:tcW w:w="161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Highly prescriptive about reference models</w:t>
            </w:r>
          </w:p>
        </w:tc>
        <w:tc>
          <w:tcPr>
            <w:tcW w:w="1615"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Highly prescriptive about views</w:t>
            </w:r>
          </w:p>
        </w:tc>
        <w:tc>
          <w:tcPr>
            <w:tcW w:w="160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Strategic guidance, low artefact prescription</w:t>
            </w:r>
          </w:p>
        </w:tc>
      </w:tr>
      <w:tr>
        <w:trPr/>
        <w:tc>
          <w:tcPr>
            <w:tcW w:w="11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Domains</w:t>
            </w:r>
          </w:p>
        </w:tc>
        <w:tc>
          <w:tcPr>
            <w:tcW w:w="1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Business, Data, Application, Technology</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Six interrogatives × six perspectives</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Performance, Business, Data, Service, Tech, Security</w:t>
            </w:r>
          </w:p>
        </w:tc>
        <w:tc>
          <w:tcPr>
            <w:tcW w:w="1615"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Eight viewpoints</w:t>
            </w:r>
          </w:p>
        </w:tc>
        <w:tc>
          <w:tcPr>
            <w:tcW w:w="160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Business-led, all domains</w:t>
            </w:r>
          </w:p>
        </w:tc>
      </w:tr>
      <w:tr>
        <w:trPr/>
        <w:tc>
          <w:tcPr>
            <w:tcW w:w="111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Openness</w:t>
            </w:r>
          </w:p>
        </w:tc>
        <w:tc>
          <w:tcPr>
            <w:tcW w:w="1800"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Open, vendor-neutral</w:t>
            </w:r>
          </w:p>
        </w:tc>
        <w:tc>
          <w:tcPr>
            <w:tcW w:w="161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Open concept, copyright Zachman</w:t>
            </w:r>
          </w:p>
        </w:tc>
        <w:tc>
          <w:tcPr>
            <w:tcW w:w="1613"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Open, U.S. government</w:t>
            </w:r>
          </w:p>
        </w:tc>
        <w:tc>
          <w:tcPr>
            <w:tcW w:w="1615"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Open, U.S. government</w:t>
            </w:r>
          </w:p>
        </w:tc>
        <w:tc>
          <w:tcPr>
            <w:tcW w:w="160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Proprietary</w:t>
            </w:r>
          </w:p>
        </w:tc>
      </w:tr>
      <w:tr>
        <w:trPr/>
        <w:tc>
          <w:tcPr>
            <w:tcW w:w="111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Typical Adopter</w:t>
            </w:r>
          </w:p>
        </w:tc>
        <w:tc>
          <w:tcPr>
            <w:tcW w:w="1800"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Commercial enterprises worldwide</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Used as supplement to other frameworks</w:t>
            </w:r>
          </w:p>
        </w:tc>
        <w:tc>
          <w:tcPr>
            <w:tcW w:w="1613"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 federal agencies</w:t>
            </w:r>
          </w:p>
        </w:tc>
        <w:tc>
          <w:tcPr>
            <w:tcW w:w="1615"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 DoD and contractors</w:t>
            </w:r>
          </w:p>
        </w:tc>
        <w:tc>
          <w:tcPr>
            <w:tcW w:w="160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Large commercial enterprises (Gartner clients)</w:t>
            </w:r>
          </w:p>
        </w:tc>
      </w:tr>
    </w:tbl>
    <w:p>
      <w:pPr>
        <w:pStyle w:val="Heading3"/>
        <w:spacing w:before="220" w:after="120"/>
        <w:rPr/>
      </w:pPr>
      <w:r>
        <w:rPr>
          <w:b/>
          <w:bCs/>
          <w:color w:val="404040"/>
        </w:rPr>
        <w:t>Key Insight</w:t>
      </w:r>
    </w:p>
    <w:p>
      <w:pPr>
        <w:pStyle w:val="Normal"/>
        <w:spacing w:lineRule="auto" w:line="300" w:before="0" w:after="120"/>
        <w:jc w:val="both"/>
        <w:rPr/>
      </w:pPr>
      <w:r>
        <w:rPr/>
        <w:t>These frameworks are not strict competitors. Many organisations combine them. A common pattern is to use TOGAF as the overall methodology, Zachman as a checklist for completeness of artefacts, and Gartner research for strategic direction. A U.S. federal agency might use FEAF for compliance with OMB but TOGAF for the actual development method. A defence prime contractor might be required to deliver DoDAF views while running its internal architecture practice on TOGAF.</w:t>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8" w:space="0" w:color="2E75B6"/>
              <w:left w:val="single" w:sz="24" w:space="0" w:color="2E75B6"/>
              <w:bottom w:val="single" w:sz="8" w:space="0" w:color="2E75B6"/>
              <w:right w:val="single" w:sz="4" w:space="0" w:color="2E75B6"/>
            </w:tcBorders>
            <w:shd w:fill="EAF1F8" w:val="clear"/>
          </w:tcPr>
          <w:p>
            <w:pPr>
              <w:pStyle w:val="Normal"/>
              <w:spacing w:before="0" w:after="100"/>
              <w:rPr/>
            </w:pPr>
            <w:r>
              <w:rPr>
                <w:b/>
                <w:bCs/>
                <w:color w:val="1F4E78"/>
              </w:rPr>
              <w:t xml:space="preserve">▶ </w:t>
            </w:r>
            <w:r>
              <w:rPr>
                <w:b/>
                <w:bCs/>
                <w:color w:val="1F4E78"/>
              </w:rPr>
              <w:t>Real-World Hybrid Adoption</w:t>
            </w:r>
          </w:p>
          <w:p>
            <w:pPr>
              <w:pStyle w:val="Normal"/>
              <w:spacing w:lineRule="auto" w:line="281" w:before="0" w:after="60"/>
              <w:jc w:val="both"/>
              <w:rPr/>
            </w:pPr>
            <w:r>
              <w:rPr/>
              <w:t>A U.S.-based aerospace contractor was required by its government client to produce DoDAF-conformant architecture views for a new mission system. Internally, however, the company already ran a TOGAF-based architecture practice for its commercial work.</w:t>
            </w:r>
          </w:p>
          <w:p>
            <w:pPr>
              <w:pStyle w:val="Normal"/>
              <w:spacing w:lineRule="auto" w:line="281" w:before="0" w:after="60"/>
              <w:jc w:val="both"/>
              <w:rPr/>
            </w:pPr>
            <w:r>
              <w:rPr/>
              <w:t>Solution: TOGAF's ADM was used as the development method, with each ADM phase producing both internal artefacts and the specific DoDAF views demanded by the contract. Zachman was used informally as a coverage checklist to ensure no perspective was missed. The organisation got the regulatory compliance of DoDAF, the methodological rigour of TOGAF, and the comprehensiveness of Zachman — all at once.</w:t>
            </w:r>
          </w:p>
        </w:tc>
      </w:tr>
    </w:tbl>
    <w:p>
      <w:pPr>
        <w:pStyle w:val="Heading1"/>
        <w:spacing w:before="0" w:after="200"/>
        <w:rPr>
          <w:b/>
          <w:bCs/>
          <w:color w:val="1F4E78"/>
        </w:rPr>
      </w:pPr>
      <w:r>
        <w:rPr>
          <w:b/>
          <w:bCs/>
          <w:color w:val="1F4E78"/>
        </w:rPr>
      </w:r>
      <w:r>
        <w:br w:type="page"/>
      </w:r>
    </w:p>
    <w:p>
      <w:pPr>
        <w:pStyle w:val="Heading1"/>
        <w:spacing w:before="0" w:after="200"/>
        <w:rPr>
          <w:b/>
          <w:bCs/>
          <w:color w:val="1F4E78"/>
        </w:rPr>
      </w:pPr>
      <w:r>
        <w:rPr>
          <w:b/>
          <w:bCs/>
          <w:color w:val="1F4E78"/>
        </w:rPr>
        <w:t>9. The Five Core Components of TOGAF</w:t>
      </w:r>
    </w:p>
    <w:p>
      <w:pPr>
        <w:pStyle w:val="BodyText"/>
        <w:jc w:val="both"/>
        <w:rPr>
          <w:rFonts w:ascii="DejaVu Serif" w:hAnsi="DejaVu Serif"/>
        </w:rPr>
      </w:pPr>
      <w:r>
        <w:rPr>
          <w:rFonts w:ascii="DejaVu Serif" w:hAnsi="DejaVu Serif"/>
        </w:rPr>
        <w:t>Inside TOGAF's Fundamental Content there are five core components that fit together to form the framework. Every TOGAF practitioner must know these five and how they relate.</w:t>
      </w:r>
    </w:p>
    <w:p>
      <w:pPr>
        <w:pStyle w:val="Heading2"/>
        <w:spacing w:before="280" w:after="160"/>
        <w:rPr/>
      </w:pPr>
      <w:r>
        <w:rPr>
          <w:b/>
          <w:bCs/>
          <w:color w:val="2E75B6"/>
        </w:rPr>
        <w:t>9.1 The Architecture Development Method (ADM)</w:t>
      </w:r>
    </w:p>
    <w:p>
      <w:pPr>
        <w:pStyle w:val="BodyText"/>
        <w:jc w:val="both"/>
        <w:rPr>
          <w:rFonts w:ascii="DejaVu Serif" w:hAnsi="DejaVu Serif"/>
        </w:rPr>
      </w:pPr>
      <w:r>
        <w:rPr>
          <w:rFonts w:ascii="DejaVu Serif" w:hAnsi="DejaVu Serif"/>
        </w:rPr>
        <w:t>The ADM is the heart of TOGAF. It is a step-by-step, iterative method for developing and managing the lifecycle of an enterprise architecture. It defines a sequence of phases, each with inputs, steps, and outputs, organised around a central activity called Requirements Management that runs throughout.</w:t>
      </w:r>
    </w:p>
    <w:p>
      <w:pPr>
        <w:pStyle w:val="Heading3"/>
        <w:spacing w:before="220" w:after="120"/>
        <w:rPr/>
      </w:pPr>
      <w:r>
        <w:rPr>
          <w:b/>
          <w:bCs/>
          <w:color w:val="404040"/>
        </w:rPr>
        <w:t>The Phases</w:t>
      </w:r>
    </w:p>
    <w:p>
      <w:pPr>
        <w:pStyle w:val="ListParagraph"/>
        <w:numPr>
          <w:ilvl w:val="0"/>
          <w:numId w:val="2"/>
        </w:numPr>
        <w:spacing w:lineRule="auto" w:line="281" w:before="0" w:after="80"/>
        <w:jc w:val="both"/>
        <w:rPr/>
      </w:pPr>
      <w:r>
        <w:rPr>
          <w:rFonts w:ascii="DejaVu Serif" w:hAnsi="DejaVu Serif"/>
          <w:b/>
          <w:bCs/>
        </w:rPr>
        <w:t>Preliminary Phase</w:t>
      </w:r>
      <w:r>
        <w:rPr>
          <w:rFonts w:ascii="DejaVu Serif" w:hAnsi="DejaVu Serif"/>
        </w:rPr>
        <w:t xml:space="preserve"> — establish the architecture capability, principles, and tailored framework.</w:t>
      </w:r>
    </w:p>
    <w:p>
      <w:pPr>
        <w:pStyle w:val="ListParagraph"/>
        <w:numPr>
          <w:ilvl w:val="0"/>
          <w:numId w:val="2"/>
        </w:numPr>
        <w:spacing w:lineRule="auto" w:line="281" w:before="0" w:after="80"/>
        <w:jc w:val="both"/>
        <w:rPr/>
      </w:pPr>
      <w:r>
        <w:rPr>
          <w:rFonts w:ascii="DejaVu Serif" w:hAnsi="DejaVu Serif"/>
          <w:b/>
          <w:bCs/>
        </w:rPr>
        <w:t>Phase A: Architecture Vision</w:t>
      </w:r>
      <w:r>
        <w:rPr>
          <w:rFonts w:ascii="DejaVu Serif" w:hAnsi="DejaVu Serif"/>
        </w:rPr>
        <w:t xml:space="preserve"> — define scope, stakeholders, vision, and obtain approval to proceed.</w:t>
      </w:r>
    </w:p>
    <w:p>
      <w:pPr>
        <w:pStyle w:val="ListParagraph"/>
        <w:numPr>
          <w:ilvl w:val="0"/>
          <w:numId w:val="2"/>
        </w:numPr>
        <w:spacing w:lineRule="auto" w:line="281" w:before="0" w:after="80"/>
        <w:jc w:val="both"/>
        <w:rPr/>
      </w:pPr>
      <w:r>
        <w:rPr>
          <w:rFonts w:ascii="DejaVu Serif" w:hAnsi="DejaVu Serif"/>
          <w:b/>
          <w:bCs/>
        </w:rPr>
        <w:t>Phase B: Business Architecture</w:t>
      </w:r>
      <w:r>
        <w:rPr>
          <w:rFonts w:ascii="DejaVu Serif" w:hAnsi="DejaVu Serif"/>
        </w:rPr>
        <w:t xml:space="preserve"> — describe the baseline and target business architecture.</w:t>
      </w:r>
    </w:p>
    <w:p>
      <w:pPr>
        <w:pStyle w:val="ListParagraph"/>
        <w:numPr>
          <w:ilvl w:val="0"/>
          <w:numId w:val="2"/>
        </w:numPr>
        <w:spacing w:lineRule="auto" w:line="281" w:before="0" w:after="80"/>
        <w:jc w:val="both"/>
        <w:rPr/>
      </w:pPr>
      <w:r>
        <w:rPr>
          <w:rFonts w:ascii="DejaVu Serif" w:hAnsi="DejaVu Serif"/>
          <w:b/>
          <w:bCs/>
        </w:rPr>
        <w:t>Phase C: Information Systems Architecture</w:t>
      </w:r>
      <w:r>
        <w:rPr>
          <w:rFonts w:ascii="DejaVu Serif" w:hAnsi="DejaVu Serif"/>
        </w:rPr>
        <w:t xml:space="preserve"> — covers Data and Application architectures.</w:t>
      </w:r>
    </w:p>
    <w:p>
      <w:pPr>
        <w:pStyle w:val="ListParagraph"/>
        <w:numPr>
          <w:ilvl w:val="0"/>
          <w:numId w:val="2"/>
        </w:numPr>
        <w:spacing w:lineRule="auto" w:line="281" w:before="0" w:after="80"/>
        <w:jc w:val="both"/>
        <w:rPr/>
      </w:pPr>
      <w:r>
        <w:rPr>
          <w:rFonts w:ascii="DejaVu Serif" w:hAnsi="DejaVu Serif"/>
          <w:b/>
          <w:bCs/>
        </w:rPr>
        <w:t>Phase D: Technology Architecture</w:t>
      </w:r>
      <w:r>
        <w:rPr>
          <w:rFonts w:ascii="DejaVu Serif" w:hAnsi="DejaVu Serif"/>
        </w:rPr>
        <w:t xml:space="preserve"> — describe the technology platforms supporting applications and data.</w:t>
      </w:r>
    </w:p>
    <w:p>
      <w:pPr>
        <w:pStyle w:val="ListParagraph"/>
        <w:numPr>
          <w:ilvl w:val="0"/>
          <w:numId w:val="2"/>
        </w:numPr>
        <w:spacing w:lineRule="auto" w:line="281" w:before="0" w:after="80"/>
        <w:jc w:val="both"/>
        <w:rPr/>
      </w:pPr>
      <w:r>
        <w:rPr>
          <w:rFonts w:ascii="DejaVu Serif" w:hAnsi="DejaVu Serif"/>
          <w:b/>
          <w:bCs/>
        </w:rPr>
        <w:t>Phase E: Opportunities and Solutions</w:t>
      </w:r>
      <w:r>
        <w:rPr>
          <w:rFonts w:ascii="DejaVu Serif" w:hAnsi="DejaVu Serif"/>
        </w:rPr>
        <w:t xml:space="preserve"> — identify implementation projects and transition architectures.</w:t>
      </w:r>
    </w:p>
    <w:p>
      <w:pPr>
        <w:pStyle w:val="ListParagraph"/>
        <w:numPr>
          <w:ilvl w:val="0"/>
          <w:numId w:val="2"/>
        </w:numPr>
        <w:spacing w:lineRule="auto" w:line="281" w:before="0" w:after="80"/>
        <w:jc w:val="both"/>
        <w:rPr/>
      </w:pPr>
      <w:r>
        <w:rPr>
          <w:rFonts w:ascii="DejaVu Serif" w:hAnsi="DejaVu Serif"/>
          <w:b/>
          <w:bCs/>
        </w:rPr>
        <w:t>Phase F: Migration Planning</w:t>
      </w:r>
      <w:r>
        <w:rPr>
          <w:rFonts w:ascii="DejaVu Serif" w:hAnsi="DejaVu Serif"/>
        </w:rPr>
        <w:t xml:space="preserve"> — produce the detailed implementation and migration plan.</w:t>
      </w:r>
    </w:p>
    <w:p>
      <w:pPr>
        <w:pStyle w:val="ListParagraph"/>
        <w:numPr>
          <w:ilvl w:val="0"/>
          <w:numId w:val="2"/>
        </w:numPr>
        <w:spacing w:lineRule="auto" w:line="281" w:before="0" w:after="80"/>
        <w:jc w:val="both"/>
        <w:rPr/>
      </w:pPr>
      <w:r>
        <w:rPr>
          <w:rFonts w:ascii="DejaVu Serif" w:hAnsi="DejaVu Serif"/>
          <w:b/>
          <w:bCs/>
        </w:rPr>
        <w:t>Phase G: Implementation Governance</w:t>
      </w:r>
      <w:r>
        <w:rPr>
          <w:rFonts w:ascii="DejaVu Serif" w:hAnsi="DejaVu Serif"/>
        </w:rPr>
        <w:t xml:space="preserve"> — oversee the actual implementation work to ensure conformance.</w:t>
      </w:r>
    </w:p>
    <w:p>
      <w:pPr>
        <w:pStyle w:val="ListParagraph"/>
        <w:numPr>
          <w:ilvl w:val="0"/>
          <w:numId w:val="2"/>
        </w:numPr>
        <w:spacing w:lineRule="auto" w:line="281" w:before="0" w:after="80"/>
        <w:jc w:val="both"/>
        <w:rPr/>
      </w:pPr>
      <w:r>
        <w:rPr>
          <w:rFonts w:ascii="DejaVu Serif" w:hAnsi="DejaVu Serif"/>
          <w:b/>
          <w:bCs/>
        </w:rPr>
        <w:t>Phase H: Architecture Change Management</w:t>
      </w:r>
      <w:r>
        <w:rPr>
          <w:rFonts w:ascii="DejaVu Serif" w:hAnsi="DejaVu Serif"/>
        </w:rPr>
        <w:t xml:space="preserve"> — manage the architecture once in production; trigger new ADM cycles when needed.</w:t>
      </w:r>
    </w:p>
    <w:p>
      <w:pPr>
        <w:pStyle w:val="ListParagraph"/>
        <w:numPr>
          <w:ilvl w:val="0"/>
          <w:numId w:val="2"/>
        </w:numPr>
        <w:spacing w:lineRule="auto" w:line="281" w:before="0" w:after="80"/>
        <w:jc w:val="both"/>
        <w:rPr/>
      </w:pPr>
      <w:r>
        <w:rPr>
          <w:rFonts w:ascii="DejaVu Serif" w:hAnsi="DejaVu Serif"/>
          <w:b/>
          <w:bCs/>
        </w:rPr>
        <w:t>Requirements Management</w:t>
      </w:r>
      <w:r>
        <w:rPr>
          <w:rFonts w:ascii="DejaVu Serif" w:hAnsi="DejaVu Serif"/>
        </w:rPr>
        <w:t xml:space="preserve"> — at the centre, continuously capturing, validating, and feeding requirements to all other phases.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ADM: </w:t>
            </w:r>
            <w:r>
              <w:rPr/>
              <w:t>Architecture Development Method — the iterative, phase-based process at the heart of TOGAF for developing and maintaining an enterprise architecture. It runs from the Preliminary Phase through Phases A to H, with Requirements Management at the centre.</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ADM in Action: A Health Insurer</w:t>
            </w:r>
          </w:p>
          <w:p>
            <w:pPr>
              <w:pStyle w:val="Normal"/>
              <w:spacing w:lineRule="auto" w:line="281" w:before="0" w:after="60"/>
              <w:jc w:val="both"/>
              <w:rPr/>
            </w:pPr>
            <w:r>
              <w:rPr/>
              <w:t>A health insurer launches a programme to consolidate three legacy claims platforms into one. They run the ADM as follows:</w:t>
            </w:r>
          </w:p>
          <w:p>
            <w:pPr>
              <w:pStyle w:val="Normal"/>
              <w:spacing w:lineRule="auto" w:line="281" w:before="0" w:after="60"/>
              <w:jc w:val="both"/>
              <w:rPr/>
            </w:pPr>
            <w:r>
              <w:rPr/>
              <w:t>Preliminary: confirm architecture principles, including "buy before build". Phase A: vision is approved by the executive committee with clear scope (claims only). Phase B: model current and target business processes for claims intake, adjudication, and payment. Phase C: define target data model (one claims database) and target application portfolio (one platform). Phase D: select cloud platform and define infrastructure. Phase E: identify three transition architectures, sequenced by line of business. Phase F: produce migration plan, business cases, and go-live calendar. Phase G: ensure each project conforms to the target. Phase H: monitor in production and trigger a new ADM cycle when regulation changes.</w:t>
            </w:r>
          </w:p>
        </w:tc>
      </w:tr>
    </w:tbl>
    <w:p>
      <w:pPr>
        <w:pStyle w:val="Heading2"/>
        <w:spacing w:before="280" w:after="160"/>
        <w:rPr/>
      </w:pPr>
      <w:r>
        <w:rPr>
          <w:b/>
          <w:bCs/>
          <w:color w:val="2E75B6"/>
        </w:rPr>
        <w:t>9.2 The Architecture Content Framework</w:t>
      </w:r>
    </w:p>
    <w:p>
      <w:pPr>
        <w:pStyle w:val="BodyText"/>
        <w:jc w:val="both"/>
        <w:rPr>
          <w:rFonts w:ascii="DejaVu Serif" w:hAnsi="DejaVu Serif"/>
        </w:rPr>
      </w:pPr>
      <w:r>
        <w:rPr>
          <w:rFonts w:ascii="DejaVu Serif" w:hAnsi="DejaVu Serif"/>
        </w:rPr>
        <w:t>The Architecture Content Framework provides a structured metamodel for the artefacts that the ADM produces. Without it, every architect would invent their own structure for a deliverable, and no two architectures could be compared. With it, all TOGAF architectures share a consistent shape.</w:t>
      </w:r>
    </w:p>
    <w:p>
      <w:pPr>
        <w:pStyle w:val="Heading3"/>
        <w:spacing w:before="220" w:after="120"/>
        <w:rPr/>
      </w:pPr>
      <w:r>
        <w:rPr>
          <w:b/>
          <w:bCs/>
          <w:color w:val="404040"/>
        </w:rPr>
        <w:t>Three Categories of Content</w:t>
      </w:r>
    </w:p>
    <w:p>
      <w:pPr>
        <w:pStyle w:val="ListParagraph"/>
        <w:numPr>
          <w:ilvl w:val="0"/>
          <w:numId w:val="2"/>
        </w:numPr>
        <w:spacing w:lineRule="auto" w:line="281" w:before="0" w:after="80"/>
        <w:rPr>
          <w:rFonts w:ascii="DejaVu Serif" w:hAnsi="DejaVu Serif"/>
        </w:rPr>
      </w:pPr>
      <w:r>
        <w:rPr>
          <w:rFonts w:ascii="DejaVu Serif" w:hAnsi="DejaVu Serif"/>
          <w:b/>
          <w:bCs/>
        </w:rPr>
        <w:t>Deliverables</w:t>
      </w:r>
      <w:r>
        <w:rPr>
          <w:rFonts w:ascii="DejaVu Serif" w:hAnsi="DejaVu Serif"/>
        </w:rPr>
        <w:t xml:space="preserve"> — formal contracted outputs reviewed and approved by stakeholders (e.g., the Architecture Vision document, the Architecture Definition Document, the Architecture Requirements Specification).</w:t>
      </w:r>
    </w:p>
    <w:p>
      <w:pPr>
        <w:pStyle w:val="ListParagraph"/>
        <w:numPr>
          <w:ilvl w:val="0"/>
          <w:numId w:val="2"/>
        </w:numPr>
        <w:spacing w:lineRule="auto" w:line="281" w:before="0" w:after="80"/>
        <w:rPr>
          <w:rFonts w:ascii="DejaVu Serif" w:hAnsi="DejaVu Serif"/>
        </w:rPr>
      </w:pPr>
      <w:r>
        <w:rPr>
          <w:rFonts w:ascii="DejaVu Serif" w:hAnsi="DejaVu Serif"/>
          <w:b/>
          <w:bCs/>
        </w:rPr>
        <w:t>Artefacts</w:t>
      </w:r>
      <w:r>
        <w:rPr>
          <w:rFonts w:ascii="DejaVu Serif" w:hAnsi="DejaVu Serif"/>
        </w:rPr>
        <w:t xml:space="preserve"> — work products inside deliverables, typically diagrams, matrices, or catalogues (e.g., a Business Capability Map, an Application Communication Diagram, a Technology Standards Catalogue).</w:t>
      </w:r>
    </w:p>
    <w:p>
      <w:pPr>
        <w:pStyle w:val="ListParagraph"/>
        <w:numPr>
          <w:ilvl w:val="0"/>
          <w:numId w:val="2"/>
        </w:numPr>
        <w:spacing w:lineRule="auto" w:line="281" w:before="0" w:after="80"/>
        <w:rPr>
          <w:rFonts w:ascii="DejaVu Serif" w:hAnsi="DejaVu Serif"/>
        </w:rPr>
      </w:pPr>
      <w:r>
        <w:rPr>
          <w:rFonts w:ascii="DejaVu Serif" w:hAnsi="DejaVu Serif"/>
          <w:b/>
          <w:bCs/>
        </w:rPr>
        <w:t>Building Blocks</w:t>
      </w:r>
      <w:r>
        <w:rPr>
          <w:rFonts w:ascii="DejaVu Serif" w:hAnsi="DejaVu Serif"/>
        </w:rPr>
        <w:t xml:space="preserve"> — reusable components of architecture that meet a specific business need. Two kinds: Architecture Building Blocks (ABB), which are abstract; and Solution Building Blocks (SBB), which are concrete realisations.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rPr>
                <w:rFonts w:ascii="DejaVu Serif" w:hAnsi="DejaVu Serif"/>
              </w:rPr>
            </w:pPr>
            <w:r>
              <w:rPr>
                <w:rFonts w:ascii="DejaVu Serif" w:hAnsi="DejaVu Serif"/>
                <w:b/>
                <w:bCs/>
                <w:color w:val="1F4E78"/>
              </w:rPr>
              <w:t xml:space="preserve">🔑 </w:t>
            </w:r>
            <w:r>
              <w:rPr>
                <w:rFonts w:ascii="DejaVu Serif" w:hAnsi="DejaVu Serif"/>
                <w:b/>
                <w:bCs/>
                <w:color w:val="1F4E78"/>
              </w:rPr>
              <w:t xml:space="preserve">Content Framework: </w:t>
            </w:r>
            <w:r>
              <w:rPr>
                <w:rFonts w:ascii="DejaVu Serif" w:hAnsi="DejaVu Serif"/>
              </w:rPr>
              <w:t>The TOGAF metamodel that defines the artefacts, deliverables, and building blocks produced during the ADM, ensuring consistency across architecture work.</w:t>
            </w:r>
          </w:p>
        </w:tc>
      </w:tr>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rPr>
                <w:rFonts w:ascii="DejaVu Serif" w:hAnsi="DejaVu Serif"/>
              </w:rPr>
            </w:pPr>
            <w:r>
              <w:rPr>
                <w:rFonts w:ascii="DejaVu Serif" w:hAnsi="DejaVu Serif"/>
                <w:b/>
                <w:bCs/>
                <w:color w:val="1F4E78"/>
              </w:rPr>
              <w:t xml:space="preserve">🔑 </w:t>
            </w:r>
            <w:r>
              <w:rPr>
                <w:rFonts w:ascii="DejaVu Serif" w:hAnsi="DejaVu Serif"/>
                <w:b/>
                <w:bCs/>
                <w:color w:val="1F4E78"/>
              </w:rPr>
              <w:t xml:space="preserve">ABB vs SBB: </w:t>
            </w:r>
            <w:r>
              <w:rPr>
                <w:rFonts w:ascii="DejaVu Serif" w:hAnsi="DejaVu Serif"/>
              </w:rPr>
              <w:t>An Architecture Building Block (ABB) describes required capability in abstract terms (e.g., "customer authentication service"). A Solution Building Block (SBB) is the concrete implementation that satisfies the ABB (e.g., "Okta Workforce Identity").</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BodyText"/>
              <w:rPr>
                <w:rFonts w:ascii="DejaVu Serif" w:hAnsi="DejaVu Serif"/>
              </w:rPr>
            </w:pPr>
            <w:r>
              <w:rPr>
                <w:rFonts w:ascii="DejaVu Serif" w:hAnsi="DejaVu Serif"/>
              </w:rPr>
              <w:t xml:space="preserve">▶ </w:t>
            </w:r>
            <w:r>
              <w:rPr>
                <w:rFonts w:ascii="DejaVu Serif" w:hAnsi="DejaVu Serif"/>
              </w:rPr>
              <w:t>Content Framework Example</w:t>
            </w:r>
          </w:p>
          <w:p>
            <w:pPr>
              <w:pStyle w:val="BodyText"/>
              <w:rPr>
                <w:rFonts w:ascii="DejaVu Serif" w:hAnsi="DejaVu Serif"/>
              </w:rPr>
            </w:pPr>
            <w:r>
              <w:rPr>
                <w:rFonts w:ascii="DejaVu Serif" w:hAnsi="DejaVu Serif"/>
              </w:rPr>
              <w:t>Deliverable: "Architecture Definition Document" approved by the Architecture Board.</w:t>
            </w:r>
          </w:p>
          <w:p>
            <w:pPr>
              <w:pStyle w:val="BodyText"/>
              <w:rPr>
                <w:rFonts w:ascii="DejaVu Serif" w:hAnsi="DejaVu Serif"/>
              </w:rPr>
            </w:pPr>
            <w:r>
              <w:rPr>
                <w:rFonts w:ascii="DejaVu Serif" w:hAnsi="DejaVu Serif"/>
              </w:rPr>
              <w:t>Artefacts inside it: a Business Capability Map (matrix), an Application Portfolio Catalogue (catalogue), an Application Communication Diagram (diagram), a Data Lifecycle Diagram (diagram).</w:t>
            </w:r>
          </w:p>
          <w:p>
            <w:pPr>
              <w:pStyle w:val="BodyText"/>
              <w:rPr>
                <w:rFonts w:ascii="DejaVu Serif" w:hAnsi="DejaVu Serif"/>
              </w:rPr>
            </w:pPr>
            <w:r>
              <w:rPr>
                <w:rFonts w:ascii="DejaVu Serif" w:hAnsi="DejaVu Serif"/>
              </w:rPr>
              <w:t>Architecture Building Block referenced: "Customer Master Data Service" (abstract — must support 360-degree customer view).</w:t>
            </w:r>
          </w:p>
          <w:p>
            <w:pPr>
              <w:pStyle w:val="BodyText"/>
              <w:spacing w:before="0" w:after="140"/>
              <w:rPr>
                <w:rFonts w:ascii="DejaVu Serif" w:hAnsi="DejaVu Serif"/>
              </w:rPr>
            </w:pPr>
            <w:r>
              <w:rPr>
                <w:rFonts w:ascii="DejaVu Serif" w:hAnsi="DejaVu Serif"/>
              </w:rPr>
              <w:t>Solution Building Block selected later: "Informatica MDM Customer 360" (concrete product chosen to fulfil the ABB).</w:t>
            </w:r>
          </w:p>
        </w:tc>
      </w:tr>
    </w:tbl>
    <w:p>
      <w:pPr>
        <w:pStyle w:val="Heading2"/>
        <w:spacing w:before="280" w:after="160"/>
        <w:rPr/>
      </w:pPr>
      <w:r>
        <w:rPr>
          <w:b/>
          <w:bCs/>
          <w:color w:val="2E75B6"/>
        </w:rPr>
        <w:t>9.3 The Enterprise Continuum</w:t>
      </w:r>
    </w:p>
    <w:p>
      <w:pPr>
        <w:pStyle w:val="BodyText"/>
        <w:jc w:val="both"/>
        <w:rPr>
          <w:rFonts w:ascii="DejaVu Serif" w:hAnsi="DejaVu Serif"/>
        </w:rPr>
      </w:pPr>
      <w:r>
        <w:rPr>
          <w:rFonts w:ascii="DejaVu Serif" w:hAnsi="DejaVu Serif"/>
        </w:rPr>
        <w:t>The Enterprise Continuum is a way of classifying architectures and solutions on a spectrum from fully generic to fully organisation-specific. It helps architects find and reuse existing material rather than inventing everything from scratch.</w:t>
      </w:r>
    </w:p>
    <w:p>
      <w:pPr>
        <w:pStyle w:val="Heading3"/>
        <w:spacing w:before="220" w:after="120"/>
        <w:rPr/>
      </w:pPr>
      <w:r>
        <w:rPr>
          <w:b/>
          <w:bCs/>
          <w:color w:val="404040"/>
        </w:rPr>
        <w:t>The Two Sub-Continuums</w:t>
      </w:r>
    </w:p>
    <w:p>
      <w:pPr>
        <w:pStyle w:val="ListParagraph"/>
        <w:numPr>
          <w:ilvl w:val="0"/>
          <w:numId w:val="2"/>
        </w:numPr>
        <w:spacing w:lineRule="auto" w:line="281" w:before="0" w:after="80"/>
        <w:rPr>
          <w:rFonts w:ascii="DejaVu Serif" w:hAnsi="DejaVu Serif"/>
        </w:rPr>
      </w:pPr>
      <w:r>
        <w:rPr>
          <w:rFonts w:ascii="DejaVu Serif" w:hAnsi="DejaVu Serif"/>
          <w:b/>
          <w:bCs/>
        </w:rPr>
        <w:t xml:space="preserve">Architecture Continuum </w:t>
      </w:r>
      <w:r>
        <w:rPr>
          <w:rFonts w:ascii="DejaVu Serif" w:hAnsi="DejaVu Serif"/>
        </w:rPr>
        <w:t>— describes architectures, ranging from Foundation Architectures (most generic, e.g., the TOGAF Technical Reference Model), to Common Systems Architectures, Industry Architectures, and Organization-Specific Architectures (most specific).</w:t>
      </w:r>
    </w:p>
    <w:p>
      <w:pPr>
        <w:pStyle w:val="ListParagraph"/>
        <w:numPr>
          <w:ilvl w:val="0"/>
          <w:numId w:val="2"/>
        </w:numPr>
        <w:spacing w:lineRule="auto" w:line="281" w:before="0" w:after="80"/>
        <w:rPr>
          <w:rFonts w:ascii="DejaVu Serif" w:hAnsi="DejaVu Serif"/>
        </w:rPr>
      </w:pPr>
      <w:r>
        <w:rPr>
          <w:rFonts w:ascii="DejaVu Serif" w:hAnsi="DejaVu Serif"/>
          <w:b/>
          <w:bCs/>
        </w:rPr>
        <w:t xml:space="preserve">Solutions Continuum </w:t>
      </w:r>
      <w:r>
        <w:rPr>
          <w:rFonts w:ascii="DejaVu Serif" w:hAnsi="DejaVu Serif"/>
        </w:rPr>
        <w:t>— parallel structure for solutions, ranging from Foundation Solutions (generic platforms), through Common Systems Solutions and Industry Solutions, to Organization-Specific Solutions.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rFonts w:ascii="DejaVu Serif" w:hAnsi="DejaVu Serif"/>
              </w:rPr>
            </w:pPr>
            <w:r>
              <w:rPr>
                <w:rFonts w:ascii="DejaVu Serif" w:hAnsi="DejaVu Serif"/>
                <w:b/>
                <w:bCs/>
                <w:color w:val="1F4E78"/>
              </w:rPr>
              <w:t xml:space="preserve">🔑 </w:t>
            </w:r>
            <w:r>
              <w:rPr>
                <w:rFonts w:ascii="DejaVu Serif" w:hAnsi="DejaVu Serif"/>
                <w:b/>
                <w:bCs/>
                <w:color w:val="1F4E78"/>
              </w:rPr>
              <w:t xml:space="preserve">Enterprise Continuum: </w:t>
            </w:r>
            <w:r>
              <w:rPr>
                <w:rFonts w:ascii="DejaVu Serif" w:hAnsi="DejaVu Serif"/>
              </w:rPr>
              <w:t>A virtual classification scheme spanning generic to organisation-specific architectures and solutions. It helps practitioners locate and reuse existing assets, and it provides context for new development.</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rFonts w:ascii="DejaVu Serif" w:hAnsi="DejaVu Serif"/>
              </w:rPr>
            </w:pPr>
            <w:r>
              <w:rPr>
                <w:rFonts w:ascii="DejaVu Serif" w:hAnsi="DejaVu Serif"/>
                <w:b/>
                <w:bCs/>
                <w:color w:val="1F4E78"/>
              </w:rPr>
              <w:t xml:space="preserve">▶ </w:t>
            </w:r>
            <w:r>
              <w:rPr>
                <w:rFonts w:ascii="DejaVu Serif" w:hAnsi="DejaVu Serif"/>
                <w:b/>
                <w:bCs/>
                <w:color w:val="1F4E78"/>
              </w:rPr>
              <w:t>Continuum Example: A Bank's Online Channel</w:t>
            </w:r>
          </w:p>
          <w:p>
            <w:pPr>
              <w:pStyle w:val="Normal"/>
              <w:spacing w:lineRule="auto" w:line="281" w:before="0" w:after="60"/>
              <w:jc w:val="both"/>
              <w:rPr>
                <w:rFonts w:ascii="DejaVu Serif" w:hAnsi="DejaVu Serif"/>
              </w:rPr>
            </w:pPr>
            <w:r>
              <w:rPr>
                <w:rFonts w:ascii="DejaVu Serif" w:hAnsi="DejaVu Serif"/>
              </w:rPr>
              <w:t>Foundation Architecture: TOGAF TRM — generic concepts of application platforms.</w:t>
            </w:r>
          </w:p>
          <w:p>
            <w:pPr>
              <w:pStyle w:val="Normal"/>
              <w:spacing w:lineRule="auto" w:line="281" w:before="0" w:after="60"/>
              <w:jc w:val="both"/>
              <w:rPr>
                <w:rFonts w:ascii="DejaVu Serif" w:hAnsi="DejaVu Serif"/>
              </w:rPr>
            </w:pPr>
            <w:r>
              <w:rPr>
                <w:rFonts w:ascii="DejaVu Serif" w:hAnsi="DejaVu Serif"/>
              </w:rPr>
              <w:t>Common Systems Architecture: a generic web application architecture pattern (load balancer + web tier + app tier + database).</w:t>
            </w:r>
          </w:p>
          <w:p>
            <w:pPr>
              <w:pStyle w:val="Normal"/>
              <w:spacing w:lineRule="auto" w:line="281" w:before="0" w:after="60"/>
              <w:jc w:val="both"/>
              <w:rPr>
                <w:rFonts w:ascii="DejaVu Serif" w:hAnsi="DejaVu Serif"/>
              </w:rPr>
            </w:pPr>
            <w:r>
              <w:rPr>
                <w:rFonts w:ascii="DejaVu Serif" w:hAnsi="DejaVu Serif"/>
              </w:rPr>
              <w:t>Industry Architecture: a banking-industry online-channel reference architecture (BIAN-aligned, including specific banking services).</w:t>
            </w:r>
          </w:p>
          <w:p>
            <w:pPr>
              <w:pStyle w:val="Normal"/>
              <w:spacing w:lineRule="auto" w:line="281" w:before="0" w:after="60"/>
              <w:jc w:val="both"/>
              <w:rPr>
                <w:rFonts w:ascii="DejaVu Serif" w:hAnsi="DejaVu Serif"/>
              </w:rPr>
            </w:pPr>
            <w:r>
              <w:rPr>
                <w:rFonts w:ascii="DejaVu Serif" w:hAnsi="DejaVu Serif"/>
              </w:rPr>
              <w:t>Organization-Specific Architecture: "Acme Bank Online Banking Architecture v3.2" — concrete to Acme Bank, citing exact products and Acme's brand standards.</w:t>
            </w:r>
          </w:p>
          <w:p>
            <w:pPr>
              <w:pStyle w:val="Normal"/>
              <w:spacing w:lineRule="auto" w:line="281" w:before="0" w:after="60"/>
              <w:jc w:val="both"/>
              <w:rPr>
                <w:rFonts w:ascii="DejaVu Serif" w:hAnsi="DejaVu Serif"/>
              </w:rPr>
            </w:pPr>
            <w:r>
              <w:rPr>
                <w:rFonts w:ascii="DejaVu Serif" w:hAnsi="DejaVu Serif"/>
              </w:rPr>
              <w:t>Each level adds specificity. Architects start as far up the continuum as possible (more reuse) and only descend when necessary.</w:t>
            </w:r>
          </w:p>
        </w:tc>
      </w:tr>
    </w:tbl>
    <w:p>
      <w:pPr>
        <w:pStyle w:val="Heading2"/>
        <w:spacing w:before="280" w:after="160"/>
        <w:rPr/>
      </w:pPr>
      <w:r>
        <w:rPr>
          <w:b/>
          <w:bCs/>
          <w:color w:val="2E75B6"/>
        </w:rPr>
        <w:t>9.4 The Architecture Repository</w:t>
      </w:r>
    </w:p>
    <w:p>
      <w:pPr>
        <w:pStyle w:val="BodyText"/>
        <w:rPr>
          <w:rFonts w:ascii="DejaVu Serif" w:hAnsi="DejaVu Serif"/>
        </w:rPr>
      </w:pPr>
      <w:r>
        <w:rPr>
          <w:rFonts w:ascii="DejaVu Serif" w:hAnsi="DejaVu Serif"/>
        </w:rPr>
        <w:t>The Architecture Repository is the physical (or logical) store where all architecture work products, reference material, governance logs, and standards live. If the Continuum is the conceptual classification of content, the Repository is the actual library where content is held.</w:t>
      </w:r>
    </w:p>
    <w:p>
      <w:pPr>
        <w:pStyle w:val="Heading3"/>
        <w:spacing w:before="220" w:after="120"/>
        <w:rPr/>
      </w:pPr>
      <w:r>
        <w:rPr>
          <w:b/>
          <w:bCs/>
          <w:color w:val="404040"/>
        </w:rPr>
        <w:t>Sections of the Repository</w:t>
      </w:r>
    </w:p>
    <w:p>
      <w:pPr>
        <w:pStyle w:val="ListParagraph"/>
        <w:numPr>
          <w:ilvl w:val="0"/>
          <w:numId w:val="2"/>
        </w:numPr>
        <w:spacing w:lineRule="auto" w:line="281" w:before="0" w:after="80"/>
        <w:jc w:val="both"/>
        <w:rPr/>
      </w:pPr>
      <w:r>
        <w:rPr>
          <w:rFonts w:ascii="DejaVu Serif" w:hAnsi="DejaVu Serif"/>
          <w:b/>
          <w:bCs/>
        </w:rPr>
        <w:t>Architecture</w:t>
      </w:r>
      <w:r>
        <w:rPr>
          <w:rFonts w:ascii="DejaVu Serif" w:hAnsi="DejaVu Serif"/>
        </w:rPr>
        <w:t xml:space="preserve"> </w:t>
      </w:r>
      <w:r>
        <w:rPr>
          <w:rFonts w:ascii="DejaVu Serif" w:hAnsi="DejaVu Serif"/>
          <w:b/>
          <w:bCs/>
        </w:rPr>
        <w:t>Metamodel</w:t>
      </w:r>
      <w:r>
        <w:rPr>
          <w:rFonts w:ascii="DejaVu Serif" w:hAnsi="DejaVu Serif"/>
        </w:rPr>
        <w:t xml:space="preserve"> — describes the Content Framework being used.</w:t>
      </w:r>
    </w:p>
    <w:p>
      <w:pPr>
        <w:pStyle w:val="ListParagraph"/>
        <w:numPr>
          <w:ilvl w:val="0"/>
          <w:numId w:val="2"/>
        </w:numPr>
        <w:spacing w:lineRule="auto" w:line="281" w:before="0" w:after="80"/>
        <w:jc w:val="both"/>
        <w:rPr/>
      </w:pPr>
      <w:r>
        <w:rPr>
          <w:rFonts w:ascii="DejaVu Serif" w:hAnsi="DejaVu Serif"/>
          <w:b/>
          <w:bCs/>
        </w:rPr>
        <w:t>Architecture</w:t>
      </w:r>
      <w:r>
        <w:rPr>
          <w:rFonts w:ascii="DejaVu Serif" w:hAnsi="DejaVu Serif"/>
        </w:rPr>
        <w:t xml:space="preserve"> </w:t>
      </w:r>
      <w:r>
        <w:rPr>
          <w:rFonts w:ascii="DejaVu Serif" w:hAnsi="DejaVu Serif"/>
          <w:b/>
          <w:bCs/>
        </w:rPr>
        <w:t>Capability</w:t>
      </w:r>
      <w:r>
        <w:rPr>
          <w:rFonts w:ascii="DejaVu Serif" w:hAnsi="DejaVu Serif"/>
        </w:rPr>
        <w:t xml:space="preserve"> — records describing the architecture practice itself (skills, roles, governance bodies).</w:t>
      </w:r>
    </w:p>
    <w:p>
      <w:pPr>
        <w:pStyle w:val="ListParagraph"/>
        <w:numPr>
          <w:ilvl w:val="0"/>
          <w:numId w:val="2"/>
        </w:numPr>
        <w:spacing w:lineRule="auto" w:line="281" w:before="0" w:after="80"/>
        <w:jc w:val="both"/>
        <w:rPr/>
      </w:pPr>
      <w:r>
        <w:rPr>
          <w:rFonts w:ascii="DejaVu Serif" w:hAnsi="DejaVu Serif"/>
          <w:b/>
          <w:bCs/>
        </w:rPr>
        <w:t>Architecture</w:t>
      </w:r>
      <w:r>
        <w:rPr>
          <w:rFonts w:ascii="DejaVu Serif" w:hAnsi="DejaVu Serif"/>
        </w:rPr>
        <w:t xml:space="preserve"> </w:t>
      </w:r>
      <w:r>
        <w:rPr>
          <w:rFonts w:ascii="DejaVu Serif" w:hAnsi="DejaVu Serif"/>
          <w:b/>
          <w:bCs/>
        </w:rPr>
        <w:t>Landscape</w:t>
      </w:r>
      <w:r>
        <w:rPr>
          <w:rFonts w:ascii="DejaVu Serif" w:hAnsi="DejaVu Serif"/>
        </w:rPr>
        <w:t xml:space="preserve"> — current state, target state, and transition architectures of the enterprise, at strategic, segment, and capability levels.</w:t>
      </w:r>
    </w:p>
    <w:p>
      <w:pPr>
        <w:pStyle w:val="ListParagraph"/>
        <w:numPr>
          <w:ilvl w:val="0"/>
          <w:numId w:val="2"/>
        </w:numPr>
        <w:spacing w:lineRule="auto" w:line="281" w:before="0" w:after="80"/>
        <w:jc w:val="both"/>
        <w:rPr/>
      </w:pPr>
      <w:r>
        <w:rPr>
          <w:rFonts w:ascii="DejaVu Serif" w:hAnsi="DejaVu Serif"/>
          <w:b/>
          <w:bCs/>
        </w:rPr>
        <w:t xml:space="preserve">Standards Information Base (SIB) </w:t>
      </w:r>
      <w:r>
        <w:rPr>
          <w:rFonts w:ascii="DejaVu Serif" w:hAnsi="DejaVu Serif"/>
        </w:rPr>
        <w:t>— the standards (technical, business, data) that architectures must conform to.</w:t>
      </w:r>
    </w:p>
    <w:p>
      <w:pPr>
        <w:pStyle w:val="ListParagraph"/>
        <w:numPr>
          <w:ilvl w:val="0"/>
          <w:numId w:val="2"/>
        </w:numPr>
        <w:spacing w:lineRule="auto" w:line="281" w:before="0" w:after="80"/>
        <w:jc w:val="both"/>
        <w:rPr/>
      </w:pPr>
      <w:r>
        <w:rPr>
          <w:rFonts w:ascii="DejaVu Serif" w:hAnsi="DejaVu Serif"/>
          <w:b/>
          <w:bCs/>
        </w:rPr>
        <w:t>Reference Library</w:t>
      </w:r>
      <w:r>
        <w:rPr>
          <w:rFonts w:ascii="DejaVu Serif" w:hAnsi="DejaVu Serif"/>
        </w:rPr>
        <w:t xml:space="preserve"> — generic and industry-specific reference architectures, models, and patterns.</w:t>
      </w:r>
    </w:p>
    <w:p>
      <w:pPr>
        <w:pStyle w:val="ListParagraph"/>
        <w:numPr>
          <w:ilvl w:val="0"/>
          <w:numId w:val="2"/>
        </w:numPr>
        <w:spacing w:lineRule="auto" w:line="281" w:before="0" w:after="80"/>
        <w:jc w:val="both"/>
        <w:rPr/>
      </w:pPr>
      <w:r>
        <w:rPr>
          <w:rFonts w:ascii="DejaVu Serif" w:hAnsi="DejaVu Serif"/>
          <w:b/>
          <w:bCs/>
        </w:rPr>
        <w:t>Governance Log</w:t>
      </w:r>
      <w:r>
        <w:rPr>
          <w:rFonts w:ascii="DejaVu Serif" w:hAnsi="DejaVu Serif"/>
        </w:rPr>
        <w:t xml:space="preserve"> — records of governance activities: board minutes, compliance assessments, dispensations, and decisions.</w:t>
      </w:r>
    </w:p>
    <w:p>
      <w:pPr>
        <w:pStyle w:val="ListParagraph"/>
        <w:numPr>
          <w:ilvl w:val="0"/>
          <w:numId w:val="2"/>
        </w:numPr>
        <w:spacing w:lineRule="auto" w:line="281" w:before="0" w:after="80"/>
        <w:jc w:val="both"/>
        <w:rPr/>
      </w:pPr>
      <w:r>
        <w:rPr>
          <w:rFonts w:ascii="DejaVu Serif" w:hAnsi="DejaVu Serif"/>
          <w:b/>
          <w:bCs/>
        </w:rPr>
        <w:t xml:space="preserve">Architecture Requirements Repository </w:t>
      </w:r>
      <w:r>
        <w:rPr>
          <w:rFonts w:ascii="DejaVu Serif" w:hAnsi="DejaVu Serif"/>
        </w:rPr>
        <w:t>— record of all architecture requirements being managed.</w:t>
      </w:r>
    </w:p>
    <w:p>
      <w:pPr>
        <w:pStyle w:val="ListParagraph"/>
        <w:numPr>
          <w:ilvl w:val="0"/>
          <w:numId w:val="2"/>
        </w:numPr>
        <w:spacing w:lineRule="auto" w:line="281" w:before="0" w:after="80"/>
        <w:jc w:val="both"/>
        <w:rPr/>
      </w:pPr>
      <w:r>
        <w:rPr>
          <w:rFonts w:ascii="DejaVu Serif" w:hAnsi="DejaVu Serif"/>
          <w:b/>
          <w:bCs/>
        </w:rPr>
        <w:t>Solutions Landscape —</w:t>
      </w:r>
      <w:r>
        <w:rPr>
          <w:rFonts w:ascii="DejaVu Serif" w:hAnsi="DejaVu Serif"/>
        </w:rPr>
        <w:t xml:space="preserve"> actual solutions deployed to realise the architecture.</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BodyText"/>
              <w:spacing w:before="0" w:after="140"/>
              <w:jc w:val="both"/>
              <w:rPr>
                <w:rFonts w:ascii="DejaVu Serif" w:hAnsi="DejaVu Serif"/>
              </w:rPr>
            </w:pPr>
            <w:r>
              <w:rPr>
                <w:rFonts w:ascii="DejaVu Serif" w:hAnsi="DejaVu Serif"/>
                <w:b/>
                <w:bCs/>
                <w:color w:val="1F4E78"/>
              </w:rPr>
              <w:t xml:space="preserve">🔑 </w:t>
            </w:r>
            <w:r>
              <w:rPr>
                <w:rFonts w:ascii="DejaVu Serif" w:hAnsi="DejaVu Serif"/>
                <w:b/>
                <w:bCs/>
                <w:color w:val="1F4E78"/>
              </w:rPr>
              <w:t xml:space="preserve">Architecture Repository: </w:t>
            </w:r>
            <w:r>
              <w:rPr>
                <w:rFonts w:ascii="DejaVu Serif" w:hAnsi="DejaVu Serif"/>
              </w:rPr>
              <w:t>The structured store of all architecture-related material in the enterprise: metamodel, current/target/transition architectures, standards, reference models, governance records, and requirements.</w:t>
            </w:r>
          </w:p>
        </w:tc>
      </w:tr>
      <w:tr>
        <w:trPr/>
        <w:tc>
          <w:tcPr>
            <w:tcW w:w="9360" w:type="dxa"/>
            <w:tcBorders>
              <w:top w:val="single" w:sz="8" w:space="0" w:color="C9A227"/>
              <w:left w:val="single" w:sz="24" w:space="0" w:color="C9A227"/>
              <w:bottom w:val="single" w:sz="8" w:space="0" w:color="C9A227"/>
              <w:right w:val="single" w:sz="4" w:space="0" w:color="C9A227"/>
            </w:tcBorders>
            <w:shd w:fill="FFF4CE" w:val="clear"/>
            <w:tcMar>
              <w:top w:w="160" w:type="dxa"/>
              <w:left w:w="200" w:type="dxa"/>
              <w:bottom w:w="160" w:type="dxa"/>
              <w:right w:w="200" w:type="dxa"/>
            </w:tcMar>
          </w:tcPr>
          <w:p>
            <w:pPr>
              <w:pStyle w:val="BodyText"/>
              <w:jc w:val="both"/>
              <w:rPr>
                <w:rFonts w:ascii="DejaVu Serif" w:hAnsi="DejaVu Serif"/>
              </w:rPr>
            </w:pPr>
            <w:r>
              <w:rPr>
                <w:rFonts w:ascii="DejaVu Serif" w:hAnsi="DejaVu Serif"/>
                <w:b/>
                <w:bCs/>
              </w:rPr>
              <w:t xml:space="preserve">Continuum vs Repository </w:t>
            </w:r>
            <w:r>
              <w:rPr>
                <w:rFonts w:ascii="DejaVu Serif" w:hAnsi="DejaVu Serif"/>
              </w:rPr>
              <w:t>— A Common Confusion</w:t>
            </w:r>
          </w:p>
          <w:p>
            <w:pPr>
              <w:pStyle w:val="BodyText"/>
              <w:spacing w:before="0" w:after="140"/>
              <w:jc w:val="both"/>
              <w:rPr>
                <w:rFonts w:ascii="DejaVu Serif" w:hAnsi="DejaVu Serif"/>
              </w:rPr>
            </w:pPr>
            <w:r>
              <w:rPr>
                <w:rFonts w:ascii="DejaVu Serif" w:hAnsi="DejaVu Serif"/>
              </w:rPr>
              <w:t>The Enterprise Continuum is a classification (a way to talk about content from generic to specific). The Architecture Repository is a store (where the content actually lives). The Continuum tells you how to label and locate things; the Repository is where they sit. You can think of the Continuum as the Dewey Decimal System and the Repository as the actual library shelves.</w:t>
            </w:r>
          </w:p>
        </w:tc>
      </w:tr>
    </w:tbl>
    <w:p>
      <w:pPr>
        <w:pStyle w:val="Heading2"/>
        <w:spacing w:before="280" w:after="160"/>
        <w:rPr/>
      </w:pPr>
      <w:r>
        <w:rPr>
          <w:b/>
          <w:bCs/>
          <w:color w:val="2E75B6"/>
        </w:rPr>
        <w:t>9.5 The Architecture Capability Framework</w:t>
      </w:r>
    </w:p>
    <w:p>
      <w:pPr>
        <w:pStyle w:val="BodyText"/>
        <w:jc w:val="both"/>
        <w:rPr>
          <w:rFonts w:ascii="DejaVu Serif" w:hAnsi="DejaVu Serif"/>
        </w:rPr>
      </w:pPr>
      <w:r>
        <w:rPr>
          <w:rFonts w:ascii="DejaVu Serif" w:hAnsi="DejaVu Serif"/>
        </w:rPr>
        <w:t>The Architecture Capability Framework describes the people, processes, skills, roles, and tools required to establish and operate an architecture practice in an enterprise. It is the answer to the question: "how do we set up our organisation to actually do architecture?"</w:t>
      </w:r>
    </w:p>
    <w:p>
      <w:pPr>
        <w:pStyle w:val="Heading3"/>
        <w:spacing w:before="220" w:after="120"/>
        <w:rPr/>
      </w:pPr>
      <w:r>
        <w:rPr>
          <w:b/>
          <w:bCs/>
          <w:color w:val="404040"/>
        </w:rPr>
        <w:t>Key Elements</w:t>
      </w:r>
    </w:p>
    <w:p>
      <w:pPr>
        <w:pStyle w:val="ListParagraph"/>
        <w:numPr>
          <w:ilvl w:val="0"/>
          <w:numId w:val="2"/>
        </w:numPr>
        <w:spacing w:lineRule="auto" w:line="281" w:before="0" w:after="80"/>
        <w:rPr>
          <w:rFonts w:ascii="DejaVu Serif" w:hAnsi="DejaVu Serif"/>
        </w:rPr>
      </w:pPr>
      <w:r>
        <w:rPr>
          <w:rFonts w:ascii="DejaVu Serif" w:hAnsi="DejaVu Serif"/>
          <w:b/>
          <w:bCs/>
        </w:rPr>
        <w:t>Architecture Board</w:t>
      </w:r>
      <w:r>
        <w:rPr>
          <w:rFonts w:ascii="DejaVu Serif" w:hAnsi="DejaVu Serif"/>
        </w:rPr>
        <w:t xml:space="preserve"> — the cross-organisational body responsible for governing architecture decisions.</w:t>
      </w:r>
    </w:p>
    <w:p>
      <w:pPr>
        <w:pStyle w:val="ListParagraph"/>
        <w:numPr>
          <w:ilvl w:val="0"/>
          <w:numId w:val="2"/>
        </w:numPr>
        <w:spacing w:lineRule="auto" w:line="281" w:before="0" w:after="80"/>
        <w:rPr>
          <w:rFonts w:ascii="DejaVu Serif" w:hAnsi="DejaVu Serif"/>
        </w:rPr>
      </w:pPr>
      <w:r>
        <w:rPr>
          <w:rFonts w:ascii="DejaVu Serif" w:hAnsi="DejaVu Serif"/>
          <w:b/>
          <w:bCs/>
        </w:rPr>
        <w:t>Architecture Governance</w:t>
      </w:r>
      <w:r>
        <w:rPr>
          <w:rFonts w:ascii="DejaVu Serif" w:hAnsi="DejaVu Serif"/>
        </w:rPr>
        <w:t xml:space="preserve"> — the processes, structures, and behaviours that ensure architecture decisions are made, communicated, and adhered to.</w:t>
      </w:r>
    </w:p>
    <w:p>
      <w:pPr>
        <w:pStyle w:val="ListParagraph"/>
        <w:numPr>
          <w:ilvl w:val="0"/>
          <w:numId w:val="2"/>
        </w:numPr>
        <w:spacing w:lineRule="auto" w:line="281" w:before="0" w:after="80"/>
        <w:rPr>
          <w:rFonts w:ascii="DejaVu Serif" w:hAnsi="DejaVu Serif"/>
        </w:rPr>
      </w:pPr>
      <w:r>
        <w:rPr>
          <w:rFonts w:ascii="DejaVu Serif" w:hAnsi="DejaVu Serif"/>
          <w:b/>
          <w:bCs/>
        </w:rPr>
        <w:t xml:space="preserve">Architecture Compliance </w:t>
      </w:r>
      <w:r>
        <w:rPr>
          <w:rFonts w:ascii="DejaVu Serif" w:hAnsi="DejaVu Serif"/>
        </w:rPr>
        <w:t>— the formal review of projects against the architecture, with possible outcomes ranging from compliant to non-compliant or requiring dispensation.</w:t>
      </w:r>
    </w:p>
    <w:p>
      <w:pPr>
        <w:pStyle w:val="ListParagraph"/>
        <w:numPr>
          <w:ilvl w:val="0"/>
          <w:numId w:val="2"/>
        </w:numPr>
        <w:spacing w:lineRule="auto" w:line="281" w:before="0" w:after="80"/>
        <w:rPr>
          <w:rFonts w:ascii="DejaVu Serif" w:hAnsi="DejaVu Serif"/>
        </w:rPr>
      </w:pPr>
      <w:r>
        <w:rPr>
          <w:rFonts w:ascii="DejaVu Serif" w:hAnsi="DejaVu Serif"/>
          <w:b/>
          <w:bCs/>
        </w:rPr>
        <w:t xml:space="preserve">Architecture Skills Framework </w:t>
      </w:r>
      <w:r>
        <w:rPr>
          <w:rFonts w:ascii="DejaVu Serif" w:hAnsi="DejaVu Serif"/>
        </w:rPr>
        <w:t>— defined skill categories and proficiency levels for the various architect roles (Enterprise, Business, Data, Application, Technology, Solution).</w:t>
      </w:r>
    </w:p>
    <w:p>
      <w:pPr>
        <w:pStyle w:val="ListParagraph"/>
        <w:numPr>
          <w:ilvl w:val="0"/>
          <w:numId w:val="2"/>
        </w:numPr>
        <w:spacing w:lineRule="auto" w:line="281" w:before="0" w:after="80"/>
        <w:rPr>
          <w:rFonts w:ascii="DejaVu Serif" w:hAnsi="DejaVu Serif"/>
        </w:rPr>
      </w:pPr>
      <w:r>
        <w:rPr>
          <w:rFonts w:ascii="DejaVu Serif" w:hAnsi="DejaVu Serif"/>
          <w:b/>
          <w:bCs/>
        </w:rPr>
        <w:t xml:space="preserve">Architecture Contracts </w:t>
      </w:r>
      <w:r>
        <w:rPr>
          <w:rFonts w:ascii="DejaVu Serif" w:hAnsi="DejaVu Serif"/>
        </w:rPr>
        <w:t>— formal agreements between architecture providers and consumers (development teams, business sponsors).</w:t>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999999"/>
              <w:left w:val="single" w:sz="4" w:space="0" w:color="999999"/>
              <w:bottom w:val="single" w:sz="4" w:space="0" w:color="999999"/>
              <w:right w:val="single" w:sz="4" w:space="0" w:color="999999"/>
            </w:tcBorders>
            <w:shd w:fill="F2F2F2" w:val="clear"/>
          </w:tcPr>
          <w:p>
            <w:pPr>
              <w:pStyle w:val="Normal"/>
              <w:spacing w:before="0" w:after="60"/>
              <w:rPr/>
            </w:pPr>
            <w:r>
              <w:rPr>
                <w:b/>
                <w:bCs/>
                <w:color w:val="1F4E78"/>
              </w:rPr>
              <w:t xml:space="preserve">🔑 </w:t>
            </w:r>
            <w:r>
              <w:rPr>
                <w:b/>
                <w:bCs/>
                <w:color w:val="1F4E78"/>
              </w:rPr>
              <w:t xml:space="preserve">Architecture Capability Framework: </w:t>
            </w:r>
            <w:r>
              <w:rPr>
                <w:rFonts w:ascii="DejaVu Serif" w:hAnsi="DejaVu Serif"/>
              </w:rPr>
              <w:t>The TOGAF component that describes how to establish and operate an architecture function: the Architecture Board, governance processes, compliance reviews, skills framework, and contracts.</w:t>
            </w:r>
          </w:p>
        </w:tc>
      </w:tr>
      <w:tr>
        <w:trPr/>
        <w:tc>
          <w:tcPr>
            <w:tcW w:w="9360" w:type="dxa"/>
            <w:tcBorders>
              <w:top w:val="single" w:sz="8" w:space="0" w:color="2E75B6"/>
              <w:left w:val="single" w:sz="24" w:space="0" w:color="2E75B6"/>
              <w:bottom w:val="single" w:sz="8" w:space="0" w:color="2E75B6"/>
              <w:right w:val="single" w:sz="4" w:space="0" w:color="2E75B6"/>
            </w:tcBorders>
            <w:shd w:fill="EAF1F8" w:val="clear"/>
            <w:tcMar>
              <w:top w:w="160" w:type="dxa"/>
              <w:left w:w="200" w:type="dxa"/>
              <w:bottom w:w="160" w:type="dxa"/>
              <w:right w:w="200" w:type="dxa"/>
            </w:tcMar>
          </w:tcPr>
          <w:p>
            <w:pPr>
              <w:pStyle w:val="Normal"/>
              <w:spacing w:before="0" w:after="100"/>
              <w:rPr/>
            </w:pPr>
            <w:r>
              <w:rPr>
                <w:b/>
                <w:bCs/>
                <w:color w:val="1F4E78"/>
              </w:rPr>
              <w:t xml:space="preserve">▶ </w:t>
            </w:r>
            <w:r>
              <w:rPr>
                <w:b/>
                <w:bCs/>
                <w:color w:val="1F4E78"/>
              </w:rPr>
              <w:t>Capability Framework in Practice</w:t>
            </w:r>
          </w:p>
          <w:p>
            <w:pPr>
              <w:pStyle w:val="Normal"/>
              <w:spacing w:lineRule="auto" w:line="281" w:before="0" w:after="60"/>
              <w:jc w:val="both"/>
              <w:rPr>
                <w:rFonts w:ascii="DejaVu Serif" w:hAnsi="DejaVu Serif"/>
              </w:rPr>
            </w:pPr>
            <w:r>
              <w:rPr>
                <w:rFonts w:ascii="DejaVu Serif" w:hAnsi="DejaVu Serif"/>
              </w:rPr>
              <w:t>A retailer creates an Architecture Board chaired by the CIO and including the Heads of Business Architecture, Data Architecture, Security, and Operations. The Board meets monthly. Every project over £500K must come to the Board for an Architecture Compliance Review at design stage.</w:t>
            </w:r>
          </w:p>
          <w:p>
            <w:pPr>
              <w:pStyle w:val="Normal"/>
              <w:spacing w:lineRule="auto" w:line="281" w:before="0" w:after="60"/>
              <w:jc w:val="both"/>
              <w:rPr>
                <w:rFonts w:ascii="DejaVu Serif" w:hAnsi="DejaVu Serif"/>
              </w:rPr>
            </w:pPr>
            <w:r>
              <w:rPr>
                <w:rFonts w:ascii="DejaVu Serif" w:hAnsi="DejaVu Serif"/>
              </w:rPr>
              <w:t>Compliance outcomes are recorded in the Governance Log within the Architecture Repository. Where a project cannot conform (e.g., for time-to-market reasons), the Board may grant a formal dispensation, time-boxed and with a remediation plan.</w:t>
            </w:r>
          </w:p>
          <w:p>
            <w:pPr>
              <w:pStyle w:val="Normal"/>
              <w:spacing w:lineRule="auto" w:line="281" w:before="0" w:after="60"/>
              <w:jc w:val="both"/>
              <w:rPr>
                <w:rFonts w:ascii="DejaVu Serif" w:hAnsi="DejaVu Serif"/>
              </w:rPr>
            </w:pPr>
            <w:r>
              <w:rPr>
                <w:rFonts w:ascii="DejaVu Serif" w:hAnsi="DejaVu Serif"/>
              </w:rPr>
              <w:t>The Architecture Skills Framework is used by HR to define role profiles and by the architects themselves to plan their own development. Architecture Contracts are signed at the start of each project, defining what the architects will deliver and what the development team commits to in return.</w:t>
            </w:r>
          </w:p>
        </w:tc>
      </w:tr>
    </w:tbl>
    <w:p>
      <w:pPr>
        <w:pStyle w:val="Heading2"/>
        <w:spacing w:before="280" w:after="160"/>
        <w:rPr/>
      </w:pPr>
      <w:r>
        <w:rPr>
          <w:b/>
          <w:bCs/>
          <w:color w:val="2E75B6"/>
        </w:rPr>
        <w:t>9.6 How the Five Components Fit Together</w:t>
      </w:r>
    </w:p>
    <w:p>
      <w:pPr>
        <w:pStyle w:val="BodyText"/>
        <w:rPr/>
      </w:pPr>
      <w:r>
        <w:rPr/>
        <w:t>The five core components are not five separate frameworks. They are five facets of one integrated whole, each addressing a different question about doing enterprise architecture:</w:t>
      </w:r>
    </w:p>
    <w:p>
      <w:pPr>
        <w:pStyle w:val="Normal"/>
        <w:jc w:val="both"/>
        <w:rPr>
          <w:rFonts w:ascii="DejaVu Serif" w:hAnsi="DejaVu Serif"/>
        </w:rPr>
      </w:pPr>
      <w:r>
        <w:rPr>
          <w:rFonts w:ascii="DejaVu Serif" w:hAnsi="DejaVu Serif"/>
        </w:rPr>
      </w:r>
    </w:p>
    <w:tbl>
      <w:tblPr>
        <w:tblW w:w="9360" w:type="dxa"/>
        <w:jc w:val="left"/>
        <w:tblInd w:w="0" w:type="dxa"/>
        <w:tblLayout w:type="fixed"/>
        <w:tblCellMar>
          <w:top w:w="100" w:type="dxa"/>
          <w:left w:w="120" w:type="dxa"/>
          <w:bottom w:w="100" w:type="dxa"/>
          <w:right w:w="120" w:type="dxa"/>
        </w:tblCellMar>
      </w:tblPr>
      <w:tblGrid>
        <w:gridCol w:w="3498"/>
        <w:gridCol w:w="5862"/>
      </w:tblGrid>
      <w:tr>
        <w:trPr>
          <w:tblHeader w:val="true"/>
        </w:trPr>
        <w:tc>
          <w:tcPr>
            <w:tcW w:w="3498" w:type="dxa"/>
            <w:tcBorders>
              <w:top w:val="single" w:sz="4" w:space="0" w:color="999999"/>
              <w:left w:val="single" w:sz="4" w:space="0" w:color="999999"/>
              <w:bottom w:val="single" w:sz="4" w:space="0" w:color="999999"/>
              <w:right w:val="single" w:sz="4" w:space="0" w:color="999999"/>
            </w:tcBorders>
            <w:shd w:fill="1F4E78" w:val="clear"/>
          </w:tcPr>
          <w:p>
            <w:pPr>
              <w:pStyle w:val="Normal"/>
              <w:rPr>
                <w:rFonts w:ascii="DejaVu Serif" w:hAnsi="DejaVu Serif"/>
                <w:sz w:val="20"/>
                <w:szCs w:val="20"/>
              </w:rPr>
            </w:pPr>
            <w:r>
              <w:rPr>
                <w:rFonts w:ascii="DejaVu Serif" w:hAnsi="DejaVu Serif"/>
                <w:b/>
                <w:bCs/>
                <w:color w:val="FFFFFF"/>
                <w:sz w:val="20"/>
                <w:szCs w:val="20"/>
              </w:rPr>
              <w:t>Component</w:t>
            </w:r>
          </w:p>
        </w:tc>
        <w:tc>
          <w:tcPr>
            <w:tcW w:w="5862" w:type="dxa"/>
            <w:tcBorders>
              <w:top w:val="single" w:sz="4" w:space="0" w:color="999999"/>
              <w:left w:val="single" w:sz="4" w:space="0" w:color="999999"/>
              <w:bottom w:val="single" w:sz="4" w:space="0" w:color="999999"/>
              <w:right w:val="single" w:sz="4" w:space="0" w:color="999999"/>
            </w:tcBorders>
            <w:shd w:fill="1F4E78" w:val="clear"/>
          </w:tcPr>
          <w:p>
            <w:pPr>
              <w:pStyle w:val="Normal"/>
              <w:rPr>
                <w:rFonts w:ascii="DejaVu Serif" w:hAnsi="DejaVu Serif"/>
                <w:sz w:val="20"/>
                <w:szCs w:val="20"/>
              </w:rPr>
            </w:pPr>
            <w:r>
              <w:rPr>
                <w:rFonts w:ascii="DejaVu Serif" w:hAnsi="DejaVu Serif"/>
                <w:b/>
                <w:bCs/>
                <w:color w:val="FFFFFF"/>
                <w:sz w:val="20"/>
                <w:szCs w:val="20"/>
              </w:rPr>
              <w:t>Question It Answers</w:t>
            </w:r>
          </w:p>
        </w:tc>
      </w:tr>
      <w:tr>
        <w:trPr/>
        <w:tc>
          <w:tcPr>
            <w:tcW w:w="34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Architecture Development Method (ADM)</w:t>
            </w:r>
          </w:p>
        </w:tc>
        <w:tc>
          <w:tcPr>
            <w:tcW w:w="58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How do we develop the architecture?</w:t>
            </w:r>
          </w:p>
        </w:tc>
      </w:tr>
      <w:tr>
        <w:trPr/>
        <w:tc>
          <w:tcPr>
            <w:tcW w:w="34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Architecture Content Framework</w:t>
            </w:r>
          </w:p>
        </w:tc>
        <w:tc>
          <w:tcPr>
            <w:tcW w:w="586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What do we produce when we develop it?</w:t>
            </w:r>
          </w:p>
        </w:tc>
      </w:tr>
      <w:tr>
        <w:trPr/>
        <w:tc>
          <w:tcPr>
            <w:tcW w:w="34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Enterprise Continuum</w:t>
            </w:r>
          </w:p>
        </w:tc>
        <w:tc>
          <w:tcPr>
            <w:tcW w:w="58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How do we classify and reuse what we produce?</w:t>
            </w:r>
          </w:p>
        </w:tc>
      </w:tr>
      <w:tr>
        <w:trPr/>
        <w:tc>
          <w:tcPr>
            <w:tcW w:w="3498"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Architecture Repository</w:t>
            </w:r>
          </w:p>
        </w:tc>
        <w:tc>
          <w:tcPr>
            <w:tcW w:w="5862"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Where do we store what we produce?</w:t>
            </w:r>
          </w:p>
        </w:tc>
      </w:tr>
      <w:tr>
        <w:trPr/>
        <w:tc>
          <w:tcPr>
            <w:tcW w:w="3498"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Architecture Capability Framework</w:t>
            </w:r>
          </w:p>
        </w:tc>
        <w:tc>
          <w:tcPr>
            <w:tcW w:w="5862"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Normal"/>
              <w:spacing w:lineRule="auto" w:line="262" w:before="0" w:after="40"/>
              <w:rPr>
                <w:rFonts w:ascii="DejaVu Serif" w:hAnsi="DejaVu Serif"/>
                <w:sz w:val="20"/>
                <w:szCs w:val="20"/>
              </w:rPr>
            </w:pPr>
            <w:r>
              <w:rPr>
                <w:rFonts w:ascii="DejaVu Serif" w:hAnsi="DejaVu Serif"/>
                <w:sz w:val="20"/>
                <w:szCs w:val="20"/>
              </w:rPr>
              <w:t>Who develops it, and how is the practice run?</w:t>
            </w:r>
          </w:p>
        </w:tc>
      </w:tr>
    </w:tbl>
    <w:p>
      <w:pPr>
        <w:pStyle w:val="Normal"/>
        <w:jc w:val="both"/>
        <w:rPr>
          <w:rFonts w:ascii="DejaVu Serif" w:hAnsi="DejaVu Serif"/>
        </w:rPr>
      </w:pPr>
      <w:r>
        <w:rPr>
          <w:rFonts w:ascii="DejaVu Serif" w:hAnsi="DejaVu Serif"/>
        </w:rPr>
      </w:r>
    </w:p>
    <w:p>
      <w:pPr>
        <w:pStyle w:val="BodyText"/>
        <w:jc w:val="both"/>
        <w:rPr>
          <w:rFonts w:ascii="DejaVu Serif" w:hAnsi="DejaVu Serif"/>
        </w:rPr>
      </w:pPr>
      <w:r>
        <w:rPr>
          <w:rFonts w:ascii="DejaVu Serif" w:hAnsi="DejaVu Serif"/>
        </w:rPr>
        <w:t>In a properly TOGAF-aligned enterprise, the Architecture Capability Framework establishes the practice and the Board; the practice runs the ADM to produce architectures; the ADM is shaped by the Content Framework to ensure consistent deliverables; finished work is classified using the Enterprise Continuum and stored in the Architecture Repository; and the Board governs the whole life cycle, drawing on the same Repository for evidence.</w:t>
      </w:r>
    </w:p>
    <w:p>
      <w:pPr>
        <w:pStyle w:val="Normal"/>
        <w:jc w:val="both"/>
        <w:rPr>
          <w:rFonts w:ascii="DejaVu Serif" w:hAnsi="DejaVu Serif"/>
        </w:rPr>
      </w:pPr>
      <w:r>
        <w:rPr>
          <w:rFonts w:ascii="DejaVu Serif" w:hAnsi="DejaVu Serif"/>
        </w:rPr>
      </w:r>
    </w:p>
    <w:p>
      <w:pPr>
        <w:pStyle w:val="Heading1"/>
        <w:spacing w:before="0" w:after="200"/>
        <w:rPr/>
      </w:pPr>
      <w:r>
        <w:drawing>
          <wp:anchor distT="0" distB="0" distL="0" distR="0" simplePos="0" relativeHeight="3" behindDoc="0" locked="0" layoutInCell="0" allowOverlap="1">
            <wp:simplePos x="0" y="0"/>
            <wp:positionH relativeFrom="column">
              <wp:posOffset>-9525</wp:posOffset>
            </wp:positionH>
            <wp:positionV relativeFrom="paragraph">
              <wp:posOffset>17780</wp:posOffset>
            </wp:positionV>
            <wp:extent cx="6219825" cy="62198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219825" cy="6219825"/>
                    </a:xfrm>
                    <a:prstGeom prst="rect">
                      <a:avLst/>
                    </a:prstGeom>
                    <a:noFill/>
                  </pic:spPr>
                </pic:pic>
              </a:graphicData>
            </a:graphic>
          </wp:anchor>
        </w:drawing>
      </w:r>
      <w:r>
        <w:rPr>
          <w:b/>
          <w:bCs/>
          <w:color w:val="1F4E78"/>
        </w:rPr>
        <w:t>10. Summary and Review</w:t>
      </w:r>
    </w:p>
    <w:p>
      <w:pPr>
        <w:pStyle w:val="Heading2"/>
        <w:spacing w:before="280" w:after="160"/>
        <w:rPr/>
      </w:pPr>
      <w:r>
        <w:rPr>
          <w:b/>
          <w:bCs/>
          <w:color w:val="2E75B6"/>
        </w:rPr>
        <w:t>10.1 The Big Picture</w:t>
      </w:r>
    </w:p>
    <w:p>
      <w:pPr>
        <w:pStyle w:val="BodyText"/>
        <w:jc w:val="both"/>
        <w:rPr>
          <w:rFonts w:ascii="DejaVu Serif" w:hAnsi="DejaVu Serif"/>
        </w:rPr>
      </w:pPr>
      <w:r>
        <w:rPr>
          <w:rFonts w:ascii="DejaVu Serif" w:hAnsi="DejaVu Serif"/>
        </w:rPr>
        <w:t>If you remember nothing else, remember this. TOGAF is an open, vendor-neutral framework for doing enterprise architecture. It exists because organisations that grow without architectural discipline collapse into fragmentation, duplication, drift, lock-in, risk-blindness, and inability to change. TOGAF gives those organisations a common vocabulary, a repeatable method, a structured set of deliverables, a way to classify and reuse content, a place to store it, and a model for how to run the practice. Compared with peer frameworks, TOGAF is the most methodology-rich and the most widely adopted.</w:t>
      </w:r>
    </w:p>
    <w:p>
      <w:pPr>
        <w:pStyle w:val="Heading2"/>
        <w:spacing w:before="280" w:after="160"/>
        <w:rPr/>
      </w:pPr>
      <w:r>
        <w:rPr>
          <w:b/>
          <w:bCs/>
          <w:color w:val="2E75B6"/>
        </w:rPr>
        <w:t>10.2 Quick-Reference Summary Table</w:t>
      </w:r>
    </w:p>
    <w:tbl>
      <w:tblPr>
        <w:tblW w:w="9360" w:type="dxa"/>
        <w:jc w:val="left"/>
        <w:tblInd w:w="0" w:type="dxa"/>
        <w:tblLayout w:type="fixed"/>
        <w:tblCellMar>
          <w:top w:w="100" w:type="dxa"/>
          <w:left w:w="120" w:type="dxa"/>
          <w:bottom w:w="100" w:type="dxa"/>
          <w:right w:w="120" w:type="dxa"/>
        </w:tblCellMar>
      </w:tblPr>
      <w:tblGrid>
        <w:gridCol w:w="2369"/>
        <w:gridCol w:w="6991"/>
      </w:tblGrid>
      <w:tr>
        <w:trPr>
          <w:tblHeader w:val="true"/>
        </w:trPr>
        <w:tc>
          <w:tcPr>
            <w:tcW w:w="2369"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b/>
                <w:bCs/>
                <w:sz w:val="20"/>
                <w:szCs w:val="20"/>
              </w:rPr>
            </w:pPr>
            <w:r>
              <w:rPr>
                <w:rFonts w:ascii="DejaVu Serif" w:hAnsi="DejaVu Serif"/>
                <w:b/>
                <w:bCs/>
                <w:sz w:val="20"/>
                <w:szCs w:val="20"/>
              </w:rPr>
              <w:t>Topic</w:t>
            </w:r>
          </w:p>
        </w:tc>
        <w:tc>
          <w:tcPr>
            <w:tcW w:w="6991" w:type="dxa"/>
            <w:tcBorders>
              <w:top w:val="single" w:sz="4" w:space="0" w:color="999999"/>
              <w:left w:val="single" w:sz="4" w:space="0" w:color="999999"/>
              <w:bottom w:val="single" w:sz="4" w:space="0" w:color="999999"/>
              <w:right w:val="single" w:sz="4" w:space="0" w:color="999999"/>
            </w:tcBorders>
            <w:shd w:fill="1F4E78" w:val="clear"/>
          </w:tcPr>
          <w:p>
            <w:pPr>
              <w:pStyle w:val="BodyText"/>
              <w:spacing w:before="0" w:after="140"/>
              <w:rPr>
                <w:rFonts w:ascii="DejaVu Serif" w:hAnsi="DejaVu Serif"/>
                <w:b/>
                <w:bCs/>
                <w:sz w:val="20"/>
                <w:szCs w:val="20"/>
              </w:rPr>
            </w:pPr>
            <w:r>
              <w:rPr>
                <w:rFonts w:ascii="DejaVu Serif" w:hAnsi="DejaVu Serif"/>
                <w:b/>
                <w:bCs/>
                <w:sz w:val="20"/>
                <w:szCs w:val="20"/>
              </w:rPr>
              <w:t>One-Line Takeaway</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What is TOGAF</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Open, vendor-neutral EA framework owned by The Open Group.</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TAFIM</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1990 U.S. DoD framework that became TOGAF when transferred to The Open Group in 1995.</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1</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1995 — first publication of TOGAF as an open standard.</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9</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2009 — modular structure, Content Framework, Continuum, Capability Framework formalised.</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9.2</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2018 — refinements, especially Business Architecture, last single-book version.</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TOGAF 10</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2022 — split into Fundamental Content + Series Guides; certifications renamed.</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The Open Group</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Vendor-neutral standards consortium that owns and governs TOGAF.</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Fundamental Content</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Stable core: ADM, Content Framework, Continuum, Capability Framework.</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Series Guides</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Topic-specific, independently updated guides complementing the core.</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EA (TOGAF/Gartner/IEEE 42010)</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Structure, relationships, principles, evolution — applied at enterprise scope.</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6 Failure Patterns</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Fragmentation, Duplication, Drift, Lock-in, Risk Blindness, Inability to Change.</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Zachman</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Classification ontology (6×6 matrix), descriptive not prescriptive.</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FEAF</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 federal EA framework with mandated reference models.</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DoDAF</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U.S. Department of Defense framework, viewpoint-based, mandatory for defence.</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Gartner EA</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Outcome-focused methodology + advisory, not a published standard.</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ADM</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Iterative phase-based method for architecture development (Preliminary, A–H, Requirements Mgmt).</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Content Framework</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Metamodel for deliverables, artefacts, and building blocks (ABB and SBB).</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Enterprise Continuum</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Classification from generic to organisation-specific (Architecture + Solutions).</w:t>
            </w:r>
          </w:p>
        </w:tc>
      </w:tr>
      <w:tr>
        <w:trPr/>
        <w:tc>
          <w:tcPr>
            <w:tcW w:w="2369"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Architecture Repository</w:t>
            </w:r>
          </w:p>
        </w:tc>
        <w:tc>
          <w:tcPr>
            <w:tcW w:w="6991" w:type="dxa"/>
            <w:tcBorders>
              <w:top w:val="single" w:sz="4" w:space="0" w:color="999999"/>
              <w:left w:val="single" w:sz="4" w:space="0" w:color="999999"/>
              <w:bottom w:val="single" w:sz="4" w:space="0" w:color="999999"/>
              <w:right w:val="single" w:sz="4" w:space="0" w:color="999999"/>
            </w:tcBorders>
            <w:shd w:fill="FFFFFF"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Physical/logical store for all architecture material.</w:t>
            </w:r>
          </w:p>
        </w:tc>
      </w:tr>
      <w:tr>
        <w:trPr/>
        <w:tc>
          <w:tcPr>
            <w:tcW w:w="2369"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Capability Framework</w:t>
            </w:r>
          </w:p>
        </w:tc>
        <w:tc>
          <w:tcPr>
            <w:tcW w:w="6991" w:type="dxa"/>
            <w:tcBorders>
              <w:top w:val="single" w:sz="4" w:space="0" w:color="999999"/>
              <w:left w:val="single" w:sz="4" w:space="0" w:color="999999"/>
              <w:bottom w:val="single" w:sz="4" w:space="0" w:color="999999"/>
              <w:right w:val="single" w:sz="4" w:space="0" w:color="999999"/>
            </w:tcBorders>
            <w:shd w:fill="EAF1F8" w:val="clear"/>
            <w:tcMar>
              <w:top w:w="80" w:type="dxa"/>
              <w:bottom w:w="80" w:type="dxa"/>
            </w:tcMar>
          </w:tcPr>
          <w:p>
            <w:pPr>
              <w:pStyle w:val="BodyText"/>
              <w:spacing w:before="0" w:after="140"/>
              <w:rPr>
                <w:rFonts w:ascii="DejaVu Serif" w:hAnsi="DejaVu Serif"/>
                <w:sz w:val="20"/>
                <w:szCs w:val="20"/>
              </w:rPr>
            </w:pPr>
            <w:r>
              <w:rPr>
                <w:rFonts w:ascii="DejaVu Serif" w:hAnsi="DejaVu Serif"/>
                <w:sz w:val="20"/>
                <w:szCs w:val="20"/>
              </w:rPr>
              <w:t>How to set up and run the architecture practice (Board, governance, skills, contracts).</w:t>
            </w:r>
          </w:p>
        </w:tc>
      </w:tr>
    </w:tbl>
    <w:p>
      <w:pPr>
        <w:pStyle w:val="Heading2"/>
        <w:spacing w:before="280" w:after="160"/>
        <w:rPr/>
      </w:pPr>
      <w:r>
        <w:rPr>
          <w:b/>
          <w:bCs/>
          <w:color w:val="2E75B6"/>
        </w:rPr>
        <w:t>10.3 Self-Test Questions</w:t>
      </w:r>
    </w:p>
    <w:p>
      <w:pPr>
        <w:pStyle w:val="BodyText"/>
        <w:rPr>
          <w:rFonts w:ascii="DejaVu Serif" w:hAnsi="DejaVu Serif"/>
        </w:rPr>
      </w:pPr>
      <w:r>
        <w:rPr>
          <w:rFonts w:ascii="DejaVu Serif" w:hAnsi="DejaVu Serif"/>
        </w:rPr>
        <w:t>Use these questions to test your understanding before moving to Module 2. Try to answer in your own words before checking back through the guide.</w:t>
      </w:r>
    </w:p>
    <w:p>
      <w:pPr>
        <w:pStyle w:val="ListParagraph"/>
        <w:numPr>
          <w:ilvl w:val="0"/>
          <w:numId w:val="4"/>
        </w:numPr>
        <w:spacing w:lineRule="auto" w:line="281" w:before="0" w:after="80"/>
        <w:rPr>
          <w:rFonts w:ascii="DejaVu Serif" w:hAnsi="DejaVu Serif"/>
        </w:rPr>
      </w:pPr>
      <w:r>
        <w:rPr>
          <w:rFonts w:ascii="DejaVu Serif" w:hAnsi="DejaVu Serif"/>
        </w:rPr>
        <w:t>In one sentence, what is TOGAF and what problem does it solve?</w:t>
      </w:r>
    </w:p>
    <w:p>
      <w:pPr>
        <w:pStyle w:val="ListParagraph"/>
        <w:numPr>
          <w:ilvl w:val="0"/>
          <w:numId w:val="4"/>
        </w:numPr>
        <w:spacing w:lineRule="auto" w:line="281" w:before="0" w:after="80"/>
        <w:rPr>
          <w:rFonts w:ascii="DejaVu Serif" w:hAnsi="DejaVu Serif"/>
        </w:rPr>
      </w:pPr>
      <w:r>
        <w:rPr>
          <w:rFonts w:ascii="DejaVu Serif" w:hAnsi="DejaVu Serif"/>
        </w:rPr>
        <w:t>Name the five major versions of TOGAF and the year each was released.</w:t>
      </w:r>
    </w:p>
    <w:p>
      <w:pPr>
        <w:pStyle w:val="ListParagraph"/>
        <w:numPr>
          <w:ilvl w:val="0"/>
          <w:numId w:val="4"/>
        </w:numPr>
        <w:spacing w:lineRule="auto" w:line="281" w:before="0" w:after="80"/>
        <w:rPr>
          <w:rFonts w:ascii="DejaVu Serif" w:hAnsi="DejaVu Serif"/>
        </w:rPr>
      </w:pPr>
      <w:r>
        <w:rPr>
          <w:rFonts w:ascii="DejaVu Serif" w:hAnsi="DejaVu Serif"/>
        </w:rPr>
        <w:t>Who owns and governs TOGAF, and how is its content developed?</w:t>
      </w:r>
    </w:p>
    <w:p>
      <w:pPr>
        <w:pStyle w:val="ListParagraph"/>
        <w:numPr>
          <w:ilvl w:val="0"/>
          <w:numId w:val="4"/>
        </w:numPr>
        <w:spacing w:lineRule="auto" w:line="281" w:before="0" w:after="80"/>
        <w:rPr>
          <w:rFonts w:ascii="DejaVu Serif" w:hAnsi="DejaVu Serif"/>
        </w:rPr>
      </w:pPr>
      <w:r>
        <w:rPr>
          <w:rFonts w:ascii="DejaVu Serif" w:hAnsi="DejaVu Serif"/>
        </w:rPr>
        <w:t>What is the difference between Fundamental Content and Series Guides? Give an example of each.</w:t>
      </w:r>
    </w:p>
    <w:p>
      <w:pPr>
        <w:pStyle w:val="ListParagraph"/>
        <w:numPr>
          <w:ilvl w:val="0"/>
          <w:numId w:val="4"/>
        </w:numPr>
        <w:spacing w:lineRule="auto" w:line="281" w:before="0" w:after="80"/>
        <w:rPr>
          <w:rFonts w:ascii="DejaVu Serif" w:hAnsi="DejaVu Serif"/>
        </w:rPr>
      </w:pPr>
      <w:r>
        <w:rPr>
          <w:rFonts w:ascii="DejaVu Serif" w:hAnsi="DejaVu Serif"/>
        </w:rPr>
        <w:t>Name three changes from TOGAF 9.2 to TOGAF 10.</w:t>
      </w:r>
    </w:p>
    <w:p>
      <w:pPr>
        <w:pStyle w:val="ListParagraph"/>
        <w:numPr>
          <w:ilvl w:val="0"/>
          <w:numId w:val="4"/>
        </w:numPr>
        <w:spacing w:lineRule="auto" w:line="281" w:before="0" w:after="80"/>
        <w:rPr>
          <w:rFonts w:ascii="DejaVu Serif" w:hAnsi="DejaVu Serif"/>
        </w:rPr>
      </w:pPr>
      <w:r>
        <w:rPr>
          <w:rFonts w:ascii="DejaVu Serif" w:hAnsi="DejaVu Serif"/>
        </w:rPr>
        <w:t>State the TOGAF, Gartner, and IEEE 42010 definitions of architecture, and identify two ideas they share.</w:t>
      </w:r>
    </w:p>
    <w:p>
      <w:pPr>
        <w:pStyle w:val="ListParagraph"/>
        <w:numPr>
          <w:ilvl w:val="0"/>
          <w:numId w:val="4"/>
        </w:numPr>
        <w:spacing w:lineRule="auto" w:line="281" w:before="0" w:after="80"/>
        <w:rPr>
          <w:rFonts w:ascii="DejaVu Serif" w:hAnsi="DejaVu Serif"/>
        </w:rPr>
      </w:pPr>
      <w:r>
        <w:rPr>
          <w:rFonts w:ascii="DejaVu Serif" w:hAnsi="DejaVu Serif"/>
        </w:rPr>
        <w:t>List the six failure patterns that motivate the existence of EA, and give one real-world example for each.</w:t>
      </w:r>
    </w:p>
    <w:p>
      <w:pPr>
        <w:pStyle w:val="ListParagraph"/>
        <w:numPr>
          <w:ilvl w:val="0"/>
          <w:numId w:val="4"/>
        </w:numPr>
        <w:spacing w:lineRule="auto" w:line="281" w:before="0" w:after="80"/>
        <w:rPr>
          <w:rFonts w:ascii="DejaVu Serif" w:hAnsi="DejaVu Serif"/>
        </w:rPr>
      </w:pPr>
      <w:r>
        <w:rPr>
          <w:rFonts w:ascii="DejaVu Serif" w:hAnsi="DejaVu Serif"/>
        </w:rPr>
        <w:t>Compare TOGAF and Zachman in terms of prescriptiveness.</w:t>
      </w:r>
    </w:p>
    <w:p>
      <w:pPr>
        <w:pStyle w:val="ListParagraph"/>
        <w:numPr>
          <w:ilvl w:val="0"/>
          <w:numId w:val="4"/>
        </w:numPr>
        <w:spacing w:lineRule="auto" w:line="281" w:before="0" w:after="80"/>
        <w:rPr>
          <w:rFonts w:ascii="DejaVu Serif" w:hAnsi="DejaVu Serif"/>
        </w:rPr>
      </w:pPr>
      <w:r>
        <w:rPr>
          <w:rFonts w:ascii="DejaVu Serif" w:hAnsi="DejaVu Serif"/>
        </w:rPr>
        <w:t>Name the five core components of TOGAF and the question each one answers.</w:t>
      </w:r>
    </w:p>
    <w:p>
      <w:pPr>
        <w:pStyle w:val="ListParagraph"/>
        <w:numPr>
          <w:ilvl w:val="0"/>
          <w:numId w:val="4"/>
        </w:numPr>
        <w:spacing w:lineRule="auto" w:line="281" w:before="0" w:after="80"/>
        <w:rPr>
          <w:rFonts w:ascii="DejaVu Serif" w:hAnsi="DejaVu Serif"/>
        </w:rPr>
      </w:pPr>
      <w:r>
        <w:rPr>
          <w:rFonts w:ascii="DejaVu Serif" w:hAnsi="DejaVu Serif"/>
        </w:rPr>
        <w:t>Explain the difference between the Enterprise Continuum and the Architecture Repository.</w:t>
      </w:r>
    </w:p>
    <w:p>
      <w:pPr>
        <w:pStyle w:val="Heading2"/>
        <w:spacing w:before="280" w:after="160"/>
        <w:rPr/>
      </w:pPr>
      <w:r>
        <w:rPr>
          <w:b/>
          <w:bCs/>
          <w:color w:val="2E75B6"/>
        </w:rPr>
        <w:t>10.4 Closing Note</w:t>
      </w:r>
    </w:p>
    <w:p>
      <w:pPr>
        <w:pStyle w:val="BodyText"/>
        <w:jc w:val="both"/>
        <w:rPr>
          <w:rFonts w:ascii="DejaVu Serif" w:hAnsi="DejaVu Serif"/>
        </w:rPr>
      </w:pPr>
      <w:r>
        <w:rPr>
          <w:rFonts w:ascii="DejaVu Serif" w:hAnsi="DejaVu Serif"/>
        </w:rPr>
        <w:t>Module 1 is the foundation on which every other TOGAF module rests. Once you can fluently explain what TOGAF is, why it exists, how it is governed, how it is structured, and how it compares to its peers, the rest of the syllabus becomes much easier — every later concept will land somewhere on the map you have just built. Take the time to make Module 1 second nature before moving on.</w:t>
      </w:r>
    </w:p>
    <w:p>
      <w:pPr>
        <w:pStyle w:val="Normal"/>
        <w:spacing w:before="0" w:after="120"/>
        <w:rPr/>
      </w:pPr>
      <w:r>
        <w:rPr/>
      </w:r>
    </w:p>
    <w:p>
      <w:pPr>
        <w:pStyle w:val="Normal"/>
        <w:spacing w:before="400" w:after="0"/>
        <w:jc w:val="center"/>
        <w:rPr/>
      </w:pPr>
      <w:r>
        <w:rPr>
          <w:i/>
          <w:iCs/>
          <w:color w:val="808080"/>
        </w:rPr>
        <w:t xml:space="preserve">— </w:t>
      </w:r>
      <w:r>
        <w:rPr>
          <w:i/>
          <w:iCs/>
          <w:color w:val="808080"/>
        </w:rPr>
        <w:t>End of Module 1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DejaVu Serif">
    <w:charset w:val="01"/>
    <w:family w:val="roman"/>
    <w:pitch w:val="variable"/>
  </w:font>
  <w:font w:name="Symbol">
    <w:charset w:val="01"/>
    <w:family w:val="auto"/>
    <w:pitch w:val="variable"/>
  </w:font>
  <w:font w:name="Wingdings 2">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30</w:t>
    </w:r>
    <w:r>
      <w:rPr/>
      <w:fldChar w:fldCharType="end"/>
    </w:r>
    <w:r>
      <w:rPr>
        <w:color w:val="808080"/>
        <w:sz w:val="18"/>
        <w:szCs w:val="18"/>
      </w:rPr>
      <w:t xml:space="preserve"> of </w:t>
    </w:r>
    <w:r>
      <w:rPr/>
      <w:fldChar w:fldCharType="begin"/>
    </w:r>
    <w:r>
      <w:rPr/>
      <w:instrText xml:space="preserve"> NUMPAGES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8"/>
        <w:szCs w:val="18"/>
      </w:rPr>
      <w:t xml:space="preserve">Page </w:t>
    </w:r>
    <w:r>
      <w:rPr/>
      <w:fldChar w:fldCharType="begin"/>
    </w:r>
    <w:r>
      <w:rPr/>
      <w:instrText xml:space="preserve"> PAGE </w:instrText>
    </w:r>
    <w:r>
      <w:rPr/>
      <w:fldChar w:fldCharType="separate"/>
    </w:r>
    <w:r>
      <w:rPr/>
      <w:t>30</w:t>
    </w:r>
    <w:r>
      <w:rPr/>
      <w:fldChar w:fldCharType="end"/>
    </w:r>
    <w:r>
      <w:rPr>
        <w:color w:val="808080"/>
        <w:sz w:val="18"/>
        <w:szCs w:val="18"/>
      </w:rPr>
      <w:t xml:space="preserve"> of </w:t>
    </w:r>
    <w:r>
      <w:rPr/>
      <w:fldChar w:fldCharType="begin"/>
    </w:r>
    <w:r>
      <w:rPr/>
      <w:instrText xml:space="preserve"> NUMPAGES </w:instrText>
    </w:r>
    <w:r>
      <w:rPr/>
      <w:fldChar w:fldCharType="separate"/>
    </w:r>
    <w:r>
      <w:rPr/>
      <w:t>30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1: Fundamentals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808080"/>
        <w:sz w:val="18"/>
        <w:szCs w:val="18"/>
      </w:rPr>
      <w:t>TOGAF Module 1: Fundamentals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color w:val="1F4E78"/>
      <w:sz w:val="36"/>
      <w:szCs w:val="36"/>
    </w:rPr>
  </w:style>
  <w:style w:type="paragraph" w:styleId="Heading2">
    <w:name w:val="heading 2"/>
    <w:basedOn w:val="Heading"/>
    <w:qFormat/>
    <w:pPr>
      <w:spacing w:before="280" w:after="160"/>
      <w:outlineLvl w:val="1"/>
    </w:pPr>
    <w:rPr>
      <w:rFonts w:ascii="Calibri" w:hAnsi="Calibri" w:eastAsia="Calibri" w:cs="Calibri"/>
      <w:b/>
      <w:bCs/>
      <w:color w:val="2E75B6"/>
      <w:sz w:val="30"/>
      <w:szCs w:val="30"/>
    </w:rPr>
  </w:style>
  <w:style w:type="paragraph" w:styleId="Heading3">
    <w:name w:val="heading 3"/>
    <w:basedOn w:val="Heading"/>
    <w:qFormat/>
    <w:pPr>
      <w:spacing w:before="220" w:after="120"/>
      <w:outlineLvl w:val="2"/>
    </w:pPr>
    <w:rPr>
      <w:rFonts w:ascii="Calibri" w:hAnsi="Calibri" w:eastAsia="Calibri" w:cs="Calibri"/>
      <w:b/>
      <w:bCs/>
      <w:color w:val="404040"/>
      <w:sz w:val="26"/>
      <w:szCs w:val="26"/>
    </w:rPr>
  </w:style>
  <w:style w:type="paragraph" w:styleId="Heading4">
    <w:name w:val="heading 4"/>
    <w:basedOn w:val="Heading"/>
    <w:qFormat/>
    <w:pPr>
      <w:spacing w:before="160" w:after="80"/>
      <w:outlineLvl w:val="3"/>
    </w:pPr>
    <w:rPr>
      <w:rFonts w:ascii="Calibri" w:hAnsi="Calibri" w:eastAsia="Calibri" w:cs="Calibri"/>
      <w:b/>
      <w:bCs/>
      <w:i/>
      <w:iCs/>
      <w:color w:val="595959"/>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816</TotalTime>
  <Application>LibreOffice/26.2.2.2$MacOSX_AARCH64 LibreOffice_project/1f77d10d6938fd34972958f64b2bcfa54f8b1ba5</Application>
  <AppVersion>15.0000</AppVersion>
  <Pages>30</Pages>
  <Words>7209</Words>
  <Characters>43254</Characters>
  <CharactersWithSpaces>49964</CharactersWithSpaces>
  <Paragraphs>506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2026-05-02T02:06:30Z</dcterms:created>
  <dc:creator>Claude</dc:creator>
  <dc:description>Comprehensive in-depth study guide for TOGAF Fundamentals (Module 1)</dc:description>
  <dc:language>en-US</dc:language>
  <cp:lastModifiedBy/>
  <cp:lastPrinted>2026-05-05T20:48:45Z</cp:lastPrinted>
  <dcterms:modified xsi:type="dcterms:W3CDTF">2026-05-06T06:37:22Z</dcterms:modified>
  <cp:revision>96</cp:revision>
  <dc:subject/>
  <dc:title>TOGAF Module 1 Study Guide</dc:title>
</cp:coreProperties>
</file>

<file path=docProps/custom.xml><?xml version="1.0" encoding="utf-8"?>
<Properties xmlns="http://schemas.openxmlformats.org/officeDocument/2006/custom-properties" xmlns:vt="http://schemas.openxmlformats.org/officeDocument/2006/docPropsVTypes"/>
</file>