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7</w:t>
      </w:r>
    </w:p>
    <w:p>
      <w:pPr>
        <w:spacing w:after="100" w:before="0"/>
        <w:jc w:val="center"/>
      </w:pPr>
      <w:r>
        <w:rPr>
          <w:rFonts w:ascii="Arial" w:cs="Arial" w:eastAsia="Arial" w:hAnsi="Arial"/>
          <w:b/>
          <w:bCs/>
          <w:color w:val="1A3C5E"/>
          <w:sz w:val="48"/>
          <w:szCs w:val="48"/>
        </w:rPr>
        <w:t xml:space="preserve">Audit Logging &amp; Compliance</w:t>
      </w:r>
    </w:p>
    <w:p>
      <w:pPr>
        <w:pBdr>
          <w:bottom w:val="single" w:color="2E75B6" w:sz="6" w:space="6"/>
        </w:pBdr>
        <w:spacing w:after="80" w:before="0"/>
        <w:jc w:val="center"/>
      </w:pPr>
      <w:r>
        <w:rPr>
          <w:rFonts w:ascii="Arial" w:cs="Arial" w:eastAsia="Arial" w:hAnsi="Arial"/>
          <w:i/>
          <w:iCs/>
          <w:color w:val="444444"/>
          <w:sz w:val="22"/>
          <w:szCs w:val="22"/>
        </w:rPr>
        <w:t xml:space="preserve">Audit Logs  |  Immutability  |  GDPR  |  PCI DSS  |  HIPAA  |  SOC 2  |  Zero Trust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Audit logging — what to log, what not to log, and the separation from application logs</w:t>
      </w:r>
    </w:p>
    <w:p>
      <w:pPr>
        <w:spacing w:after="55" w:before="55"/>
        <w:jc w:val="center"/>
      </w:pPr>
      <w:r>
        <w:rPr>
          <w:rFonts w:ascii="Arial" w:cs="Arial" w:eastAsia="Arial" w:hAnsi="Arial"/>
          <w:color w:val="444444"/>
          <w:sz w:val="21"/>
          <w:szCs w:val="21"/>
        </w:rPr>
        <w:t xml:space="preserve">  Immutability — write-once storage and tamper-evident audit trails</w:t>
      </w:r>
    </w:p>
    <w:p>
      <w:pPr>
        <w:spacing w:after="55" w:before="55"/>
        <w:jc w:val="center"/>
      </w:pPr>
      <w:r>
        <w:rPr>
          <w:rFonts w:ascii="Arial" w:cs="Arial" w:eastAsia="Arial" w:hAnsi="Arial"/>
          <w:color w:val="444444"/>
          <w:sz w:val="21"/>
          <w:szCs w:val="21"/>
        </w:rPr>
        <w:t xml:space="preserve">  GDPR — right to deletion, data portability, consent, breach notification</w:t>
      </w:r>
    </w:p>
    <w:p>
      <w:pPr>
        <w:spacing w:after="55" w:before="55"/>
        <w:jc w:val="center"/>
      </w:pPr>
      <w:r>
        <w:rPr>
          <w:rFonts w:ascii="Arial" w:cs="Arial" w:eastAsia="Arial" w:hAnsi="Arial"/>
          <w:color w:val="444444"/>
          <w:sz w:val="21"/>
          <w:szCs w:val="21"/>
        </w:rPr>
        <w:t xml:space="preserve">  PCI DSS — cardholder data protection, network segmentation, key management</w:t>
      </w:r>
    </w:p>
    <w:p>
      <w:pPr>
        <w:spacing w:after="55" w:before="55"/>
        <w:jc w:val="center"/>
      </w:pPr>
      <w:r>
        <w:rPr>
          <w:rFonts w:ascii="Arial" w:cs="Arial" w:eastAsia="Arial" w:hAnsi="Arial"/>
          <w:color w:val="444444"/>
          <w:sz w:val="21"/>
          <w:szCs w:val="21"/>
        </w:rPr>
        <w:t xml:space="preserve">  HIPAA — health data protection and encryption requirements</w:t>
      </w:r>
    </w:p>
    <w:p>
      <w:pPr>
        <w:spacing w:after="55" w:before="55"/>
        <w:jc w:val="center"/>
      </w:pPr>
      <w:r>
        <w:rPr>
          <w:rFonts w:ascii="Arial" w:cs="Arial" w:eastAsia="Arial" w:hAnsi="Arial"/>
          <w:color w:val="444444"/>
          <w:sz w:val="21"/>
          <w:szCs w:val="21"/>
        </w:rPr>
        <w:t xml:space="preserve">  SOC 2 — security controls audit for SaaS providers</w:t>
      </w:r>
    </w:p>
    <w:p>
      <w:pPr>
        <w:spacing w:after="55" w:before="55"/>
        <w:jc w:val="center"/>
      </w:pPr>
      <w:r>
        <w:rPr>
          <w:rFonts w:ascii="Arial" w:cs="Arial" w:eastAsia="Arial" w:hAnsi="Arial"/>
          <w:color w:val="444444"/>
          <w:sz w:val="21"/>
          <w:szCs w:val="21"/>
        </w:rPr>
        <w:t xml:space="preserve">  Zero Trust Architecture — never trust, always verify, assume breach</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Audit Logging</w:t>
      </w:r>
    </w:p>
    <w:p>
      <w:pPr>
        <w:pStyle w:val="Heading2"/>
        <w:spacing w:after="140" w:before="320"/>
      </w:pPr>
      <w:r>
        <w:rPr>
          <w:rFonts w:ascii="Arial" w:cs="Arial" w:eastAsia="Arial" w:hAnsi="Arial"/>
          <w:b/>
          <w:bCs/>
          <w:color w:val="2E75B6"/>
          <w:sz w:val="28"/>
          <w:szCs w:val="28"/>
        </w:rPr>
        <w:t xml:space="preserve">1.1  Audit Logs vs Application Logs</w:t>
      </w:r>
    </w:p>
    <w:p>
      <w:pPr>
        <w:spacing w:after="80" w:before="80"/>
      </w:pPr>
      <w:r>
        <w:rPr>
          <w:rFonts w:ascii="Arial" w:cs="Arial" w:eastAsia="Arial" w:hAnsi="Arial"/>
          <w:color w:val="1A1A1A"/>
          <w:sz w:val="22"/>
          <w:szCs w:val="22"/>
        </w:rPr>
        <w:t xml:space="preserve">Audit logs and application logs serve different purposes and must be </w:t>
      </w:r>
      <w:r>
        <w:rPr>
          <w:rFonts w:ascii="Arial" w:cs="Arial" w:eastAsia="Arial" w:hAnsi="Arial"/>
          <w:b/>
          <w:bCs/>
          <w:color w:val="1A1A1A"/>
          <w:sz w:val="22"/>
          <w:szCs w:val="22"/>
        </w:rPr>
        <w:t xml:space="preserve">architecturally separate</w:t>
      </w:r>
      <w:r>
        <w:rPr>
          <w:rFonts w:ascii="Arial" w:cs="Arial" w:eastAsia="Arial" w:hAnsi="Arial"/>
          <w:color w:val="1A1A1A"/>
          <w:sz w:val="22"/>
          <w:szCs w:val="22"/>
        </w:rPr>
        <w:t xml:space="preserve">. Application logs are operational — they help engineers debug failures and understand system behaviour. Audit logs are </w:t>
      </w:r>
      <w:r>
        <w:rPr>
          <w:rFonts w:ascii="Arial" w:cs="Arial" w:eastAsia="Arial" w:hAnsi="Arial"/>
          <w:b/>
          <w:bCs/>
          <w:color w:val="1A1A1A"/>
          <w:sz w:val="22"/>
          <w:szCs w:val="22"/>
        </w:rPr>
        <w:t xml:space="preserve">compliance records</w:t>
      </w:r>
      <w:r>
        <w:rPr>
          <w:rFonts w:ascii="Arial" w:cs="Arial" w:eastAsia="Arial" w:hAnsi="Arial"/>
          <w:color w:val="1A1A1A"/>
          <w:sz w:val="22"/>
          <w:szCs w:val="22"/>
        </w:rPr>
        <w:t xml:space="preserve"> — they prove to regulators, auditors, and legal teams what actions were taken on sensitive data and by whom. Mixing them creates problems: application logs rotate frequently and are deleted to save storage; audit logs must be retained for years and must be immutable: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Audit Logs vs Application Logs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Purpose: </w:t>
            </w:r>
            <w:r>
              <w:rPr>
                <w:rFonts w:ascii="Arial" w:cs="Arial" w:eastAsia="Arial" w:hAnsi="Arial"/>
                <w:color w:val="1A1A1A"/>
                <w:sz w:val="22"/>
                <w:szCs w:val="22"/>
              </w:rPr>
              <w:t xml:space="preserve">Application logs → engineering insight (debugging, performance). Audit logs → compliance evidence (who accessed/changed what).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Retention: </w:t>
            </w:r>
            <w:r>
              <w:rPr>
                <w:rFonts w:ascii="Arial" w:cs="Arial" w:eastAsia="Arial" w:hAnsi="Arial"/>
                <w:color w:val="1A1A1A"/>
                <w:sz w:val="22"/>
                <w:szCs w:val="22"/>
              </w:rPr>
              <w:t xml:space="preserve">Application logs → days to weeks (rotated for storage). Audit logs → years (PCI DSS: 1 year online; HIPAA: 6 years; SOC 2: 1 year minimum).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Immutability: </w:t>
            </w:r>
            <w:r>
              <w:rPr>
                <w:rFonts w:ascii="Arial" w:cs="Arial" w:eastAsia="Arial" w:hAnsi="Arial"/>
                <w:color w:val="1A1A1A"/>
                <w:sz w:val="22"/>
                <w:szCs w:val="22"/>
              </w:rPr>
              <w:t xml:space="preserve">Application logs → can be deleted/overwritten (routine operation). Audit logs → must be write-once; tampering invalidates the audit trail.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w:t>
            </w:r>
            <w:r>
              <w:rPr>
                <w:rFonts w:ascii="Arial" w:cs="Arial" w:eastAsia="Arial" w:hAnsi="Arial"/>
                <w:color w:val="1A1A1A"/>
                <w:sz w:val="22"/>
                <w:szCs w:val="22"/>
              </w:rPr>
              <w:t xml:space="preserve">Application logs → Elasticsearch, Loki, Splunk (searchable). Audit logs → S3 Object Lock (WORM), append-only database, separate immutable store.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w:t>
            </w:r>
            <w:r>
              <w:rPr>
                <w:rFonts w:ascii="Arial" w:cs="Arial" w:eastAsia="Arial" w:hAnsi="Arial"/>
                <w:color w:val="1A1A1A"/>
                <w:sz w:val="22"/>
                <w:szCs w:val="22"/>
              </w:rPr>
              <w:t xml:space="preserve">Application logs → all engineers. Audit logs → security team, compliance team, legal — restricted access; reading audit logs is itself audited.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What to Log and What Not to Log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Category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Log this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Never log this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Login success/failure, MFA events, logout, session creation/destruction, password change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Passwords, MFA codes, security questions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Logging passwords is itself a security breach</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access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Who accessed which record, timestamp, IP, result (success/denied)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content of sensitive records (SSN, card number, PHI)</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Access log ≠ data copy; logging PII creates additional exposure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changes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Before/after field names, user who changed, timestamp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Plaintext PII values in change logs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Change log should show what changed, not expose the PII itself</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Admin actions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 changes, privilege escalation, account creation/deletion, system maintenance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Raw query content that may contain sensitive data</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Admin actions have highest blast radius; must be fully tracked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calls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Endpoint, method, response code, duration, authenticated identity, source IP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request/response bodies containing sensitive data</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metadata sufficient for audit; bodies may contain PII</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Audit log event: correct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AUDIT LOG EVENT (access to patient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"2024-04-12T14:23:45.123Z",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"PHI_RECORD_ACCESS",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"dr-smith-42",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"physician",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 "10.0.1.15",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"session_id": "sess-abc123"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"patient_record",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"patient-10045",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"fields_accessed": ["diagnosis", "medications"]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"outcome":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"reason": "treating_physician_access"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AUDIT LOG EVENT (leaks PHI in the log itself):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"Patient viewed",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"patient": { "name": "John Smith", "ssn": "123-45-6789",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"diagnosis": "Type 2 Diabetes" }  ← PHI IN THE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Log that an action occurred on a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log the sensitive content of the resource.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access is the audit event; the data is not.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Audit Log Immutability</w:t>
      </w:r>
    </w:p>
    <w:p>
      <w:pPr>
        <w:pStyle w:val="Heading2"/>
        <w:spacing w:after="140" w:before="320"/>
      </w:pPr>
      <w:r>
        <w:rPr>
          <w:rFonts w:ascii="Arial" w:cs="Arial" w:eastAsia="Arial" w:hAnsi="Arial"/>
          <w:b/>
          <w:bCs/>
          <w:color w:val="2E75B6"/>
          <w:sz w:val="28"/>
          <w:szCs w:val="28"/>
        </w:rPr>
        <w:t xml:space="preserve">2.1  Why Audit Logs Must Be Immutable</w:t>
      </w:r>
    </w:p>
    <w:p>
      <w:pPr>
        <w:spacing w:after="80" w:before="80"/>
      </w:pPr>
      <w:r>
        <w:rPr>
          <w:rFonts w:ascii="Arial" w:cs="Arial" w:eastAsia="Arial" w:hAnsi="Arial"/>
          <w:b/>
          <w:bCs/>
          <w:color w:val="1A1A1A"/>
          <w:sz w:val="22"/>
          <w:szCs w:val="22"/>
        </w:rPr>
        <w:t xml:space="preserve">Immutability</w:t>
      </w:r>
      <w:r>
        <w:rPr>
          <w:rFonts w:ascii="Arial" w:cs="Arial" w:eastAsia="Arial" w:hAnsi="Arial"/>
          <w:color w:val="1A1A1A"/>
          <w:sz w:val="22"/>
          <w:szCs w:val="22"/>
        </w:rPr>
        <w:t xml:space="preserve"> is the property that audit log records </w:t>
      </w:r>
      <w:r>
        <w:rPr>
          <w:rFonts w:ascii="Arial" w:cs="Arial" w:eastAsia="Arial" w:hAnsi="Arial"/>
          <w:b/>
          <w:bCs/>
          <w:color w:val="1A1A1A"/>
          <w:sz w:val="22"/>
          <w:szCs w:val="22"/>
        </w:rPr>
        <w:t xml:space="preserve">cannot be deleted, modified, or overwritten</w:t>
      </w:r>
      <w:r>
        <w:rPr>
          <w:rFonts w:ascii="Arial" w:cs="Arial" w:eastAsia="Arial" w:hAnsi="Arial"/>
          <w:color w:val="1A1A1A"/>
          <w:sz w:val="22"/>
          <w:szCs w:val="22"/>
        </w:rPr>
        <w:t xml:space="preserve"> after being written. Without immutability, an insider can delete evidence of their own actions; an attacker can cover their tracks; a compromised system admin can falsify the audit trail. Immutable audit logs are required by PCI DSS, HIPAA, SOC 2, and virtually every compliance framework.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Immutability Mechanisms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S3 Object Lock (WORM): </w:t>
            </w:r>
            <w:r>
              <w:rPr>
                <w:rFonts w:ascii="Arial" w:cs="Arial" w:eastAsia="Arial" w:hAnsi="Arial"/>
                <w:color w:val="1A1A1A"/>
                <w:sz w:val="22"/>
                <w:szCs w:val="22"/>
              </w:rPr>
              <w:t xml:space="preserve">AWS S3 Object Lock in WORM (Write Once Read Many) mode prevents deletion or overwrite of objects for a specified retention period. Even the S3 bucket owner cannot delete locked objects. The retention period is set at upload and cannot be shortened. Used by: financial institutions, healthcare providers, any PCI/HIPAA compliance requirement.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Append-only databases: </w:t>
            </w:r>
            <w:r>
              <w:rPr>
                <w:rFonts w:ascii="Arial" w:cs="Arial" w:eastAsia="Arial" w:hAnsi="Arial"/>
                <w:color w:val="1A1A1A"/>
                <w:sz w:val="22"/>
                <w:szCs w:val="22"/>
              </w:rPr>
              <w:t xml:space="preserve">Configure the database table or collection to reject UPDATE and DELETE statements. Only INSERT is allowed. PostgreSQL: row-level security preventing UPDATE/DELETE for audit rows. Some audit-specific databases (like Immudb) provide cryptographic proofs of immutability.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Write-once storage with chain hashing: </w:t>
            </w:r>
            <w:r>
              <w:rPr>
                <w:rFonts w:ascii="Arial" w:cs="Arial" w:eastAsia="Arial" w:hAnsi="Arial"/>
                <w:color w:val="1A1A1A"/>
                <w:sz w:val="22"/>
                <w:szCs w:val="22"/>
              </w:rPr>
              <w:t xml:space="preserve">Each audit log entry contains a cryptographic hash of the previous entry (like a blockchain). Any modification to a past entry breaks the hash chain, which is detectable. Used by HashiCorp Vault's audit backends.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Separate write-only account: </w:t>
            </w:r>
            <w:r>
              <w:rPr>
                <w:rFonts w:ascii="Arial" w:cs="Arial" w:eastAsia="Arial" w:hAnsi="Arial"/>
                <w:color w:val="1A1A1A"/>
                <w:sz w:val="22"/>
                <w:szCs w:val="22"/>
              </w:rPr>
              <w:t xml:space="preserve">The service that writes audit logs has an IAM role with only s3:PutObject permission — no s3:DeleteObject or s3:GetObject. The application layer cannot delete what it wrote. Only a separate, tightly controlled account (held by the CISO team) can read audit logs.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Object Lock: immutable audit log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bucket with Object Lock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s3api create-bucket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audit-logs-production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--object-lock-enabled-for-bucket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default retention: COMPLIANCE mode, 7 years (PCI DSS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s3api put-object-lock-configuration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audit-logs-production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--object-lock-configuration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"ObjectLockEnabled":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"DefaultRetention":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"Years":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GOVERNANCE mode: allows admin override with special permission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COMPLIANCE mode: NO OVERRIDE POSSIBLE — even root account cannot delete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Writing an audit log entry (application has s3:PutObject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s3.putObject({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'audit-logs-production',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`audit/${year}/${month}/${day}/${timestamp}-${uuid}.json`,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JSON.stringify(auditEvent),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Once written: cannot be modified or deleted for 7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Ransomware cannot delete audit logs.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Insider threat cannot delete evidence of their actions.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GDPR: EU Data Protection</w:t>
      </w:r>
    </w:p>
    <w:p>
      <w:pPr>
        <w:pStyle w:val="Heading2"/>
        <w:spacing w:after="140" w:before="320"/>
      </w:pPr>
      <w:r>
        <w:rPr>
          <w:rFonts w:ascii="Arial" w:cs="Arial" w:eastAsia="Arial" w:hAnsi="Arial"/>
          <w:b/>
          <w:bCs/>
          <w:color w:val="2E75B6"/>
          <w:sz w:val="28"/>
          <w:szCs w:val="28"/>
        </w:rPr>
        <w:t xml:space="preserve">3.1  What GDPR Requires Architecturally</w:t>
      </w:r>
    </w:p>
    <w:p>
      <w:pPr>
        <w:spacing w:after="80" w:before="80"/>
      </w:pPr>
      <w:r>
        <w:rPr>
          <w:rFonts w:ascii="Arial" w:cs="Arial" w:eastAsia="Arial" w:hAnsi="Arial"/>
          <w:b/>
          <w:bCs/>
          <w:color w:val="1A1A1A"/>
          <w:sz w:val="22"/>
          <w:szCs w:val="22"/>
        </w:rPr>
        <w:t xml:space="preserve">GDPR</w:t>
      </w:r>
      <w:r>
        <w:rPr>
          <w:rFonts w:ascii="Arial" w:cs="Arial" w:eastAsia="Arial" w:hAnsi="Arial"/>
          <w:color w:val="1A1A1A"/>
          <w:sz w:val="22"/>
          <w:szCs w:val="22"/>
        </w:rPr>
        <w:t xml:space="preserve"> (General Data Protection Regulation) applies to </w:t>
      </w:r>
      <w:r>
        <w:rPr>
          <w:rFonts w:ascii="Arial" w:cs="Arial" w:eastAsia="Arial" w:hAnsi="Arial"/>
          <w:b/>
          <w:bCs/>
          <w:color w:val="1A1A1A"/>
          <w:sz w:val="22"/>
          <w:szCs w:val="22"/>
        </w:rPr>
        <w:t xml:space="preserve">any system processing personal data of EU residents</w:t>
      </w:r>
      <w:r>
        <w:rPr>
          <w:rFonts w:ascii="Arial" w:cs="Arial" w:eastAsia="Arial" w:hAnsi="Arial"/>
          <w:color w:val="1A1A1A"/>
          <w:sz w:val="22"/>
          <w:szCs w:val="22"/>
        </w:rPr>
        <w:t xml:space="preserve">, regardless of where the company is based. GDPR is not just a legal compliance issue — it drives concrete architectural decisions about how data is stored, accessed, deleted, and shared:</w:t>
      </w:r>
    </w:p>
    <w:p>
      <w:pPr>
        <w:spacing w:after="0" w:before="110"/>
      </w:pPr>
      <w:r>
        <w:rPr>
          <w:rFonts w:ascii="Arial" w:cs="Arial" w:eastAsia="Arial" w:hAnsi="Arial"/>
          <w:color w:val="1A1A1A"/>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GDPR right / requirement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means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Architectural implication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Right to erasure ('right to be forgotten')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can request deletion of all their personal data</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Personal data must be identifiable and deletable; crypto-shredding for data in backups; audit trail of deletion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Right to data portability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can request export of all their data in a machine-readable format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Export functionality; data schema documentation; ability to generate per-user data exports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Consent tracking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Explicit consent must be obtained and recorded before processing certain data</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Consent records in audit log; timestamp + IP + consent text version; withdraw consent must also be logged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Breach notification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72-hour notification to supervisory authority if data breach affecting personal data</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Incident response plan with &lt;72h detection + notification; data breach assessment process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minimisation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collect data necessary for the stated purpose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Architecture review: what PII is actually needed? Don't collect 'just in case'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Purpose limitation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collected for one purpose cannot be used for another without new consent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data stores per purpose; technical controls preventing cross-purpose use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Crypto-Shredding for GDPR Right to Erasure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Crypto-shredding: GDPR right to erasure without physical deletion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User requests deletion.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Personal data exists in: production DB, read replicas, S3 backups,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warehouse, audit logs, email logs, CDN caches.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deletion from all locations: complex, expensive, risky.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CRYPTO-SHREDDING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account creation: generate per-user DEK (data encryption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DEK in a separate 'user key vault' keyed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 all personal data for that user with their DEK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table: { user_id, name_encrypted, email_encrypted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user_keys table: { user_id, dek_encrypted_with_master_key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DELETION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FROM user_keys WHERE user_id =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the DEK — do not delete the user data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all user's personal data is encrypted with a key that no longer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is permanently unreadable = effectively deleted for GDPR purposes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backups still contain encrypted ciphertext = useless without DEK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need to restore backups to delete old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the deletion: audit event { user_id, event: 'gdpr_erasure', timestamp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the user_id but no PII — you can no longer access it anyway)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PCI DSS: Payment Card Security</w:t>
      </w:r>
    </w:p>
    <w:p>
      <w:pPr>
        <w:pStyle w:val="Heading2"/>
        <w:spacing w:after="140" w:before="320"/>
      </w:pPr>
      <w:r>
        <w:rPr>
          <w:rFonts w:ascii="Arial" w:cs="Arial" w:eastAsia="Arial" w:hAnsi="Arial"/>
          <w:b/>
          <w:bCs/>
          <w:color w:val="2E75B6"/>
          <w:sz w:val="28"/>
          <w:szCs w:val="28"/>
        </w:rPr>
        <w:t xml:space="preserve">4.1  What PCI DSS Requires</w:t>
      </w:r>
    </w:p>
    <w:p>
      <w:pPr>
        <w:spacing w:after="80" w:before="80"/>
      </w:pPr>
      <w:r>
        <w:rPr>
          <w:rFonts w:ascii="Arial" w:cs="Arial" w:eastAsia="Arial" w:hAnsi="Arial"/>
          <w:b/>
          <w:bCs/>
          <w:color w:val="1A1A1A"/>
          <w:sz w:val="22"/>
          <w:szCs w:val="22"/>
        </w:rPr>
        <w:t xml:space="preserve">PCI DSS</w:t>
      </w:r>
      <w:r>
        <w:rPr>
          <w:rFonts w:ascii="Arial" w:cs="Arial" w:eastAsia="Arial" w:hAnsi="Arial"/>
          <w:color w:val="1A1A1A"/>
          <w:sz w:val="22"/>
          <w:szCs w:val="22"/>
        </w:rPr>
        <w:t xml:space="preserve"> (Payment Card Industry Data Security Standard) applies to any system that </w:t>
      </w:r>
      <w:r>
        <w:rPr>
          <w:rFonts w:ascii="Arial" w:cs="Arial" w:eastAsia="Arial" w:hAnsi="Arial"/>
          <w:b/>
          <w:bCs/>
          <w:color w:val="1A1A1A"/>
          <w:sz w:val="22"/>
          <w:szCs w:val="22"/>
        </w:rPr>
        <w:t xml:space="preserve">stores, processes, or transmits cardholder data</w:t>
      </w:r>
      <w:r>
        <w:rPr>
          <w:rFonts w:ascii="Arial" w:cs="Arial" w:eastAsia="Arial" w:hAnsi="Arial"/>
          <w:color w:val="1A1A1A"/>
          <w:sz w:val="22"/>
          <w:szCs w:val="22"/>
        </w:rPr>
        <w:t xml:space="preserve">. It is a contractual requirement enforced by payment networks (Visa, Mastercard). Non-compliance can result in fines and loss of ability to process card payments. PCI DSS has 12 requirement categories — the most architecturally significant: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PCI DSS Architecture Requirements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Network segmentation: </w:t>
            </w:r>
            <w:r>
              <w:rPr>
                <w:rFonts w:ascii="Arial" w:cs="Arial" w:eastAsia="Arial" w:hAnsi="Arial"/>
                <w:color w:val="1A1A1A"/>
                <w:sz w:val="22"/>
                <w:szCs w:val="22"/>
              </w:rPr>
              <w:t xml:space="preserve">Cardholder Data Environment (CDE) must be network-segmented from all other systems. Systems processing card data must not be reachable from the public internet or from general corporate networks. Firewall rules enforce isolation. Scope reduction: fewer systems in scope = smaller compliance surface.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Cardholder data protection: </w:t>
            </w:r>
            <w:r>
              <w:rPr>
                <w:rFonts w:ascii="Arial" w:cs="Arial" w:eastAsia="Arial" w:hAnsi="Arial"/>
                <w:color w:val="1A1A1A"/>
                <w:sz w:val="22"/>
                <w:szCs w:val="22"/>
              </w:rPr>
              <w:t xml:space="preserve">Primary Account Numbers (PAN — card numbers) must be rendered unreadable at rest: truncation (show only last 4 digits), tokenisation (replace with a token), or encryption (AES-256). CVV must NEVER be stored after authorisation. Track data (magnetic stripe) must NEVER be stored.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control: </w:t>
            </w:r>
            <w:r>
              <w:rPr>
                <w:rFonts w:ascii="Arial" w:cs="Arial" w:eastAsia="Arial" w:hAnsi="Arial"/>
                <w:color w:val="1A1A1A"/>
                <w:sz w:val="22"/>
                <w:szCs w:val="22"/>
              </w:rPr>
              <w:t xml:space="preserve">Access to cardholder data must follow need-to-know principle. Every access must be attributed to a specific individual. Shared/generic accounts are prohibited. MFA required for non-console administrative access.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Logging and monitoring: </w:t>
            </w:r>
            <w:r>
              <w:rPr>
                <w:rFonts w:ascii="Arial" w:cs="Arial" w:eastAsia="Arial" w:hAnsi="Arial"/>
                <w:color w:val="1A1A1A"/>
                <w:sz w:val="22"/>
                <w:szCs w:val="22"/>
              </w:rPr>
              <w:t xml:space="preserve">All access to CDE systems must be logged. Logs must be retained for 1 year with 3 months immediately available. Logs must be reviewed daily for suspicious activity. Automated alerts for anomalous access patterns.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management: </w:t>
            </w:r>
            <w:r>
              <w:rPr>
                <w:rFonts w:ascii="Arial" w:cs="Arial" w:eastAsia="Arial" w:hAnsi="Arial"/>
                <w:color w:val="1A1A1A"/>
                <w:sz w:val="22"/>
                <w:szCs w:val="22"/>
              </w:rPr>
              <w:t xml:space="preserve">Encryption keys must be managed under dual control (two custodians required). Split knowledge: no single person knows the complete key. Annual key rotation minimum. Formal key management policy required.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PCI DSS: cardholder data handling in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YOU MUST NEVER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magnetic stripe data (Track 1 / Track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CVV / CVC / CID codes  ← NEVER store, not even encrypted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PIN / PIN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PAN (card number) storage — three options: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TRUNCATION: store only last 4 digits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Display: **** **** **** 4242 (never need full number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only need to show users their card on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TOKENISATION (preferred for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card data to payment processor (Stripe, Braintree)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Receive a token: tok_1234abcd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the token — never store the card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is useless without the processor's private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need to re-charge the card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ENCRYPTION (only if absolutely necessary):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AES-256 encryption with KMS-managed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restricted to payment processing service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access audited via CloudTrail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SEGMENTATION: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runs in isolated VPC / subnet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 inbound: only from order-service (specific security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 outbound: only to payment processor (Stripe/Braintree IP ranges)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internet access, no DNS, no dev access to CDE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HIPAA and SOC 2</w:t>
      </w:r>
    </w:p>
    <w:p>
      <w:pPr>
        <w:pStyle w:val="Heading2"/>
        <w:spacing w:after="140" w:before="320"/>
      </w:pPr>
      <w:r>
        <w:rPr>
          <w:rFonts w:ascii="Arial" w:cs="Arial" w:eastAsia="Arial" w:hAnsi="Arial"/>
          <w:b/>
          <w:bCs/>
          <w:color w:val="2E75B6"/>
          <w:sz w:val="28"/>
          <w:szCs w:val="28"/>
        </w:rPr>
        <w:t xml:space="preserve">5.1  HIPAA: Health Data Protection</w:t>
      </w:r>
    </w:p>
    <w:p>
      <w:pPr>
        <w:spacing w:after="80" w:before="80"/>
      </w:pPr>
      <w:r>
        <w:rPr>
          <w:rFonts w:ascii="Arial" w:cs="Arial" w:eastAsia="Arial" w:hAnsi="Arial"/>
          <w:b/>
          <w:bCs/>
          <w:color w:val="1A1A1A"/>
          <w:sz w:val="22"/>
          <w:szCs w:val="22"/>
        </w:rPr>
        <w:t xml:space="preserve">HIPAA</w:t>
      </w:r>
      <w:r>
        <w:rPr>
          <w:rFonts w:ascii="Arial" w:cs="Arial" w:eastAsia="Arial" w:hAnsi="Arial"/>
          <w:color w:val="1A1A1A"/>
          <w:sz w:val="22"/>
          <w:szCs w:val="22"/>
        </w:rPr>
        <w:t xml:space="preserve"> (Health Insurance Portability and Accountability Act) applies to </w:t>
      </w:r>
      <w:r>
        <w:rPr>
          <w:rFonts w:ascii="Arial" w:cs="Arial" w:eastAsia="Arial" w:hAnsi="Arial"/>
          <w:b/>
          <w:bCs/>
          <w:color w:val="1A1A1A"/>
          <w:sz w:val="22"/>
          <w:szCs w:val="22"/>
        </w:rPr>
        <w:t xml:space="preserve">healthcare entities and their business associates</w:t>
      </w:r>
      <w:r>
        <w:rPr>
          <w:rFonts w:ascii="Arial" w:cs="Arial" w:eastAsia="Arial" w:hAnsi="Arial"/>
          <w:color w:val="1A1A1A"/>
          <w:sz w:val="22"/>
          <w:szCs w:val="22"/>
        </w:rPr>
        <w:t xml:space="preserve"> handling Protected Health Information (PHI). PHI includes any information that can identify a patient combined with their health condition, treatment, or payment for care. HIPAA requirements are broadly similar to PCI DSS but with different specifics: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HIPAA requirement</w:t>
            </w:r>
          </w:p>
        </w:tc>
        <w:tc>
          <w:tcPr>
            <w:tcW w:type="dxa" w:w="6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Architectural implication</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PHI encryption in transit</w:t>
            </w:r>
          </w:p>
        </w:tc>
        <w:tc>
          <w:tcPr>
            <w:tcW w:type="dxa" w:w="6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1.2+ for all PHI transmission; encrypted email if PHI content; no plain HTTP ever</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PHI encryption at rest</w:t>
            </w:r>
          </w:p>
        </w:tc>
        <w:tc>
          <w:tcPr>
            <w:tcW w:type="dxa" w:w="6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Field-level encryption for PHI columns; RDS encryption; S3 SSE-KMS for medical files</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Minimum necessary access</w:t>
            </w:r>
          </w:p>
        </w:tc>
        <w:tc>
          <w:tcPr>
            <w:tcW w:type="dxa" w:w="6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IAM and application-level RBAC: staff see only what their role requires; physicians see their patients only</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 controls</w:t>
            </w:r>
          </w:p>
        </w:tc>
        <w:tc>
          <w:tcPr>
            <w:tcW w:type="dxa" w:w="6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every access to PHI (who, what record, when, from where); 6-year retention; immutable audit trail</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Backup and disaster recovery</w:t>
            </w:r>
          </w:p>
        </w:tc>
        <w:tc>
          <w:tcPr>
            <w:tcW w:type="dxa" w:w="6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Encrypted backups; tested DR plan; documented RTO/RPO; Business Associate Agreement (BAA) with all vendors</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 Associate Agreements</w:t>
            </w:r>
          </w:p>
        </w:tc>
        <w:tc>
          <w:tcPr>
            <w:tcW w:type="dxa" w:w="6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Written agreement with every vendor (AWS, Stripe, analytics) that processes PHI stating their HIPAA obligations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SOC 2: Security Controls for SaaS</w:t>
      </w:r>
    </w:p>
    <w:p>
      <w:pPr>
        <w:spacing w:after="80" w:before="80"/>
      </w:pPr>
      <w:r>
        <w:rPr>
          <w:rFonts w:ascii="Arial" w:cs="Arial" w:eastAsia="Arial" w:hAnsi="Arial"/>
          <w:b/>
          <w:bCs/>
          <w:color w:val="1A1A1A"/>
          <w:sz w:val="22"/>
          <w:szCs w:val="22"/>
        </w:rPr>
        <w:t xml:space="preserve">SOC 2</w:t>
      </w:r>
      <w:r>
        <w:rPr>
          <w:rFonts w:ascii="Arial" w:cs="Arial" w:eastAsia="Arial" w:hAnsi="Arial"/>
          <w:color w:val="1A1A1A"/>
          <w:sz w:val="22"/>
          <w:szCs w:val="22"/>
        </w:rPr>
        <w:t xml:space="preserve"> (Service Organisation Control 2) is an auditing standard for SaaS providers, covering the </w:t>
      </w:r>
      <w:r>
        <w:rPr>
          <w:rFonts w:ascii="Arial" w:cs="Arial" w:eastAsia="Arial" w:hAnsi="Arial"/>
          <w:b/>
          <w:bCs/>
          <w:color w:val="1A1A1A"/>
          <w:sz w:val="22"/>
          <w:szCs w:val="22"/>
        </w:rPr>
        <w:t xml:space="preserve">Trust Service Criteria</w:t>
      </w:r>
      <w:r>
        <w:rPr>
          <w:rFonts w:ascii="Arial" w:cs="Arial" w:eastAsia="Arial" w:hAnsi="Arial"/>
          <w:color w:val="1A1A1A"/>
          <w:sz w:val="22"/>
          <w:szCs w:val="22"/>
        </w:rPr>
        <w:t xml:space="preserve">: Security, Availability, Processing Integrity, Confidentiality, and Privacy. Enterprise customers require SOC 2 reports before committing to a SaaS vendor. SOC 2 Type II is an audit of actual controls over a period (usually 6-12 months), not just a point-in-time assessment: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SOC 2 Architecture Implications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Security (most important): </w:t>
            </w:r>
            <w:r>
              <w:rPr>
                <w:rFonts w:ascii="Arial" w:cs="Arial" w:eastAsia="Arial" w:hAnsi="Arial"/>
                <w:color w:val="1A1A1A"/>
                <w:sz w:val="22"/>
                <w:szCs w:val="22"/>
              </w:rPr>
              <w:t xml:space="preserve">Logical access controls, network security, change management, incident response. All of: MFA enforcement, role-based access, security monitoring, annual penetration testing, vulnerability management.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w:t>
            </w:r>
            <w:r>
              <w:rPr>
                <w:rFonts w:ascii="Arial" w:cs="Arial" w:eastAsia="Arial" w:hAnsi="Arial"/>
                <w:color w:val="1A1A1A"/>
                <w:sz w:val="22"/>
                <w:szCs w:val="22"/>
              </w:rPr>
              <w:t xml:space="preserve">SLA monitoring, disaster recovery testing, capacity planning, uptime measurement and reporting.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Confidentiality: </w:t>
            </w:r>
            <w:r>
              <w:rPr>
                <w:rFonts w:ascii="Arial" w:cs="Arial" w:eastAsia="Arial" w:hAnsi="Arial"/>
                <w:color w:val="1A1A1A"/>
                <w:sz w:val="22"/>
                <w:szCs w:val="22"/>
              </w:rPr>
              <w:t xml:space="preserve">Data classification, encryption in transit and at rest, access controls on confidential customer data, NDA for employees.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Privacy (for applications handling personal data): </w:t>
            </w:r>
            <w:r>
              <w:rPr>
                <w:rFonts w:ascii="Arial" w:cs="Arial" w:eastAsia="Arial" w:hAnsi="Arial"/>
                <w:color w:val="1A1A1A"/>
                <w:sz w:val="22"/>
                <w:szCs w:val="22"/>
              </w:rPr>
              <w:t xml:space="preserve">Consent, data minimisation, access controls, deletion procedures, privacy policy alignment with processing activities.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implication: </w:t>
            </w:r>
            <w:r>
              <w:rPr>
                <w:rFonts w:ascii="Arial" w:cs="Arial" w:eastAsia="Arial" w:hAnsi="Arial"/>
                <w:color w:val="1A1A1A"/>
                <w:sz w:val="22"/>
                <w:szCs w:val="22"/>
              </w:rPr>
              <w:t xml:space="preserve">SOC 2 auditors look for evidence: screenshots, configuration exports, access logs. Automated controls (not manual processes) are preferred — less opportunity for failure. Infrastructure as Code, centralised logging, and IAM policies create auditable evidence automatically.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Zero Trust Architecture</w:t>
      </w:r>
    </w:p>
    <w:p>
      <w:pPr>
        <w:pStyle w:val="Heading2"/>
        <w:spacing w:after="140" w:before="320"/>
      </w:pPr>
      <w:r>
        <w:rPr>
          <w:rFonts w:ascii="Arial" w:cs="Arial" w:eastAsia="Arial" w:hAnsi="Arial"/>
          <w:b/>
          <w:bCs/>
          <w:color w:val="2E75B6"/>
          <w:sz w:val="28"/>
          <w:szCs w:val="28"/>
        </w:rPr>
        <w:t xml:space="preserve">6.1  The Zero Trust Principle</w:t>
      </w:r>
    </w:p>
    <w:p>
      <w:pPr>
        <w:spacing w:after="80" w:before="80"/>
      </w:pPr>
      <w:r>
        <w:rPr>
          <w:rFonts w:ascii="Arial" w:cs="Arial" w:eastAsia="Arial" w:hAnsi="Arial"/>
          <w:b/>
          <w:bCs/>
          <w:color w:val="1A1A1A"/>
          <w:sz w:val="22"/>
          <w:szCs w:val="22"/>
        </w:rPr>
        <w:t xml:space="preserve">Zero Trust</w:t>
      </w:r>
      <w:r>
        <w:rPr>
          <w:rFonts w:ascii="Arial" w:cs="Arial" w:eastAsia="Arial" w:hAnsi="Arial"/>
          <w:color w:val="1A1A1A"/>
          <w:sz w:val="22"/>
          <w:szCs w:val="22"/>
        </w:rPr>
        <w:t xml:space="preserve"> is a security model based on the principle </w:t>
      </w:r>
      <w:r>
        <w:rPr>
          <w:rFonts w:ascii="Arial" w:cs="Arial" w:eastAsia="Arial" w:hAnsi="Arial"/>
          <w:b/>
          <w:bCs/>
          <w:color w:val="1A1A1A"/>
          <w:sz w:val="22"/>
          <w:szCs w:val="22"/>
        </w:rPr>
        <w:t xml:space="preserve">'never trust, always verify'</w:t>
      </w:r>
      <w:r>
        <w:rPr>
          <w:rFonts w:ascii="Arial" w:cs="Arial" w:eastAsia="Arial" w:hAnsi="Arial"/>
          <w:color w:val="1A1A1A"/>
          <w:sz w:val="22"/>
          <w:szCs w:val="22"/>
        </w:rPr>
        <w:t xml:space="preserve">. Traditional network security assumes that anything inside the corporate network is trusted — the 'castle and moat' model. Zero Trust abandons this assumption: </w:t>
      </w:r>
      <w:r>
        <w:rPr>
          <w:rFonts w:ascii="Arial" w:cs="Arial" w:eastAsia="Arial" w:hAnsi="Arial"/>
          <w:b/>
          <w:bCs/>
          <w:color w:val="1A1A1A"/>
          <w:sz w:val="22"/>
          <w:szCs w:val="22"/>
        </w:rPr>
        <w:t xml:space="preserve">no user, device, or service is trusted by default, regardless of where it is in the network</w:t>
      </w:r>
      <w:r>
        <w:rPr>
          <w:rFonts w:ascii="Arial" w:cs="Arial" w:eastAsia="Arial" w:hAnsi="Arial"/>
          <w:color w:val="1A1A1A"/>
          <w:sz w:val="22"/>
          <w:szCs w:val="22"/>
        </w:rPr>
        <w:t xml:space="preserve">. Every access request must be authenticated, authorised, and continuously validated. The principle: </w:t>
      </w:r>
      <w:r>
        <w:rPr>
          <w:rFonts w:ascii="Arial" w:cs="Arial" w:eastAsia="Arial" w:hAnsi="Arial"/>
          <w:i/>
          <w:iCs/>
          <w:color w:val="444444"/>
          <w:sz w:val="22"/>
          <w:szCs w:val="22"/>
        </w:rPr>
        <w:t xml:space="preserve">assume breach</w:t>
      </w:r>
      <w:r>
        <w:rPr>
          <w:rFonts w:ascii="Arial" w:cs="Arial" w:eastAsia="Arial" w:hAnsi="Arial"/>
          <w:color w:val="1A1A1A"/>
          <w:sz w:val="22"/>
          <w:szCs w:val="22"/>
        </w:rPr>
        <w:t xml:space="preserve"> — design as if the perimeter has already been compromised.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Zero Trust: Four Core Principles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Verify identity: </w:t>
            </w:r>
            <w:r>
              <w:rPr>
                <w:rFonts w:ascii="Arial" w:cs="Arial" w:eastAsia="Arial" w:hAnsi="Arial"/>
                <w:color w:val="1A1A1A"/>
                <w:sz w:val="22"/>
                <w:szCs w:val="22"/>
              </w:rPr>
              <w:t xml:space="preserve">Every user must authenticate with strong credentials (MFA). Every service must authenticate with a cryptographic identity (mTLS certificate, service account token). Identity is validated on every request — not just at the perimeter.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Validate device: </w:t>
            </w:r>
            <w:r>
              <w:rPr>
                <w:rFonts w:ascii="Arial" w:cs="Arial" w:eastAsia="Arial" w:hAnsi="Arial"/>
                <w:color w:val="1A1A1A"/>
                <w:sz w:val="22"/>
                <w:szCs w:val="22"/>
              </w:rPr>
              <w:t xml:space="preserve">Access is granted only from trusted, managed devices. Device health checks: up-to-date OS, active EDR agent, encrypted disk, compliant configuration. Unknown or unmanaged devices are blocked regardless of valid user credentials.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Enforce least privilege: </w:t>
            </w:r>
            <w:r>
              <w:rPr>
                <w:rFonts w:ascii="Arial" w:cs="Arial" w:eastAsia="Arial" w:hAnsi="Arial"/>
                <w:color w:val="1A1A1A"/>
                <w:sz w:val="22"/>
                <w:szCs w:val="22"/>
              </w:rPr>
              <w:t xml:space="preserve">Users and services have access only to what they need for their current task — no more. Access is time-limited and scoped to specific resources. Over-privileged access is a single-step away from complete compromise.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Assume breach: </w:t>
            </w:r>
            <w:r>
              <w:rPr>
                <w:rFonts w:ascii="Arial" w:cs="Arial" w:eastAsia="Arial" w:hAnsi="Arial"/>
                <w:color w:val="1A1A1A"/>
                <w:sz w:val="22"/>
                <w:szCs w:val="22"/>
              </w:rPr>
              <w:t xml:space="preserve">Design under the assumption that any component may already be compromised. Segment everything. Log everything. Encrypt everything in transit — even internal traffic. Detect lateral movement. Limit blast radius of any single compromise.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Zero Trust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Identity Provider (IdP)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Authenticates all users with MFA; issues time-limited credentials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Okta, Azure AD, Google Workspace + MFA policy enforced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Device compliance check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Validates device health before granting access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MDM (Intune, Jamf); certificate-based device identity; agent reports health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Policy engine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Evaluates access requests against policy (identity + device + resource + context)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BeyondCorp, Cloudflare Access, Okta Identity Engine, OPA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Mutual TLS (mTLS)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Authenticates all service-to-service communication cryptographically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Istio/Linkerd service mesh with SPIFFE SVID certificates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Microsegmentation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Fine-grained network policies; services can only reach what they need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K8s NetworkPolicy; cloud security groups; zero-default-allow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Continuous monitoring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Detect anomalous access patterns; session risk re-evaluation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SIEM; UEBA (User + Entity Behaviour Analytics); session timeout on risk signal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Zero Trust: concrete implementation for a microservices platform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PERIMETER (eliminated in true Zero Trust, but softened):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VPN required for access. No 'trusted internal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traffic treated equally: TLS everywhere, authentication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 USER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IdP (MFA required) → Device check (MDM enrolled, up-to-date)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Policy engine (is this user+device allowed to access this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approved: short-lived access token (1-8 hour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receives token; validates on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SERVICE-TO-SERVICE: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mTLS via Istio service mesh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SPIFFE identity per pod: spiffe://cluster.local/ns/prod/sa/order-service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AuthorizationPolicy: order-service can call payment-service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pod has blanket access to other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SEGMENTATION: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Kubernetes NetworkPolicy: default DENY all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Explicit allow rules per service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service has internet egress unless explicitly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egress only to Stripe IPs, nothing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mTLS handshake logged (source identity, destination,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Anomalous access (new source identity, unusual time) →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Lateral movement detection: service accessing unexpected peer →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ASSUME BREACH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payment-service is compromised, what can it reach?'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only inventory-service and Stripe. Not user service. Not admin.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microsegmentation blast radius bound.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Compliance as a Design Decision</w:t>
      </w:r>
    </w:p>
    <w:p>
      <w:pPr>
        <w:pStyle w:val="Heading2"/>
        <w:spacing w:after="140" w:before="320"/>
      </w:pPr>
      <w:r>
        <w:rPr>
          <w:rFonts w:ascii="Arial" w:cs="Arial" w:eastAsia="Arial" w:hAnsi="Arial"/>
          <w:b/>
          <w:bCs/>
          <w:color w:val="2E75B6"/>
          <w:sz w:val="28"/>
          <w:szCs w:val="28"/>
        </w:rPr>
        <w:t xml:space="preserve">7.1  Gather Compliance Requirements Early</w:t>
      </w:r>
    </w:p>
    <w:p>
      <w:pPr>
        <w:spacing w:after="80" w:before="80"/>
      </w:pPr>
      <w:r>
        <w:rPr>
          <w:rFonts w:ascii="Arial" w:cs="Arial" w:eastAsia="Arial" w:hAnsi="Arial"/>
          <w:b/>
          <w:bCs/>
          <w:color w:val="1A1A1A"/>
          <w:sz w:val="22"/>
          <w:szCs w:val="22"/>
        </w:rPr>
        <w:t xml:space="preserve">Compliance requirements must be gathered in the requirements phase</w:t>
      </w:r>
      <w:r>
        <w:rPr>
          <w:rFonts w:ascii="Arial" w:cs="Arial" w:eastAsia="Arial" w:hAnsi="Arial"/>
          <w:color w:val="1A1A1A"/>
          <w:sz w:val="22"/>
          <w:szCs w:val="22"/>
        </w:rPr>
        <w:t xml:space="preserve">, not discovered during an audit. The cost of retrofitting compliance into an existing system is typically 3-10× the cost of designing it in from the start. A system designed without HIPAA in mind will store unencrypted PHI in application logs, lack field-level encryption, have no audit trail, and require months of rework. The system design interview should always ask: what compliance requirements apply to this 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Compliance</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design questions to ask in requirements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 impact</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GDPR</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this system process EU residents' personal data? What is the lawful basis for processing?</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Per-user data isolation; crypto-shredding capability; consent tracking; data export functionality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PCI DSS</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this system store, process, or transmit card numbers?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CDE segmentation; tokenisation; no CVV storage; key management; daily log review</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HIPAA</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this system handle PHI (diagnosis, treatment, identifiable health data)?</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Field-level PHI encryption; PHI access audit log; BAA with all vendors; 6-year retention</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 2</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this a SaaS system sold to enterprises that require security evidence?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MFA enforcement; access controls; incident response plan; annual pen test; automated controls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Compliance Scope Decision</w:t>
      </w:r>
    </w:p>
    <w:p>
      <w:pPr>
        <w:spacing w:after="80" w:before="80"/>
      </w:pPr>
      <w:r>
        <w:rPr>
          <w:rFonts w:ascii="Arial" w:cs="Arial" w:eastAsia="Arial" w:hAnsi="Arial"/>
          <w:b/>
          <w:bCs/>
          <w:color w:val="1A1A1A"/>
          <w:sz w:val="22"/>
          <w:szCs w:val="22"/>
        </w:rPr>
        <w:t xml:space="preserve">The most powerful compliance design decision</w:t>
      </w:r>
      <w:r>
        <w:rPr>
          <w:rFonts w:ascii="Arial" w:cs="Arial" w:eastAsia="Arial" w:hAnsi="Arial"/>
          <w:color w:val="1A1A1A"/>
          <w:sz w:val="22"/>
          <w:szCs w:val="22"/>
        </w:rPr>
        <w:t xml:space="preserve"> is choosing </w:t>
      </w:r>
      <w:r>
        <w:rPr>
          <w:rFonts w:ascii="Arial" w:cs="Arial" w:eastAsia="Arial" w:hAnsi="Arial"/>
          <w:b/>
          <w:bCs/>
          <w:color w:val="1A1A1A"/>
          <w:sz w:val="22"/>
          <w:szCs w:val="22"/>
        </w:rPr>
        <w:t xml:space="preserve">scope</w:t>
      </w:r>
      <w:r>
        <w:rPr>
          <w:rFonts w:ascii="Arial" w:cs="Arial" w:eastAsia="Arial" w:hAnsi="Arial"/>
          <w:color w:val="1A1A1A"/>
          <w:sz w:val="22"/>
          <w:szCs w:val="22"/>
        </w:rPr>
        <w:t xml:space="preserve"> — which systems are in scope for a compliance framework. Scope is determined by which systems handle regulated data. Systems that do not touch cardholder data are not in PCI DSS scope. The architectural strategy of </w:t>
      </w:r>
      <w:r>
        <w:rPr>
          <w:rFonts w:ascii="Arial" w:cs="Arial" w:eastAsia="Arial" w:hAnsi="Arial"/>
          <w:b/>
          <w:bCs/>
          <w:color w:val="1A1A1A"/>
          <w:sz w:val="22"/>
          <w:szCs w:val="22"/>
        </w:rPr>
        <w:t xml:space="preserve">scope reduction</w:t>
      </w:r>
      <w:r>
        <w:rPr>
          <w:rFonts w:ascii="Arial" w:cs="Arial" w:eastAsia="Arial" w:hAnsi="Arial"/>
          <w:color w:val="1A1A1A"/>
          <w:sz w:val="22"/>
          <w:szCs w:val="22"/>
        </w:rPr>
        <w:t xml:space="preserve"> minimises compliance burden by ensuring that regulated data flows through as few systems as possible: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Scope reduction: minimising PCI DSS compliance surface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 SCOPE (avoid):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15 microservices handle card tokens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15 are in PCI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15 require: encrypted communication, access controls,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vulnerability scanning, penetration testing, log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MINIMUM SCOPE (design goal):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payment-service handles card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calls Stripe directly (never stores raw card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services use opaque order-ids (no card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payment-service is in PCI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service to audit vs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 REDUCTION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Tokenise at the earliest point (browser → Stripe.js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Card number goes to Stripe; your servers never see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Pass Stripe payment token to your 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payment-service stores the token (not the card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All other services: order_id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payment-service in PCI scope; all 14 other services out of scope.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Compliance cost: 1/15th of maximum scope scenario.</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Compliance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Framework</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scope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architectural requirements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Penalties / enforcement</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GDPR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EU residents' personal data</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Erasure, portability, consent, breach notification 72h, data minimisation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€20M or 4% of global revenue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PCI DSS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Card numbers, track data, CVV</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Network segmentation (CDE), tokenisation, no CVV storage, annual audit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Fines, loss of card processing ability</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HIPAA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Protected Health Information (PHI)</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Field-level encryption, PHI audit log (6yr), BAA with vendors, DR</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Fines up to $1.9M per violation category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 2</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data in SaaS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Security controls, availability monitoring, change management, pen test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government enforcement; customer trust requirement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Audit Logging &amp; Compliance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Audit logs are separate from application logs: </w:t>
            </w:r>
            <w:r>
              <w:rPr>
                <w:rFonts w:ascii="Arial" w:cs="Arial" w:eastAsia="Arial" w:hAnsi="Arial"/>
                <w:color w:val="1A1A1A"/>
                <w:sz w:val="22"/>
                <w:szCs w:val="22"/>
              </w:rPr>
              <w:t xml:space="preserve">Different retention, different access controls, different storage (immutable). Mixing them causes compliance failures.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to log: </w:t>
            </w:r>
            <w:r>
              <w:rPr>
                <w:rFonts w:ascii="Arial" w:cs="Arial" w:eastAsia="Arial" w:hAnsi="Arial"/>
                <w:color w:val="1A1A1A"/>
                <w:sz w:val="22"/>
                <w:szCs w:val="22"/>
              </w:rPr>
              <w:t xml:space="preserve">Auth events, data access (who/what/when), data changes, admin actions, API calls. Log the access — not the PII content of what was accessed.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not to log: </w:t>
            </w:r>
            <w:r>
              <w:rPr>
                <w:rFonts w:ascii="Arial" w:cs="Arial" w:eastAsia="Arial" w:hAnsi="Arial"/>
                <w:color w:val="1A1A1A"/>
                <w:sz w:val="22"/>
                <w:szCs w:val="22"/>
              </w:rPr>
              <w:t xml:space="preserve">Passwords, CVV, full card numbers, plaintext PII in log messages. Logging sensitive values creates additional exposure vectors.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Immutability: </w:t>
            </w:r>
            <w:r>
              <w:rPr>
                <w:rFonts w:ascii="Arial" w:cs="Arial" w:eastAsia="Arial" w:hAnsi="Arial"/>
                <w:color w:val="1A1A1A"/>
                <w:sz w:val="22"/>
                <w:szCs w:val="22"/>
              </w:rPr>
              <w:t xml:space="preserve">S3 Object Lock COMPLIANCE mode (no override). Append-only database tables. Separate write-only IAM role. Chain hashing for tamper evidence.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Compliance design decisions: </w:t>
            </w:r>
            <w:r>
              <w:rPr>
                <w:rFonts w:ascii="Arial" w:cs="Arial" w:eastAsia="Arial" w:hAnsi="Arial"/>
                <w:color w:val="1A1A1A"/>
                <w:sz w:val="22"/>
                <w:szCs w:val="22"/>
              </w:rPr>
              <w:t xml:space="preserve">GDPR: crypto-shredding for erasure; consent audit trail. PCI: tokenise cards; CDE segmentation; no CVV. HIPAA: field encryption; 6-year audit log. SOC 2: automated controls, MFA, annual pen test.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Scope reduction: </w:t>
            </w:r>
            <w:r>
              <w:rPr>
                <w:rFonts w:ascii="Arial" w:cs="Arial" w:eastAsia="Arial" w:hAnsi="Arial"/>
                <w:color w:val="1A1A1A"/>
                <w:sz w:val="22"/>
                <w:szCs w:val="22"/>
              </w:rPr>
              <w:t xml:space="preserve">The most powerful compliance architecture decision. Minimise which systems touch regulated data. Tokenise early (browser → payment processor). Only one service in scope vs fifteen.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 Trust: </w:t>
            </w:r>
            <w:r>
              <w:rPr>
                <w:rFonts w:ascii="Arial" w:cs="Arial" w:eastAsia="Arial" w:hAnsi="Arial"/>
                <w:color w:val="1A1A1A"/>
                <w:sz w:val="22"/>
                <w:szCs w:val="22"/>
              </w:rPr>
              <w:t xml:space="preserve">Never trust, always verify. mTLS everywhere. Microsegmentation. Least privilege. Assume breach. Device compliance checks. Short-lived tokens. Continuous monitoring.</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Gather compliance requirements early: </w:t>
            </w:r>
            <w:r>
              <w:rPr>
                <w:rFonts w:ascii="Arial" w:cs="Arial" w:eastAsia="Arial" w:hAnsi="Arial"/>
                <w:color w:val="1A1A1A"/>
                <w:sz w:val="22"/>
                <w:szCs w:val="22"/>
              </w:rPr>
              <w:t xml:space="preserve">Retrofitting compliance into an existing system is 3-10× the cost of designing it in from the start.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audit logs and application logs, and why does the distinction matter architecturally?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Audit logs and application logs serve fundamentally different purposes and must be architecturally separate. Application logs are operational artefacts — they help engineers understand system behaviour, debug failures, and trace performance issues. They are typically stored in Elasticsearch or Loki, retained for days to weeks, and rotated when storage limits are approached. Engineers have broad access to application logs. Audit logs are compliance records — legal evidence that specific actions were taken by specific individuals on specific data at specific times. They are used by compliance teams, legal departments, and external auditors, not by engineers debugging code. The architectural differences flow from these different purposes. Retention: application logs can be deleted routinely; audit logs must be retained for years (PCI DSS: 1 year; HIPAA: 6 years). Immutability: application logs can be overwritten or deleted as part of normal operations; audit logs must be write-once. Any modification invalidates the audit trail and may constitute a compliance violation. Access control: application logs are broadly accessible to engineers; audit logs have restricted access — even reading audit logs is itself audited. Storage: application logs use searchable log management systems; audit logs use write-once storage like S3 Object Lock in COMPLIANCE mode, where neither the application nor the S3 account owner can delete records before the retention period expires. Content rules: application logs can contain whatever is useful for debugging; audit logs must never contain plaintext PII, passwords, or credit card numbers — they record that an event happened, not the sensitive content of the event. Mixing the two creates several problems: if audit logs are in the same system as application logs, normal log rotation may inadvertently delete compliance evidence; broad engineer access means the audit trail is not trustworthy (engineers could delete records of their own actions); and the shorter application log retention period violates compliance retention requirements.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Zero Trust and how does it differ from traditional perimeter security?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Traditional perimeter security, often called the 'castle and moat' model, assumes that the corporate network boundary is the security boundary. Traffic inside the network is trusted; traffic outside is not. Employees on the corporate VPN, services running inside the data centre, or components inside a private cloud VPC — all of these are implicitly trusted once they are 'inside'. Zero Trust rejects this model entirely. The core principle: trust is never granted based on network location. Every access request — regardless of whether it comes from inside the office, from a VPN, or from another internal service — must be explicitly authenticated, authorised, and continuously validated. The practical difference is substantial. In perimeter security, once an attacker compromises any internal system, they can move laterally to any other internal system because internal traffic is trusted. In Zero Trust, a compromised internal service can only reach the specific other services it is explicitly authorised to reach. Lateral movement is constrained by policy rather than possible by default. The four pillars of Zero Trust: verify identity (MFA for all users; mTLS certificates for all services; identity verified on every request), validate device (only trusted, managed devices can access resources; unmanaged devices are blocked even with valid credentials), enforce least privilege (access is scoped to the minimum required for the current task; time-limited; resource-specific), and assume breach (design under the assumption that any component may already be compromised; segment everything; encrypt all internal traffic; detect lateral movement; limit blast radius). In a microservices context, Zero Trust is implemented through: mutual TLS (service mesh) so every service-to-service call is authenticated, Kubernetes NetworkPolicy defaulting to deny-all with explicit allow rules, per-pod identity (SPIFFE SVID) so every pod's identity is cryptographically proven, and continuous monitoring of all mTLS handshakes to detect anomalous access patterns between services.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7: Audit Logging &amp; Compliance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7 — Audit Logging &amp; Compliance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7: Audit Logging &amp; Compliance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2026-04-12T10:51:10.647Z</dcterms:created>
  <dcterms:modified xsi:type="dcterms:W3CDTF">2026-04-12T10:51:10.647Z</dcterms:modified>
</cp:coreProperties>
</file>

<file path=docProps/custom.xml><?xml version="1.0" encoding="utf-8"?>
<Properties xmlns="http://schemas.openxmlformats.org/officeDocument/2006/custom-properties" xmlns:vt="http://schemas.openxmlformats.org/officeDocument/2006/docPropsVTypes"/>
</file>