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D5F8D"/>
          <w:sz w:val="64"/>
          <w:szCs w:val="64"/>
        </w:rPr>
        <w:t xml:space="preserve">DECISION FRAMEWORKS</w:t>
      </w:r>
    </w:p>
    <w:p>
      <w:pPr>
        <w:spacing w:after="240"/>
        <w:jc w:val="center"/>
      </w:pPr>
      <w:r>
        <w:rPr>
          <w:i/>
          <w:iCs/>
          <w:color w:val="595959"/>
          <w:sz w:val="36"/>
          <w:szCs w:val="36"/>
        </w:rPr>
        <w:t xml:space="preserve">A Comprehensive Study Guide</w:t>
      </w:r>
    </w:p>
    <w:p>
      <w:pPr>
        <w:spacing w:after="600"/>
        <w:jc w:val="center"/>
      </w:pPr>
      <w:r>
        <w:rPr>
          <w:color w:val="595959"/>
          <w:sz w:val="24"/>
          <w:szCs w:val="24"/>
        </w:rPr>
        <w:t xml:space="preserve">Structured Tools for Making, Documenting, and Communicating Decisions in Engineering Organizations</w:t>
      </w:r>
    </w:p>
    <w:p>
      <w:pPr>
        <w:spacing w:after="400"/>
        <w:jc w:val="center"/>
      </w:pPr>
      <w:r>
        <w:rPr>
          <w:color w:val="2D5F8D"/>
        </w:rPr>
        <w:t xml:space="preserve">━━━━━━━━━━━━━━━━━━━━━━━━━━━━━━</w:t>
      </w:r>
    </w:p>
    <w:p>
      <w:pPr>
        <w:spacing w:after="80"/>
        <w:jc w:val="center"/>
      </w:pPr>
      <w:r>
        <w:rPr>
          <w:color w:val="333333"/>
          <w:sz w:val="24"/>
          <w:szCs w:val="24"/>
        </w:rPr>
        <w:t xml:space="preserve">▸  Architecture Decision Records (ADRs)</w:t>
      </w:r>
    </w:p>
    <w:p>
      <w:pPr>
        <w:spacing w:after="80"/>
        <w:jc w:val="center"/>
      </w:pPr>
      <w:r>
        <w:rPr>
          <w:color w:val="333333"/>
          <w:sz w:val="24"/>
          <w:szCs w:val="24"/>
        </w:rPr>
        <w:t xml:space="preserve">▸  The DACI Framework</w:t>
      </w:r>
    </w:p>
    <w:p>
      <w:pPr>
        <w:spacing w:after="80"/>
        <w:jc w:val="center"/>
      </w:pPr>
      <w:r>
        <w:rPr>
          <w:color w:val="333333"/>
          <w:sz w:val="24"/>
          <w:szCs w:val="24"/>
        </w:rPr>
        <w:t xml:space="preserve">▸  Decision Matrix / Weighted Scoring</w:t>
      </w:r>
    </w:p>
    <w:p>
      <w:pPr>
        <w:spacing w:after="80"/>
        <w:jc w:val="center"/>
      </w:pPr>
      <w:r>
        <w:rPr>
          <w:color w:val="333333"/>
          <w:sz w:val="24"/>
          <w:szCs w:val="24"/>
        </w:rPr>
        <w:t xml:space="preserve">▸  Proof of Concept (PoC) and Spike Approach</w:t>
      </w:r>
    </w:p>
    <w:p>
      <w:pPr>
        <w:spacing w:after="80"/>
        <w:jc w:val="center"/>
      </w:pPr>
      <w:r>
        <w:rPr>
          <w:color w:val="333333"/>
          <w:sz w:val="24"/>
          <w:szCs w:val="24"/>
        </w:rPr>
        <w:t xml:space="preserve">▸  Reversible vs. Irreversible Decisions</w:t>
      </w:r>
    </w:p>
    <w:p>
      <w:pPr>
        <w:spacing w:after="80"/>
        <w:jc w:val="center"/>
      </w:pPr>
      <w:r>
        <w:rPr>
          <w:color w:val="333333"/>
          <w:sz w:val="24"/>
          <w:szCs w:val="24"/>
        </w:rPr>
        <w:t xml:space="preserve">▸  Technology Radar</w:t>
      </w:r>
    </w:p>
    <w:p>
      <w:pPr>
        <w:spacing w:after="80"/>
        <w:jc w:val="center"/>
      </w:pPr>
      <w:r>
        <w:rPr>
          <w:color w:val="333333"/>
          <w:sz w:val="24"/>
          <w:szCs w:val="24"/>
        </w:rPr>
        <w:t xml:space="preserve">▸  Build vs. Buy Analysis</w:t>
      </w:r>
    </w:p>
    <w:p>
      <w:pPr>
        <w:spacing w:after="80"/>
        <w:jc w:val="center"/>
      </w:pPr>
      <w:r>
        <w:rPr>
          <w:color w:val="333333"/>
          <w:sz w:val="24"/>
          <w:szCs w:val="24"/>
        </w:rPr>
        <w:t xml:space="preserve">▸  Decision Fatigue and Time-Boxing</w:t>
      </w:r>
    </w:p>
    <w:p>
      <w:pPr>
        <w:spacing w:before="800"/>
        <w:jc w:val="center"/>
      </w:pPr>
      <w:r>
        <w:rPr>
          <w:color w:val="2D5F8D"/>
        </w:rPr>
        <w:t xml:space="preserve">━━━━━━━━━━━━━━━━━━━━━━━━━━━━━━</w:t>
      </w:r>
    </w:p>
    <w:p>
      <w:pPr>
        <w:pStyle w:val="Heading1"/>
        <w:pageBreakBefor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Introduction: Why Decision Frameworks Matter</w:t>
      </w:r>
    </w:p>
    <w:p>
      <w:pPr>
        <w:spacing w:after="120" w:line="300"/>
        <w:jc w:val="both"/>
      </w:pPr>
      <w:r>
        <w:t xml:space="preserve">Every software organization is, at its core, a machine for making decisions. Decisions about what to build, how to build it, which technology to use, what to defer, what to cut, who owns what, and when to commit. The quality of those decisions compounds: a company that makes slightly better decisions than its competitors, slightly more consistently, will pull ahead over years. Conversely, an organization that makes decisions slowly, inconsistently, or opaquely accumulates drag that no amount of individual talent can overcome.</w:t>
      </w:r>
    </w:p>
    <w:p>
      <w:pPr>
        <w:spacing w:after="120" w:line="300"/>
        <w:jc w:val="both"/>
      </w:pPr>
      <w:r>
        <w:t xml:space="preserve">Yet despite their centrality, decisions are often made badly — not because the people involved are incapable, but because the process is ad hoc. Two senior engineers disagree; a quick hallway conversation resolves it; three months later no one remembers why the choice was made, only that it was made. A technology is chosen because a charismatic architect championed it, with no written alternatives considered. A decision drags on for weeks in meetings because no one knows who has authority to call it. A product launch stumbles because a critical technical choice was treated as reversible when it was not.</w:t>
      </w:r>
    </w:p>
    <w:p>
      <w:pPr>
        <w:spacing w:after="120" w:line="300"/>
        <w:jc w:val="both"/>
      </w:pPr>
      <w:r>
        <w:t xml:space="preserve">Decision frameworks are the countermeasure. They are not bureaucratic apparatus designed to slow teams down; they are lightweight structures that make good decision-making repeatable. A well-chosen framework forces clarity about who decides, who must be consulted, what the alternatives are, what the tradeoffs are, whether the decision can be reversed, and where the reasoning is recorded. Teams that internalize these frameworks move faster in aggregate — because they don't re-litigate settled questions, don't get stuck in decision-by-committee, and don't discover six months too late that a casual choice was actually load-bearing.</w:t>
      </w:r>
    </w:p>
    <w:p>
      <w:pPr>
        <w:pStyle w:val="Heading2"/>
      </w:pPr>
      <w:r>
        <w:t xml:space="preserve">What This Guide Covers</w:t>
      </w:r>
    </w:p>
    <w:p>
      <w:pPr>
        <w:spacing w:after="120" w:line="300"/>
        <w:jc w:val="both"/>
      </w:pPr>
      <w:r>
        <w:t xml:space="preserve">This study guide covers eight foundational decision frameworks used in modern software engineering and technology organizations. They fall into four natural groupings:</w:t>
      </w:r>
    </w:p>
    <w:p>
      <w:pPr>
        <w:pStyle w:val="ListParagraph"/>
        <w:numPr>
          <w:ilvl w:val="0"/>
          <w:numId w:val="2"/>
        </w:numPr>
        <w:spacing w:after="80" w:line="290"/>
      </w:pPr>
      <w:r>
        <w:t xml:space="preserve">Documentation frameworks — ADRs — which capture the reasoning behind technical decisions so that future readers (including your future self) understand not just what was chosen but why.</w:t>
      </w:r>
    </w:p>
    <w:p>
      <w:pPr>
        <w:pStyle w:val="ListParagraph"/>
        <w:numPr>
          <w:ilvl w:val="0"/>
          <w:numId w:val="2"/>
        </w:numPr>
        <w:spacing w:after="80" w:line="290"/>
      </w:pPr>
      <w:r>
        <w:t xml:space="preserve">Role and authority frameworks — DACI — which clarify who has what decision rights, eliminating the ambiguity that causes decisions to stall or be relitigated.</w:t>
      </w:r>
    </w:p>
    <w:p>
      <w:pPr>
        <w:pStyle w:val="ListParagraph"/>
        <w:numPr>
          <w:ilvl w:val="0"/>
          <w:numId w:val="2"/>
        </w:numPr>
        <w:spacing w:after="80" w:line="290"/>
      </w:pPr>
      <w:r>
        <w:t xml:space="preserve">Evaluation frameworks — decision matrices, PoC/spike, technology radar, build vs. buy — which provide structured ways to compare options on multiple criteria.</w:t>
      </w:r>
    </w:p>
    <w:p>
      <w:pPr>
        <w:pStyle w:val="ListParagraph"/>
        <w:numPr>
          <w:ilvl w:val="0"/>
          <w:numId w:val="2"/>
        </w:numPr>
        <w:spacing w:after="80" w:line="290"/>
      </w:pPr>
      <w:r>
        <w:t xml:space="preserve">Meta-frameworks about decisions themselves — reversible vs. irreversible, decision fatigue and time-boxing — which shape how much process each decision deserves and how to protect your organization's collective decision-making capacity.</w:t>
      </w:r>
    </w:p>
    <w:p>
      <w:pPr>
        <w:pStyle w:val="Heading2"/>
      </w:pPr>
      <w:r>
        <w:t xml:space="preserve">How to Read This Guide</w:t>
      </w:r>
    </w:p>
    <w:p>
      <w:pPr>
        <w:spacing w:after="120" w:line="300"/>
        <w:jc w:val="both"/>
      </w:pPr>
      <w:r>
        <w:t xml:space="preserve">Read sequentially on first pass; the frameworks build on a shared vocabulary. Thereafter, treat the guide as a reference — jump to the framework that fits your current situation. Each chapter includes: the underlying concept, step-by-step application, a fully worked example, common pitfalls, and review questions for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F8D" w:sz="6"/>
              <w:left w:val="single" w:color="2D5F8D" w:sz="6"/>
              <w:bottom w:val="single" w:color="2D5F8D" w:sz="6"/>
              <w:right w:val="single" w:color="2D5F8D" w:sz="6"/>
            </w:tcBorders>
            <w:shd w:fill="DDE7F0" w:val="clear"/>
            <w:tcMar>
              <w:top w:type="dxa" w:w="160"/>
              <w:left w:type="dxa" w:w="200"/>
              <w:bottom w:type="dxa" w:w="160"/>
              <w:right w:type="dxa" w:w="200"/>
            </w:tcMar>
          </w:tcPr>
          <w:p>
            <w:pPr>
              <w:spacing w:after="80"/>
            </w:pPr>
            <w:r>
              <w:rPr>
                <w:b/>
                <w:bCs/>
                <w:color w:val="2D5F8D"/>
                <w:sz w:val="22"/>
                <w:szCs w:val="22"/>
              </w:rPr>
              <w:t xml:space="preserve">A Note on Dogma</w:t>
            </w:r>
          </w:p>
          <w:p>
            <w:pPr>
              <w:spacing w:after="120" w:line="300"/>
              <w:jc w:val="both"/>
            </w:pPr>
            <w:r>
              <w:t xml:space="preserve">No framework is universally correct. A weighted decision matrix is brilliant for comparing four database options; it is absurd for deciding whether to take a fifteen-minute break. A DACI chart is essential for a multi-team initiative; it is overkill for choosing a variable name. Match the framework to the decision. Good judgment about which framework to apply — and when to skip frameworks entirely — is itself the most valuable meta-skill this guide can teach.</w:t>
            </w:r>
          </w:p>
        </w:tc>
      </w:tr>
    </w:tbl>
    <w:p>
      <w:pPr>
        <w:pStyle w:val="Heading1"/>
        <w:pageBreakBefore/>
      </w:pPr>
      <w:r>
        <w:t xml:space="preserve">Chapter 1 — Architecture Decision Records (ADRs)</w:t>
      </w:r>
    </w:p>
    <w:p>
      <w:pPr>
        <w:pStyle w:val="Heading2"/>
      </w:pPr>
      <w:r>
        <w:t xml:space="preserve">1.1 The Problem ADRs Solve</w:t>
      </w:r>
    </w:p>
    <w:p>
      <w:pPr>
        <w:spacing w:after="120" w:line="300"/>
        <w:jc w:val="both"/>
      </w:pPr>
      <w:r>
        <w:t xml:space="preserve">Software architecture decisions are made constantly: should we use PostgreSQL or DynamoDB, REST or gRPC, a monolith or microservices, server-rendered or single-page app, events or request/response, this library or that one, this cloud or another. Each decision constrains future decisions. Each carries tradeoffs that were obvious at the time and utterly invisible six months later when a new engineer asks 'why on earth did we choose this?' and no one remembers.</w:t>
      </w:r>
    </w:p>
    <w:p>
      <w:pPr>
        <w:spacing w:after="120" w:line="300"/>
        <w:jc w:val="both"/>
      </w:pPr>
      <w:r>
        <w:t xml:space="preserve">Without a durable record, three bad patterns emerge. First, decisions get re-litigated; a junior engineer, not knowing why REST was chosen over gRPC, proposes switching, and the team spends hours rediscovering arguments that were settled a year ago. Second, decisions get reversed casually; because no one documented the reasons for the original choice, the tradeoffs the original team understood are silently abandoned. Third, the institutional memory walks out the door when people leave; decisions that took days of discussion evaporate with the team members who made them.</w:t>
      </w:r>
    </w:p>
    <w:p>
      <w:pPr>
        <w:spacing w:after="120" w:line="300"/>
        <w:jc w:val="both"/>
      </w:pPr>
      <w:r>
        <w:t xml:space="preserve">An Architecture Decision Record (ADR) is a short, structured document — typically one to three pages — capturing a single significant technical decision, its context, the alternatives considered, and the consequences accepted. The format was popularized by Michael Nygard in a 2011 essay ('Documenting Architecture Decisions') and has since become a standard practice at organizations ranging from ThoughtWorks to Spotify to government engineering teams.</w:t>
      </w:r>
    </w:p>
    <w:p>
      <w:pPr>
        <w:pStyle w:val="Heading2"/>
      </w:pPr>
      <w:r>
        <w:t xml:space="preserve">1.2 The Classic ADR Structure (Nygard Format)</w:t>
      </w:r>
    </w:p>
    <w:p>
      <w:pPr>
        <w:spacing w:after="120" w:line="300"/>
        <w:jc w:val="both"/>
      </w:pPr>
      <w:r>
        <w:t xml:space="preserve">Nygard proposed five sections. They are deliberately minimal: the goal is a document short enough that people will actually write and read it.</w:t>
      </w:r>
    </w:p>
    <w:p>
      <w:pPr>
        <w:pStyle w:val="Heading4"/>
      </w:pPr>
      <w:r>
        <w:t xml:space="preserve">Title</w:t>
      </w:r>
    </w:p>
    <w:p>
      <w:pPr>
        <w:spacing w:after="120" w:line="300"/>
        <w:jc w:val="both"/>
      </w:pPr>
      <w:r>
        <w:t xml:space="preserve">A short noun phrase identifying the decision, prefixed with a sequence number. Example: 'ADR-0017: Use PostgreSQL as the Primary Transactional Database.' The title should be declarative, naming the decision itself, not the question. 'Which database to use' is a question; 'Use PostgreSQL' is a decision.</w:t>
      </w:r>
    </w:p>
    <w:p>
      <w:pPr>
        <w:pStyle w:val="Heading4"/>
      </w:pPr>
      <w:r>
        <w:t xml:space="preserve">Status</w:t>
      </w:r>
    </w:p>
    <w:p>
      <w:pPr>
        <w:spacing w:after="120" w:line="300"/>
        <w:jc w:val="both"/>
      </w:pPr>
      <w:r>
        <w:t xml:space="preserve">One of: Proposed, Accepted, Deprecated, Superseded. Status evolves: a proposed ADR becomes accepted after the decision is approved; it becomes superseded (with a pointer to its replacement) when a later ADR reverses or replaces the decision. Status is the ADR's lifecycle: it prevents readers from treating a historical ADR as current guidance.</w:t>
      </w:r>
    </w:p>
    <w:p>
      <w:pPr>
        <w:pStyle w:val="Heading4"/>
      </w:pPr>
      <w:r>
        <w:t xml:space="preserve">Context</w:t>
      </w:r>
    </w:p>
    <w:p>
      <w:pPr>
        <w:spacing w:after="120" w:line="300"/>
        <w:jc w:val="both"/>
      </w:pPr>
      <w:r>
        <w:t xml:space="preserve">The situation that forced the decision. This section answers: why was this decision necessary at all? What constraints were we operating under? What forces (technical, organizational, temporal, economic) were pushing in different directions? The context is the most important section for future readers, because it tells them whether the decision's assumptions still hold. A decision correct in 2020 given 2020's context may be wrong in 2026 if the context has changed — and without a recorded context, no one can tell.</w:t>
      </w:r>
    </w:p>
    <w:p>
      <w:pPr>
        <w:pStyle w:val="Heading4"/>
      </w:pPr>
      <w:r>
        <w:t xml:space="preserve">Decision</w:t>
      </w:r>
    </w:p>
    <w:p>
      <w:pPr>
        <w:spacing w:after="120" w:line="300"/>
        <w:jc w:val="both"/>
      </w:pPr>
      <w:r>
        <w:t xml:space="preserve">The decision itself, stated as clearly and concretely as possible. 'We will use PostgreSQL 15 as the primary OLTP database for the orders service, with read replicas in two regions.' Concrete. Unambiguous. Not 'we will probably use Postgres going forward' or 'Postgres is preferred.' A decision, committed to, in a single clear sentence or paragraph.</w:t>
      </w:r>
    </w:p>
    <w:p>
      <w:pPr>
        <w:pStyle w:val="Heading4"/>
      </w:pPr>
      <w:r>
        <w:t xml:space="preserve">Consequences</w:t>
      </w:r>
    </w:p>
    <w:p>
      <w:pPr>
        <w:spacing w:after="120" w:line="300"/>
        <w:jc w:val="both"/>
      </w:pPr>
      <w:r>
        <w:t xml:space="preserve">What becomes easier, what becomes harder, and what is now locked in. Consequences are honest about tradeoffs: almost no decision is pure upside. 'We commit to the relational model, which means schema migrations will require care; we gain ACID transactions; we take on an operational dependency on Postgres expertise; we lose the flexibility of schema-less storage.' Consequences tell the future reader what the team traded away.</w:t>
      </w:r>
    </w:p>
    <w:p>
      <w:pPr>
        <w:pStyle w:val="Heading2"/>
      </w:pPr>
      <w:r>
        <w:t xml:space="preserve">1.3 Common Extensions</w:t>
      </w:r>
    </w:p>
    <w:p>
      <w:pPr>
        <w:spacing w:after="120" w:line="300"/>
        <w:jc w:val="both"/>
      </w:pPr>
      <w:r>
        <w:t xml:space="preserve">Many teams extend Nygard's minimal format. The most useful additions:</w:t>
      </w:r>
    </w:p>
    <w:p>
      <w:pPr>
        <w:pStyle w:val="ListParagraph"/>
        <w:numPr>
          <w:ilvl w:val="0"/>
          <w:numId w:val="2"/>
        </w:numPr>
        <w:spacing w:after="80" w:line="290"/>
      </w:pPr>
      <w:r>
        <w:t xml:space="preserve">Alternatives Considered — an explicit list of options that were rejected, with a brief rationale for each rejection. This is perhaps the single most valuable extension: it tells future readers 'we thought about X, and here's why it didn't work' — preventing re-litigation.</w:t>
      </w:r>
    </w:p>
    <w:p>
      <w:pPr>
        <w:pStyle w:val="ListParagraph"/>
        <w:numPr>
          <w:ilvl w:val="0"/>
          <w:numId w:val="2"/>
        </w:numPr>
        <w:spacing w:after="80" w:line="290"/>
      </w:pPr>
      <w:r>
        <w:t xml:space="preserve">Decision Drivers — the 2-5 most important criteria that drove the decision. Making these explicit forces clarity about what the team actually valued.</w:t>
      </w:r>
    </w:p>
    <w:p>
      <w:pPr>
        <w:pStyle w:val="ListParagraph"/>
        <w:numPr>
          <w:ilvl w:val="0"/>
          <w:numId w:val="2"/>
        </w:numPr>
        <w:spacing w:after="80" w:line="290"/>
      </w:pPr>
      <w:r>
        <w:t xml:space="preserve">Participants — who was involved in the decision, and who formally accepted it. Useful for auditability and for tracing whom to consult later.</w:t>
      </w:r>
    </w:p>
    <w:p>
      <w:pPr>
        <w:pStyle w:val="ListParagraph"/>
        <w:numPr>
          <w:ilvl w:val="0"/>
          <w:numId w:val="2"/>
        </w:numPr>
        <w:spacing w:after="80" w:line="290"/>
      </w:pPr>
      <w:r>
        <w:t xml:space="preserve">Date — the date of the decision. Essential for reading the ADR in historical context.</w:t>
      </w:r>
    </w:p>
    <w:p>
      <w:pPr>
        <w:pStyle w:val="ListParagraph"/>
        <w:numPr>
          <w:ilvl w:val="0"/>
          <w:numId w:val="2"/>
        </w:numPr>
        <w:spacing w:after="80" w:line="290"/>
      </w:pPr>
      <w:r>
        <w:t xml:space="preserve">Related ADRs — links to preceding, superseding, or dependent ADRs. Turns the collection of ADRs into a navigable graph.</w:t>
      </w:r>
    </w:p>
    <w:p>
      <w:pPr>
        <w:pStyle w:val="Heading2"/>
      </w:pPr>
      <w:r>
        <w:t xml:space="preserve">1.4 A Fully Worked ADR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F8D" w:sz="6"/>
              <w:left w:val="single" w:color="2D5F8D" w:sz="6"/>
              <w:bottom w:val="single" w:color="2D5F8D" w:sz="6"/>
              <w:right w:val="single" w:color="2D5F8D" w:sz="6"/>
            </w:tcBorders>
            <w:shd w:fill="FFF4E6" w:val="clear"/>
            <w:tcMar>
              <w:top w:type="dxa" w:w="160"/>
              <w:left w:type="dxa" w:w="200"/>
              <w:bottom w:type="dxa" w:w="160"/>
              <w:right w:type="dxa" w:w="200"/>
            </w:tcMar>
          </w:tcPr>
          <w:p>
            <w:pPr>
              <w:spacing w:after="80"/>
            </w:pPr>
            <w:r>
              <w:rPr>
                <w:b/>
                <w:bCs/>
                <w:color w:val="2D5F8D"/>
                <w:sz w:val="22"/>
                <w:szCs w:val="22"/>
              </w:rPr>
              <w:t xml:space="preserve">Sample ADR</w:t>
            </w:r>
          </w:p>
          <w:p>
            <w:pPr>
              <w:spacing w:after="120" w:line="300"/>
              <w:jc w:val="both"/>
            </w:pPr>
            <w:r>
              <w:rPr>
                <w:b/>
                <w:bCs/>
                <w:sz w:val="26"/>
                <w:szCs w:val="26"/>
              </w:rPr>
              <w:t xml:space="preserve">ADR-0023: Adopt Event-Driven Communication Between Order and Inventory Services</w:t>
            </w:r>
          </w:p>
          <w:p>
            <w:pPr>
              <w:spacing w:after="120"/>
            </w:pPr>
            <w:r>
              <w:t xml:space="preserve"/>
            </w:r>
          </w:p>
          <w:p>
            <w:pPr>
              <w:spacing w:after="120" w:line="300"/>
              <w:jc w:val="both"/>
            </w:pPr>
            <w:r>
              <w:rPr>
                <w:b/>
                <w:bCs/>
              </w:rPr>
              <w:t xml:space="preserve">Status: </w:t>
            </w:r>
            <w:r>
              <w:t xml:space="preserve">Accepted (2026-03-14)</w:t>
            </w:r>
          </w:p>
          <w:p>
            <w:pPr>
              <w:spacing w:after="120" w:line="300"/>
              <w:jc w:val="both"/>
            </w:pPr>
            <w:r>
              <w:rPr>
                <w:b/>
                <w:bCs/>
              </w:rPr>
              <w:t xml:space="preserve">Participants: </w:t>
            </w:r>
            <w:r>
              <w:t xml:space="preserve">Orders Team, Inventory Team, Platform Architecture, approved by @jchen (VP Engineering)</w:t>
            </w:r>
          </w:p>
          <w:p>
            <w:pPr>
              <w:spacing w:after="120" w:line="300"/>
              <w:jc w:val="both"/>
            </w:pPr>
            <w:r>
              <w:rPr>
                <w:b/>
                <w:bCs/>
              </w:rPr>
              <w:t xml:space="preserve">Supersedes: </w:t>
            </w:r>
            <w:r>
              <w:t xml:space="preserve">ADR-0011 (Synchronous HTTP between order and inventory)</w:t>
            </w:r>
          </w:p>
        </w:tc>
      </w:tr>
    </w:tbl>
    <w:p>
      <w:pPr>
        <w:pStyle w:val="Heading4"/>
      </w:pPr>
      <w:r>
        <w:t xml:space="preserve">Context</w:t>
      </w:r>
    </w:p>
    <w:p>
      <w:pPr>
        <w:spacing w:after="120" w:line="300"/>
        <w:jc w:val="both"/>
      </w:pPr>
      <w:r>
        <w:t xml:space="preserve">The Order service currently calls the Inventory service synchronously over HTTP to decrement stock during checkout. This coupling has produced three distinct problems over the past six months: (1) when Inventory has degraded latency, Order latency degrades 1:1 — we have seen Order p99 latency spike from 200ms to 3.5s during inventory incidents; (2) network blips between services cause ~0.4% of legitimate orders to fail and require manual recovery; (3) the Inventory team has blocked Order deploys several times because their service was undergoing maintenance.</w:t>
      </w:r>
    </w:p>
    <w:p>
      <w:pPr>
        <w:spacing w:after="120" w:line="300"/>
        <w:jc w:val="both"/>
      </w:pPr>
      <w:r>
        <w:t xml:space="preserve">We are currently processing approximately 1.8M orders/day, growing 7% month-over-month. Black Friday planning suggests 4-6x peak multipliers on the current baseline. The synchronous coupling is unlikely to scale.</w:t>
      </w:r>
    </w:p>
    <w:p>
      <w:pPr>
        <w:spacing w:after="120" w:line="300"/>
        <w:jc w:val="both"/>
      </w:pPr>
      <w:r>
        <w:t xml:space="preserve">The Order service must remain authoritative about order creation: we cannot lose orders even if Inventory is down. However, inventory-level consistency can tolerate eventual consistency within seconds.</w:t>
      </w:r>
    </w:p>
    <w:p>
      <w:pPr>
        <w:pStyle w:val="Heading4"/>
      </w:pPr>
      <w:r>
        <w:t xml:space="preserve">Decision Drivers</w:t>
      </w:r>
    </w:p>
    <w:p>
      <w:pPr>
        <w:pStyle w:val="ListParagraph"/>
        <w:numPr>
          <w:ilvl w:val="0"/>
          <w:numId w:val="2"/>
        </w:numPr>
        <w:spacing w:after="80" w:line="290"/>
      </w:pPr>
      <w:r>
        <w:t xml:space="preserve">Availability — the Order service must stay up even if Inventory is degraded.</w:t>
      </w:r>
    </w:p>
    <w:p>
      <w:pPr>
        <w:pStyle w:val="ListParagraph"/>
        <w:numPr>
          <w:ilvl w:val="0"/>
          <w:numId w:val="2"/>
        </w:numPr>
        <w:spacing w:after="80" w:line="290"/>
      </w:pPr>
      <w:r>
        <w:t xml:space="preserve">Throughput — must handle projected Black Friday peak with linear scaling.</w:t>
      </w:r>
    </w:p>
    <w:p>
      <w:pPr>
        <w:pStyle w:val="ListParagraph"/>
        <w:numPr>
          <w:ilvl w:val="0"/>
          <w:numId w:val="2"/>
        </w:numPr>
        <w:spacing w:after="80" w:line="290"/>
      </w:pPr>
      <w:r>
        <w:t xml:space="preserve">Team autonomy — teams should be able to deploy independently.</w:t>
      </w:r>
    </w:p>
    <w:p>
      <w:pPr>
        <w:pStyle w:val="ListParagraph"/>
        <w:numPr>
          <w:ilvl w:val="0"/>
          <w:numId w:val="2"/>
        </w:numPr>
        <w:spacing w:after="80" w:line="290"/>
      </w:pPr>
      <w:r>
        <w:t xml:space="preserve">Operational complexity — we want to avoid introducing a second class of failure modes we cannot debug.</w:t>
      </w:r>
    </w:p>
    <w:p>
      <w:pPr>
        <w:pStyle w:val="Heading4"/>
      </w:pPr>
      <w:r>
        <w:t xml:space="preserve">Decision</w:t>
      </w:r>
    </w:p>
    <w:p>
      <w:pPr>
        <w:spacing w:after="120" w:line="300"/>
        <w:jc w:val="both"/>
      </w:pPr>
      <w:r>
        <w:t xml:space="preserve">We will adopt event-driven communication between the Order and Inventory services using our existing Kafka cluster. When an order is placed, the Order service will publish an OrderPlaced event to the orders.v1 topic. The Inventory service will consume this event asynchronously and update stock. The Order service will no longer wait for an inventory response to confirm the order.</w:t>
      </w:r>
    </w:p>
    <w:p>
      <w:pPr>
        <w:spacing w:after="120" w:line="300"/>
        <w:jc w:val="both"/>
      </w:pPr>
      <w:r>
        <w:t xml:space="preserve">To handle inventory-shortage cases (where an order is placed for an item that becomes oversold), the Inventory service will publish an InventoryInsufficient event; the Order service will consume this and trigger the existing out-of-stock workflow (partial refund, customer notification, reorder suggestion).</w:t>
      </w:r>
    </w:p>
    <w:p>
      <w:pPr>
        <w:pStyle w:val="Heading4"/>
      </w:pPr>
      <w:r>
        <w:t xml:space="preserve">Alternatives Considered</w:t>
      </w:r>
    </w:p>
    <w:p>
      <w:pPr>
        <w:pStyle w:val="ListParagraph"/>
        <w:numPr>
          <w:ilvl w:val="0"/>
          <w:numId w:val="2"/>
        </w:numPr>
        <w:spacing w:after="80" w:line="290"/>
      </w:pPr>
      <w:r>
        <w:t xml:space="preserve">Keep synchronous HTTP but add aggressive retry/circuit-breaker logic. Rejected: addresses transient failures but does not solve the peak-load coupling or the deploy-blocking problem. Also adds complexity without solving the core architectural issue.</w:t>
      </w:r>
    </w:p>
    <w:p>
      <w:pPr>
        <w:pStyle w:val="ListParagraph"/>
        <w:numPr>
          <w:ilvl w:val="0"/>
          <w:numId w:val="2"/>
        </w:numPr>
        <w:spacing w:after="80" w:line="290"/>
      </w:pPr>
      <w:r>
        <w:t xml:space="preserve">Move to synchronous gRPC with streaming. Rejected: changes the wire protocol but preserves the fundamental coupling.</w:t>
      </w:r>
    </w:p>
    <w:p>
      <w:pPr>
        <w:pStyle w:val="ListParagraph"/>
        <w:numPr>
          <w:ilvl w:val="0"/>
          <w:numId w:val="2"/>
        </w:numPr>
        <w:spacing w:after="80" w:line="290"/>
      </w:pPr>
      <w:r>
        <w:t xml:space="preserve">Adopt a saga pattern with a dedicated orchestrator service. Rejected: adds a new service (operational cost) when the required coordination is simple enough for choreography.</w:t>
      </w:r>
    </w:p>
    <w:p>
      <w:pPr>
        <w:pStyle w:val="ListParagraph"/>
        <w:numPr>
          <w:ilvl w:val="0"/>
          <w:numId w:val="2"/>
        </w:numPr>
        <w:spacing w:after="80" w:line="290"/>
      </w:pPr>
      <w:r>
        <w:t xml:space="preserve">Use a purpose-built message bus (e.g., AWS SQS/SNS, RabbitMQ). Rejected: we already operate Kafka for other event streams, and the Order/Inventory coordination does not require features beyond Kafka's.</w:t>
      </w:r>
    </w:p>
    <w:p>
      <w:pPr>
        <w:pStyle w:val="Heading4"/>
      </w:pPr>
      <w:r>
        <w:t xml:space="preserve">Consequences</w:t>
      </w:r>
    </w:p>
    <w:p>
      <w:pPr>
        <w:pStyle w:val="ListParagraph"/>
        <w:numPr>
          <w:ilvl w:val="0"/>
          <w:numId w:val="2"/>
        </w:numPr>
        <w:spacing w:after="80" w:line="290"/>
      </w:pPr>
      <w:r>
        <w:t xml:space="preserve">Positive: Order service becomes available independent of Inventory. Peak-load scaling decouples: Inventory can lag briefly without Order users experiencing failures.</w:t>
      </w:r>
    </w:p>
    <w:p>
      <w:pPr>
        <w:pStyle w:val="ListParagraph"/>
        <w:numPr>
          <w:ilvl w:val="0"/>
          <w:numId w:val="2"/>
        </w:numPr>
        <w:spacing w:after="80" w:line="290"/>
      </w:pPr>
      <w:r>
        <w:t xml:space="preserve">Positive: Teams can deploy independently; Inventory maintenance no longer blocks Order deploys.</w:t>
      </w:r>
    </w:p>
    <w:p>
      <w:pPr>
        <w:pStyle w:val="ListParagraph"/>
        <w:numPr>
          <w:ilvl w:val="0"/>
          <w:numId w:val="2"/>
        </w:numPr>
        <w:spacing w:after="80" w:line="290"/>
      </w:pPr>
      <w:r>
        <w:t xml:space="preserve">Positive: The event stream becomes a reusable integration point — future services (analytics, fraud, recommendations) can subscribe without further Order changes.</w:t>
      </w:r>
    </w:p>
    <w:p>
      <w:pPr>
        <w:pStyle w:val="ListParagraph"/>
        <w:numPr>
          <w:ilvl w:val="0"/>
          <w:numId w:val="2"/>
        </w:numPr>
        <w:spacing w:after="80" w:line="290"/>
      </w:pPr>
      <w:r>
        <w:t xml:space="preserve">Negative: We accept eventual consistency for inventory levels — briefly, an item may appear in stock on the Order service after it has been decremented elsewhere. We mitigate this via pessimistic checks at fulfillment time.</w:t>
      </w:r>
    </w:p>
    <w:p>
      <w:pPr>
        <w:pStyle w:val="ListParagraph"/>
        <w:numPr>
          <w:ilvl w:val="0"/>
          <w:numId w:val="2"/>
        </w:numPr>
        <w:spacing w:after="80" w:line="290"/>
      </w:pPr>
      <w:r>
        <w:t xml:space="preserve">Negative: Debugging cross-service flows becomes harder. We must invest in distributed tracing and event replay tooling.</w:t>
      </w:r>
    </w:p>
    <w:p>
      <w:pPr>
        <w:pStyle w:val="ListParagraph"/>
        <w:numPr>
          <w:ilvl w:val="0"/>
          <w:numId w:val="2"/>
        </w:numPr>
        <w:spacing w:after="80" w:line="290"/>
      </w:pPr>
      <w:r>
        <w:t xml:space="preserve">Negative: The oversold/out-of-stock flow is now compensating rather than preventive. We estimate this will affect 0.05-0.1% of orders during peak and must be operationally acceptable to the fulfillment team.</w:t>
      </w:r>
    </w:p>
    <w:p>
      <w:pPr>
        <w:pStyle w:val="ListParagraph"/>
        <w:numPr>
          <w:ilvl w:val="0"/>
          <w:numId w:val="2"/>
        </w:numPr>
        <w:spacing w:after="80" w:line="290"/>
      </w:pPr>
      <w:r>
        <w:t xml:space="preserve">Locked in: Kafka becomes an operational dependency for a customer-path service, raising the reliability bar for our Kafka cluster.</w:t>
      </w:r>
    </w:p>
    <w:p>
      <w:pPr>
        <w:pStyle w:val="Heading2"/>
      </w:pPr>
      <w:r>
        <w:t xml:space="preserve">1.5 Where to Store ADRs</w:t>
      </w:r>
    </w:p>
    <w:p>
      <w:pPr>
        <w:spacing w:after="120" w:line="300"/>
        <w:jc w:val="both"/>
      </w:pPr>
      <w:r>
        <w:t xml:space="preserve">ADRs belong in version control, alongside the code whose decisions they document. Typically: a /docs/adr/ directory in the relevant repository, with files named adr-0001-use-postgresql.md, adr-0002-...-.md. This placement has three advantages: (1) ADRs are reviewed via the same pull-request process as code, inviting engagement; (2) ADRs are versioned, so you can see their history of edits; (3) ADRs travel with the code, so a repository is self-documenting about its own decisions.</w:t>
      </w:r>
    </w:p>
    <w:p>
      <w:pPr>
        <w:spacing w:after="120" w:line="300"/>
        <w:jc w:val="both"/>
      </w:pPr>
      <w:r>
        <w:t xml:space="preserve">For decisions that span repositories — organization-wide choices like 'we use gRPC for internal service communication' — keep a central ADR repository (a /architecture-decisions repo or a dedicated wiki space). Link from individual service repositories to the relevant organization-wide ADRs.</w:t>
      </w:r>
    </w:p>
    <w:p>
      <w:pPr>
        <w:pStyle w:val="Heading2"/>
      </w:pPr>
      <w:r>
        <w:t xml:space="preserve">1.6 When to Write an ADR (and When Not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D5F8D" w:val="clear"/>
            <w:tcMar>
              <w:top w:type="dxa" w:w="100"/>
              <w:left w:type="dxa" w:w="140"/>
              <w:bottom w:type="dxa" w:w="100"/>
              <w:right w:type="dxa" w:w="140"/>
            </w:tcMar>
          </w:tcPr>
          <w:p>
            <w:r>
              <w:rPr>
                <w:b/>
                <w:bCs/>
                <w:color w:val="FFFFFF"/>
              </w:rPr>
              <w:t xml:space="preserve">Write an ADR When...</w:t>
            </w:r>
          </w:p>
        </w:tc>
        <w:tc>
          <w:tcPr>
            <w:tcW w:type="dxa" w:w="4680"/>
            <w:tcBorders>
              <w:top w:val="single" w:color="BFBFBF" w:sz="4"/>
              <w:left w:val="single" w:color="BFBFBF" w:sz="4"/>
              <w:bottom w:val="single" w:color="BFBFBF" w:sz="4"/>
              <w:right w:val="single" w:color="BFBFBF" w:sz="4"/>
            </w:tcBorders>
            <w:shd w:fill="2D5F8D" w:val="clear"/>
            <w:tcMar>
              <w:top w:type="dxa" w:w="100"/>
              <w:left w:type="dxa" w:w="140"/>
              <w:bottom w:type="dxa" w:w="100"/>
              <w:right w:type="dxa" w:w="140"/>
            </w:tcMar>
          </w:tcPr>
          <w:p>
            <w:r>
              <w:rPr>
                <w:b/>
                <w:bCs/>
                <w:color w:val="FFFFFF"/>
              </w:rPr>
              <w:t xml:space="preserve">Don't Bother When...</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The decision will affect multiple teams or services.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The decision is local to a single function or class — use code comments.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The decision is costly or difficult to reverse.</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The decision is trivially reversible in a single commit.</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You can imagine future readers asking 'why on earth did they choose this?'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The choice is obvious and would be chosen by any competent engineer.</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The decision reflects a real tradeoff — the alternatives had genuine merit.</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There were no serious alternatives.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The decision introduces a new constraint on future work.</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The decision follows directly from a previously documented one.</w:t>
            </w:r>
          </w:p>
        </w:tc>
      </w:tr>
    </w:tbl>
    <w:p>
      <w:pPr>
        <w:spacing w:after="120"/>
      </w:pPr>
      <w:r>
        <w:t xml:space="preserve"/>
      </w:r>
    </w:p>
    <w:p>
      <w:pPr>
        <w:pStyle w:val="Heading2"/>
      </w:pPr>
      <w:r>
        <w:t xml:space="preserve">1.7 Pitfalls</w:t>
      </w:r>
    </w:p>
    <w:p>
      <w:pPr>
        <w:pStyle w:val="ListParagraph"/>
        <w:numPr>
          <w:ilvl w:val="0"/>
          <w:numId w:val="2"/>
        </w:numPr>
        <w:spacing w:after="80" w:line="290"/>
      </w:pPr>
      <w:r>
        <w:t xml:space="preserve">ADR rot — ADRs that describe the state years ago and have never been updated. Mitigation: use the Status field aggressively; when a decision is reversed, mark the old ADR Superseded and link to its replacement. Never silently change an ADR to match new reality.</w:t>
      </w:r>
    </w:p>
    <w:p>
      <w:pPr>
        <w:pStyle w:val="ListParagraph"/>
        <w:numPr>
          <w:ilvl w:val="0"/>
          <w:numId w:val="2"/>
        </w:numPr>
        <w:spacing w:after="80" w:line="290"/>
      </w:pPr>
      <w:r>
        <w:t xml:space="preserve">ADR theater — writing ADRs purely for compliance, with boilerplate that says nothing. The smell: consequences sections that contain only positives, or contexts that restate the decision. Mitigation: require a skeptic to review every ADR and push back on missing tradeoffs.</w:t>
      </w:r>
    </w:p>
    <w:p>
      <w:pPr>
        <w:pStyle w:val="ListParagraph"/>
        <w:numPr>
          <w:ilvl w:val="0"/>
          <w:numId w:val="2"/>
        </w:numPr>
        <w:spacing w:after="80" w:line="290"/>
      </w:pPr>
      <w:r>
        <w:t xml:space="preserve">ADR sprawl — every trivial decision generating an ADR. Mitigation: raise the bar. ADRs are for architecturally significant decisions; everything else belongs in code comments, runbooks, or ordinary documentation.</w:t>
      </w:r>
    </w:p>
    <w:p>
      <w:pPr>
        <w:pStyle w:val="ListParagraph"/>
        <w:numPr>
          <w:ilvl w:val="0"/>
          <w:numId w:val="2"/>
        </w:numPr>
        <w:spacing w:after="80" w:line="290"/>
      </w:pPr>
      <w:r>
        <w:t xml:space="preserve">Orphan ADRs — an ADR exists but no one can find it. Mitigation: a centralized index page listing all ADRs in the organization, updated automatically from the repositories.</w:t>
      </w:r>
    </w:p>
    <w:p>
      <w:pPr>
        <w:pStyle w:val="ListParagraph"/>
        <w:numPr>
          <w:ilvl w:val="0"/>
          <w:numId w:val="2"/>
        </w:numPr>
        <w:spacing w:after="80" w:line="290"/>
      </w:pPr>
      <w:r>
        <w:t xml:space="preserve">Retroactive ADRs only — only writing ADRs after the fact. Mitigation: require a proposed-status ADR before major architectural work begins, so that the ADR functions as a decision-making tool, not just a historical record.</w:t>
      </w:r>
    </w:p>
    <w:p>
      <w:pPr>
        <w:pStyle w:val="Heading2"/>
      </w:pPr>
      <w:r>
        <w:t xml:space="preserve">1.8 Review Questions</w:t>
      </w:r>
    </w:p>
    <w:p>
      <w:pPr>
        <w:pStyle w:val="ListParagraph"/>
        <w:numPr>
          <w:ilvl w:val="0"/>
          <w:numId w:val="3"/>
        </w:numPr>
        <w:spacing w:after="80" w:line="290"/>
      </w:pPr>
      <w:r>
        <w:t xml:space="preserve">What is the single most important section of an ADR for a future reader, and why?</w:t>
      </w:r>
    </w:p>
    <w:p>
      <w:pPr>
        <w:pStyle w:val="ListParagraph"/>
        <w:numPr>
          <w:ilvl w:val="0"/>
          <w:numId w:val="3"/>
        </w:numPr>
        <w:spacing w:after="80" w:line="290"/>
      </w:pPr>
      <w:r>
        <w:t xml:space="preserve">Rewrite this as a proper ADR decision statement: 'We're probably going to use Redis for caching because it seems fast.'</w:t>
      </w:r>
    </w:p>
    <w:p>
      <w:pPr>
        <w:pStyle w:val="ListParagraph"/>
        <w:numPr>
          <w:ilvl w:val="0"/>
          <w:numId w:val="3"/>
        </w:numPr>
        <w:spacing w:after="80" w:line="290"/>
      </w:pPr>
      <w:r>
        <w:t xml:space="preserve">An ADR from 2023 says 'We will use AWS Lambda for all asynchronous processing.' In 2026, your team is running most new workloads on Kubernetes. What should happen to the ADR?</w:t>
      </w:r>
    </w:p>
    <w:p>
      <w:pPr>
        <w:pStyle w:val="ListParagraph"/>
        <w:numPr>
          <w:ilvl w:val="0"/>
          <w:numId w:val="3"/>
        </w:numPr>
        <w:spacing w:after="80" w:line="290"/>
      </w:pPr>
      <w:r>
        <w:t xml:space="preserve">Give two examples of decisions that are too small to warrant an ADR and two that clearly deserve one.</w:t>
      </w:r>
    </w:p>
    <w:p>
      <w:pPr>
        <w:pStyle w:val="Heading1"/>
        <w:pageBreakBefore/>
      </w:pPr>
      <w:r>
        <w:t xml:space="preserve">Chapter 2 — The DACI Framework</w:t>
      </w:r>
    </w:p>
    <w:p>
      <w:pPr>
        <w:pStyle w:val="Heading2"/>
      </w:pPr>
      <w:r>
        <w:t xml:space="preserve">2.1 The Problem of Unclear Authority</w:t>
      </w:r>
    </w:p>
    <w:p>
      <w:pPr>
        <w:spacing w:after="120" w:line="300"/>
        <w:jc w:val="both"/>
      </w:pPr>
      <w:r>
        <w:t xml:space="preserve">When a decision involves more than one person, the most common failure mode is not bad judgment — it is unclear authority. Who decides? Must we all agree? If we disagree, who breaks the tie? Who must be consulted before we commit? Who needs to hear the outcome afterward? When these questions are unanswered, decisions stall in meetings, get reopened endlessly, or get made unilaterally by whoever is most assertive.</w:t>
      </w:r>
    </w:p>
    <w:p>
      <w:pPr>
        <w:spacing w:after="120" w:line="300"/>
        <w:jc w:val="both"/>
      </w:pPr>
      <w:r>
        <w:t xml:space="preserve">DACI is a lightweight framework — originating at Intuit and popularized by Atlassian — that makes these roles explicit. For any non-trivial decision, you identify one person (or small group) for each of four roles: Driver, Approver, Contributor, Informed. Assigning DACI takes minutes; it prevents weeks of meeting churn.</w:t>
      </w:r>
    </w:p>
    <w:p>
      <w:pPr>
        <w:pStyle w:val="Heading2"/>
      </w:pPr>
      <w:r>
        <w:t xml:space="preserve">2.2 The Four Roles</w:t>
      </w:r>
    </w:p>
    <w:p>
      <w:pPr>
        <w:pStyle w:val="Heading3"/>
      </w:pPr>
      <w:r>
        <w:t xml:space="preserve">D — Driver</w:t>
      </w:r>
    </w:p>
    <w:p>
      <w:pPr>
        <w:spacing w:after="120" w:line="300"/>
        <w:jc w:val="both"/>
      </w:pPr>
      <w:r>
        <w:t xml:space="preserve">The person responsible for making the decision happen. The Driver identifies and frames the problem, gathers input, evaluates options, and drives the process to a conclusion. The Driver does not necessarily have authority to decide — they have authority to run the decision process. Think of the Driver as the project manager of the decision itself.</w:t>
      </w:r>
    </w:p>
    <w:p>
      <w:pPr>
        <w:spacing w:after="120" w:line="300"/>
        <w:jc w:val="both"/>
      </w:pPr>
      <w:r>
        <w:t xml:space="preserve">A good Driver is organized, has time to focus on the decision, understands the problem domain well enough to facilitate expert input, and has the social capital to convene the right people. There should be exactly one Driver — shared Drivership almost always produces stalemate.</w:t>
      </w:r>
    </w:p>
    <w:p>
      <w:pPr>
        <w:pStyle w:val="Heading3"/>
      </w:pPr>
      <w:r>
        <w:t xml:space="preserve">A — Approver</w:t>
      </w:r>
    </w:p>
    <w:p>
      <w:pPr>
        <w:spacing w:after="120" w:line="300"/>
        <w:jc w:val="both"/>
      </w:pPr>
      <w:r>
        <w:t xml:space="preserve">The person with formal authority to accept or reject the decision. When the Driver has assembled options and a recommendation, the Approver is the one who says yes or no. In most cases, the Approver delegates substantive judgment to the Driver and Contributors — they ratify rather than decide — but they retain the authority to push back if the proposal conflicts with broader strategy or constraints they have visibility into.</w:t>
      </w:r>
    </w:p>
    <w:p>
      <w:pPr>
        <w:spacing w:after="120" w:line="300"/>
        <w:jc w:val="both"/>
      </w:pPr>
      <w:r>
        <w:t xml:space="preserve">There should usually be exactly one Approver. Two Approvers produce gridlock; zero Approvers produce perpetual irresolution. The Approver is typically a single person in a position of authority over the relevant domain — a VP, a team lead, a product owner. For decisions affecting multiple domains, the Approver is whoever has authority spanning all of them, or the roles are split into sub-decisions.</w:t>
      </w:r>
    </w:p>
    <w:p>
      <w:pPr>
        <w:pStyle w:val="Heading3"/>
      </w:pPr>
      <w:r>
        <w:t xml:space="preserve">C — Contributor</w:t>
      </w:r>
    </w:p>
    <w:p>
      <w:pPr>
        <w:spacing w:after="120" w:line="300"/>
        <w:jc w:val="both"/>
      </w:pPr>
      <w:r>
        <w:t xml:space="preserve">People who provide expertise, input, or constraints. Contributors are consulted by the Driver. Their input shapes the decision, but they do not themselves approve or veto it — the Driver weighs their input and forms a recommendation. Contributors are typically domain experts (a security engineer on a data-handling decision, a finance partner on a cost-sensitive decision, a customer-facing engineer on a UX decision).</w:t>
      </w:r>
    </w:p>
    <w:p>
      <w:pPr>
        <w:spacing w:after="120" w:line="300"/>
        <w:jc w:val="both"/>
      </w:pPr>
      <w:r>
        <w:t xml:space="preserve">A decision should have enough Contributors to surface the relevant expertise — usually three to seven — but not so many that convening them becomes impossible. Resist the urge to make everyone a Contributor; the more Contributors, the slower the decision.</w:t>
      </w:r>
    </w:p>
    <w:p>
      <w:pPr>
        <w:pStyle w:val="Heading3"/>
      </w:pPr>
      <w:r>
        <w:t xml:space="preserve">I — Informed</w:t>
      </w:r>
    </w:p>
    <w:p>
      <w:pPr>
        <w:spacing w:after="120" w:line="300"/>
        <w:jc w:val="both"/>
      </w:pPr>
      <w:r>
        <w:t xml:space="preserve">People who need to know the decision after it is made, but are not consulted during the making. They include downstream teams whose work will be affected, stakeholders who have a legitimate interest in the outcome, and anyone who would be surprised and upset to learn of the decision second-hand.</w:t>
      </w:r>
    </w:p>
    <w:p>
      <w:pPr>
        <w:spacing w:after="120" w:line="300"/>
        <w:jc w:val="both"/>
      </w:pPr>
      <w:r>
        <w:t xml:space="preserve">Being Informed is not a consolation prize for those excluded from the decision; it is a distinct and important role. The Informed list drives the communication plan: once the decision is made, the Driver is responsible for making sure each person on this list is notified appropriately and promptly.</w:t>
      </w:r>
    </w:p>
    <w:p>
      <w:pPr>
        <w:pStyle w:val="Heading2"/>
      </w:pPr>
      <w:r>
        <w:t xml:space="preserve">2.3 DACI in Practice: A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F8D" w:sz="6"/>
              <w:left w:val="single" w:color="2D5F8D" w:sz="6"/>
              <w:bottom w:val="single" w:color="2D5F8D" w:sz="6"/>
              <w:right w:val="single" w:color="2D5F8D" w:sz="6"/>
            </w:tcBorders>
            <w:shd w:fill="FFF4E6" w:val="clear"/>
            <w:tcMar>
              <w:top w:type="dxa" w:w="160"/>
              <w:left w:type="dxa" w:w="200"/>
              <w:bottom w:type="dxa" w:w="160"/>
              <w:right w:type="dxa" w:w="200"/>
            </w:tcMar>
          </w:tcPr>
          <w:p>
            <w:pPr>
              <w:spacing w:after="80"/>
            </w:pPr>
            <w:r>
              <w:rPr>
                <w:b/>
                <w:bCs/>
                <w:color w:val="2D5F8D"/>
                <w:sz w:val="22"/>
                <w:szCs w:val="22"/>
              </w:rPr>
              <w:t xml:space="preserve">Decision: Migrate the Authentication Service from Bcrypt to Argon2id</w:t>
            </w:r>
          </w:p>
          <w:p>
            <w:pPr>
              <w:spacing w:after="120" w:line="300"/>
              <w:jc w:val="both"/>
            </w:pPr>
            <w:r>
              <w:rPr>
                <w:b/>
                <w:bCs/>
              </w:rPr>
              <w:t xml:space="preserve">Driver: </w:t>
            </w:r>
            <w:r>
              <w:t xml:space="preserve">Priya Shah (Senior Engineer, Platform Security)</w:t>
            </w:r>
          </w:p>
          <w:p>
            <w:pPr>
              <w:spacing w:after="120" w:line="300"/>
              <w:jc w:val="both"/>
            </w:pPr>
            <w:r>
              <w:rPr>
                <w:b/>
                <w:bCs/>
              </w:rPr>
              <w:t xml:space="preserve">Approver: </w:t>
            </w:r>
            <w:r>
              <w:t xml:space="preserve">Marcus Chen (Director, Platform)</w:t>
            </w:r>
          </w:p>
          <w:p>
            <w:pPr>
              <w:spacing w:after="120" w:line="300"/>
              <w:jc w:val="both"/>
            </w:pPr>
            <w:r>
              <w:rPr>
                <w:b/>
                <w:bCs/>
              </w:rPr>
              <w:t xml:space="preserve">Contributors: </w:t>
            </w:r>
            <w:r>
              <w:t xml:space="preserve">Lead Engineer (Auth team), Security architect, SRE representative, Performance engineer, Compliance officer</w:t>
            </w:r>
          </w:p>
          <w:p>
            <w:pPr>
              <w:spacing w:after="120" w:line="300"/>
              <w:jc w:val="both"/>
            </w:pPr>
            <w:r>
              <w:rPr>
                <w:b/>
                <w:bCs/>
              </w:rPr>
              <w:t xml:space="preserve">Informed: </w:t>
            </w:r>
            <w:r>
              <w:t xml:space="preserve">All Auth service consumers (8 teams), Customer Support leadership, Infrastructure cost team, Documentation team</w:t>
            </w:r>
          </w:p>
        </w:tc>
      </w:tr>
    </w:tbl>
    <w:p>
      <w:pPr>
        <w:spacing w:after="120" w:line="300"/>
        <w:jc w:val="both"/>
      </w:pPr>
      <w:r>
        <w:t xml:space="preserve">Walking through what each role actually does:</w:t>
      </w:r>
    </w:p>
    <w:p>
      <w:pPr>
        <w:spacing w:after="120" w:line="300"/>
        <w:jc w:val="both"/>
      </w:pPr>
      <w:r>
        <w:t xml:space="preserve">Priya, as Driver, owns the process. She writes the initial problem statement ('Our password hashing uses bcrypt with cost factor 10, which NIST and OWASP now consider insufficient for new applications'), identifies the alternatives (stay with bcrypt at higher cost, migrate to Argon2id, migrate to scrypt), schedules a 45-minute working session with Contributors, drafts a recommendation with tradeoffs, and shepherds the decision through Approver sign-off.</w:t>
      </w:r>
    </w:p>
    <w:p>
      <w:pPr>
        <w:spacing w:after="120" w:line="300"/>
        <w:jc w:val="both"/>
      </w:pPr>
      <w:r>
        <w:t xml:space="preserve">Marcus, as Approver, is not consulted on the specific hash algorithm — he trusts the Security team's judgment. But he has authority to approve the migration plan, including its cost impact (Argon2id uses more CPU) and its timeline (6 weeks of engineering time). When Priya presents the recommendation, Marcus reviews the risk, cost, and schedule; he asks clarifying questions; he either approves or asks for specific revisions.</w:t>
      </w:r>
    </w:p>
    <w:p>
      <w:pPr>
        <w:spacing w:after="120" w:line="300"/>
        <w:jc w:val="both"/>
      </w:pPr>
      <w:r>
        <w:t xml:space="preserve">Contributors provide their domain input. The Lead Engineer of the Auth team speaks to implementation feasibility. The Security architect weighs in on threat models. The SRE rep considers operational risk (can we roll back?). The Performance engineer measures the CPU impact (Argon2id is ~3x more expensive per verify, affecting login latency and cluster capacity). The Compliance officer ensures the change aligns with SOC 2 and ISO 27001 posture. None of them can unilaterally veto, but each provides input that must be addressed in the final recommendation.</w:t>
      </w:r>
    </w:p>
    <w:p>
      <w:pPr>
        <w:spacing w:after="120" w:line="300"/>
        <w:jc w:val="both"/>
      </w:pPr>
      <w:r>
        <w:t xml:space="preserve">Informed stakeholders — the eight downstream Auth consumers, Support leadership, etc. — hear about the decision through a clear communication: an email or Slack post summarizing the change, the rollout timeline, what (if any) action they need to take, and where to direct questions. They are not asked to approve; they are given the information they need to adapt.</w:t>
      </w:r>
    </w:p>
    <w:p>
      <w:pPr>
        <w:pStyle w:val="Heading2"/>
      </w:pPr>
      <w:r>
        <w:t xml:space="preserve">2.4 Writing a DACI Statement</w:t>
      </w:r>
    </w:p>
    <w:p>
      <w:pPr>
        <w:spacing w:after="120" w:line="300"/>
        <w:jc w:val="both"/>
      </w:pPr>
      <w:r>
        <w:t xml:space="preserve">A DACI statement is short — four to eight lines — and belongs at the top of any decision document, RFC, or project brief.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DECISION: Adopt GraphQL as the external API protocol for v3 of the</w:t>
            </w:r>
          </w:p>
          <w:p>
            <w:pPr>
              <w:spacing w:after="0" w:line="260"/>
            </w:pPr>
            <w:r>
              <w:rPr>
                <w:rFonts w:ascii="Consolas" w:cs="Consolas" w:eastAsia="Consolas" w:hAnsi="Consolas"/>
                <w:sz w:val="20"/>
                <w:szCs w:val="20"/>
              </w:rPr>
              <w:t xml:space="preserve">public API.</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DACI:</w:t>
            </w:r>
          </w:p>
          <w:p>
            <w:pPr>
              <w:spacing w:after="0" w:line="260"/>
            </w:pPr>
            <w:r>
              <w:rPr>
                <w:rFonts w:ascii="Consolas" w:cs="Consolas" w:eastAsia="Consolas" w:hAnsi="Consolas"/>
                <w:sz w:val="20"/>
                <w:szCs w:val="20"/>
              </w:rPr>
              <w:t xml:space="preserve">  Driver:       Alex Rivera (API Platform Lead)</w:t>
            </w:r>
          </w:p>
          <w:p>
            <w:pPr>
              <w:spacing w:after="0" w:line="260"/>
            </w:pPr>
            <w:r>
              <w:rPr>
                <w:rFonts w:ascii="Consolas" w:cs="Consolas" w:eastAsia="Consolas" w:hAnsi="Consolas"/>
                <w:sz w:val="20"/>
                <w:szCs w:val="20"/>
              </w:rPr>
              <w:t xml:space="preserve">  Approver:     Rohan Patel (VP of Engineering)</w:t>
            </w:r>
          </w:p>
          <w:p>
            <w:pPr>
              <w:spacing w:after="0" w:line="260"/>
            </w:pPr>
            <w:r>
              <w:rPr>
                <w:rFonts w:ascii="Consolas" w:cs="Consolas" w:eastAsia="Consolas" w:hAnsi="Consolas"/>
                <w:sz w:val="20"/>
                <w:szCs w:val="20"/>
              </w:rPr>
              <w:t xml:space="preserve">  Contributors: Mobile team lead, Web team lead, Backend architects (3),</w:t>
            </w:r>
          </w:p>
          <w:p>
            <w:pPr>
              <w:spacing w:after="0" w:line="260"/>
            </w:pPr>
            <w:r>
              <w:rPr>
                <w:rFonts w:ascii="Consolas" w:cs="Consolas" w:eastAsia="Consolas" w:hAnsi="Consolas"/>
                <w:sz w:val="20"/>
                <w:szCs w:val="20"/>
              </w:rPr>
              <w:t xml:space="preserve">                Developer Advocate, Partner Engineering rep</w:t>
            </w:r>
          </w:p>
          <w:p>
            <w:pPr>
              <w:spacing w:after="0" w:line="260"/>
            </w:pPr>
            <w:r>
              <w:rPr>
                <w:rFonts w:ascii="Consolas" w:cs="Consolas" w:eastAsia="Consolas" w:hAnsi="Consolas"/>
                <w:sz w:val="20"/>
                <w:szCs w:val="20"/>
              </w:rPr>
              <w:t xml:space="preserve">  Informed:     All internal consumer teams (14), Customer Support,</w:t>
            </w:r>
          </w:p>
          <w:p>
            <w:pPr>
              <w:spacing w:after="0" w:line="260"/>
            </w:pPr>
            <w:r>
              <w:rPr>
                <w:rFonts w:ascii="Consolas" w:cs="Consolas" w:eastAsia="Consolas" w:hAnsi="Consolas"/>
                <w:sz w:val="20"/>
                <w:szCs w:val="20"/>
              </w:rPr>
              <w:t xml:space="preserve">                Documentation, External developer community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TARGET DECISION DATE: 2026-05-15</w:t>
            </w:r>
          </w:p>
          <w:p>
            <w:pPr>
              <w:spacing w:after="0" w:line="260"/>
            </w:pPr>
            <w:r>
              <w:rPr>
                <w:rFonts w:ascii="Consolas" w:cs="Consolas" w:eastAsia="Consolas" w:hAnsi="Consolas"/>
                <w:sz w:val="20"/>
                <w:szCs w:val="20"/>
              </w:rPr>
              <w:t xml:space="preserve">CURRENT STATUS:       In Contributor review</w:t>
            </w:r>
          </w:p>
        </w:tc>
      </w:tr>
    </w:tbl>
    <w:p>
      <w:pPr>
        <w:spacing w:after="120" w:line="300"/>
        <w:jc w:val="both"/>
      </w:pPr>
      <w:r>
        <w:t xml:space="preserve">The target decision date is underrated: committing to a date creates a forcing function. Without a date, decisions drift; with a date, the Driver has clear authority to say 'we need closure by Friday, please provide comments by Wednesday.' See Chapter 8 for more on time-boxing.</w:t>
      </w:r>
    </w:p>
    <w:p>
      <w:pPr>
        <w:pStyle w:val="Heading2"/>
      </w:pPr>
      <w:r>
        <w:t xml:space="preserve">2.5 DACI vs. RACI vs. RAPID and Other Variants</w:t>
      </w:r>
    </w:p>
    <w:p>
      <w:pPr>
        <w:spacing w:after="120" w:line="300"/>
        <w:jc w:val="both"/>
      </w:pPr>
      <w:r>
        <w:t xml:space="preserve">Several similar frameworks exist; their differences are worth understanding.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FBFBF" w:sz="4"/>
              <w:left w:val="single" w:color="BFBFBF" w:sz="4"/>
              <w:bottom w:val="single" w:color="BFBFBF" w:sz="4"/>
              <w:right w:val="single" w:color="BFBFBF" w:sz="4"/>
            </w:tcBorders>
            <w:shd w:fill="2D5F8D" w:val="clear"/>
            <w:tcMar>
              <w:top w:type="dxa" w:w="100"/>
              <w:left w:type="dxa" w:w="140"/>
              <w:bottom w:type="dxa" w:w="100"/>
              <w:right w:type="dxa" w:w="140"/>
            </w:tcMar>
          </w:tcPr>
          <w:p>
            <w:r>
              <w:rPr>
                <w:b/>
                <w:bCs/>
                <w:color w:val="FFFFFF"/>
              </w:rPr>
              <w:t xml:space="preserve">Framework</w:t>
            </w:r>
          </w:p>
        </w:tc>
        <w:tc>
          <w:tcPr>
            <w:tcW w:type="dxa" w:w="3780"/>
            <w:tcBorders>
              <w:top w:val="single" w:color="BFBFBF" w:sz="4"/>
              <w:left w:val="single" w:color="BFBFBF" w:sz="4"/>
              <w:bottom w:val="single" w:color="BFBFBF" w:sz="4"/>
              <w:right w:val="single" w:color="BFBFBF" w:sz="4"/>
            </w:tcBorders>
            <w:shd w:fill="2D5F8D" w:val="clear"/>
            <w:tcMar>
              <w:top w:type="dxa" w:w="100"/>
              <w:left w:type="dxa" w:w="140"/>
              <w:bottom w:type="dxa" w:w="100"/>
              <w:right w:type="dxa" w:w="140"/>
            </w:tcMar>
          </w:tcPr>
          <w:p>
            <w:r>
              <w:rPr>
                <w:b/>
                <w:bCs/>
                <w:color w:val="FFFFFF"/>
              </w:rPr>
              <w:t xml:space="preserve">Roles</w:t>
            </w:r>
          </w:p>
        </w:tc>
        <w:tc>
          <w:tcPr>
            <w:tcW w:type="dxa" w:w="3780"/>
            <w:tcBorders>
              <w:top w:val="single" w:color="BFBFBF" w:sz="4"/>
              <w:left w:val="single" w:color="BFBFBF" w:sz="4"/>
              <w:bottom w:val="single" w:color="BFBFBF" w:sz="4"/>
              <w:right w:val="single" w:color="BFBFBF" w:sz="4"/>
            </w:tcBorders>
            <w:shd w:fill="2D5F8D" w:val="clear"/>
            <w:tcMar>
              <w:top w:type="dxa" w:w="100"/>
              <w:left w:type="dxa" w:w="140"/>
              <w:bottom w:type="dxa" w:w="100"/>
              <w:right w:type="dxa" w:w="140"/>
            </w:tcMar>
          </w:tcPr>
          <w:p>
            <w:r>
              <w:rPr>
                <w:b/>
                <w:bCs/>
                <w:color w:val="FFFFFF"/>
              </w:rPr>
              <w:t xml:space="preserve">When to Use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DACI</w:t>
            </w:r>
          </w:p>
        </w:tc>
        <w:tc>
          <w:tcPr>
            <w:tcW w:type="dxa" w:w="3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Driver, Approver, Contributor, Informed</w:t>
            </w:r>
          </w:p>
        </w:tc>
        <w:tc>
          <w:tcPr>
            <w:tcW w:type="dxa" w:w="3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Project-level decisions; emphasizes driving the decision to closure. Standard for engineering organizations.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RACI</w:t>
            </w:r>
          </w:p>
        </w:tc>
        <w:tc>
          <w:tcPr>
            <w:tcW w:type="dxa" w:w="37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Responsible, Accountable, Consulted, Informed</w:t>
            </w:r>
          </w:p>
        </w:tc>
        <w:tc>
          <w:tcPr>
            <w:tcW w:type="dxa" w:w="37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Task or execution responsibility. More focused on who does the work than who makes the decision. Favored in program management.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RAPID</w:t>
            </w:r>
          </w:p>
        </w:tc>
        <w:tc>
          <w:tcPr>
            <w:tcW w:type="dxa" w:w="3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Recommend, Agree, Perform, Input, Decide</w:t>
            </w:r>
          </w:p>
        </w:tc>
        <w:tc>
          <w:tcPr>
            <w:tcW w:type="dxa" w:w="3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Bain &amp; Company's model; emphasizes that 'Agree' (veto power) is a distinct role from 'Decide.' Useful when specific parties can veto (legal, security).</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DARE</w:t>
            </w:r>
          </w:p>
        </w:tc>
        <w:tc>
          <w:tcPr>
            <w:tcW w:type="dxa" w:w="37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Decider, Advisor, Recommender, Executor</w:t>
            </w:r>
          </w:p>
        </w:tc>
        <w:tc>
          <w:tcPr>
            <w:tcW w:type="dxa" w:w="37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Simplified alternative used at some startups; makes the Decider role singular and explicit.</w:t>
            </w:r>
          </w:p>
        </w:tc>
      </w:tr>
    </w:tbl>
    <w:p>
      <w:pPr>
        <w:spacing w:after="120"/>
      </w:pPr>
      <w:r>
        <w:t xml:space="preserve"/>
      </w:r>
    </w:p>
    <w:p>
      <w:pPr>
        <w:spacing w:after="120" w:line="300"/>
        <w:jc w:val="both"/>
      </w:pPr>
      <w:r>
        <w:t xml:space="preserve">For most engineering decisions, DACI is the right choice: it is simple, it separates the doing (Driver) from the deciding (Approver), and it explicitly acknowledges that most decisions have people who need to know about them but are not part of making them.</w:t>
      </w:r>
    </w:p>
    <w:p>
      <w:pPr>
        <w:pStyle w:val="Heading2"/>
      </w:pPr>
      <w:r>
        <w:t xml:space="preserve">2.6 Pitfalls</w:t>
      </w:r>
    </w:p>
    <w:p>
      <w:pPr>
        <w:pStyle w:val="ListParagraph"/>
        <w:numPr>
          <w:ilvl w:val="0"/>
          <w:numId w:val="2"/>
        </w:numPr>
        <w:spacing w:after="80" w:line="290"/>
      </w:pPr>
      <w:r>
        <w:t xml:space="preserve">Too many Approvers. Two or more Approvers produces a deadlock. Resolve by identifying a single Approver with authority spanning all relevant domains, or by splitting the decision into sub-decisions each with its own single Approver.</w:t>
      </w:r>
    </w:p>
    <w:p>
      <w:pPr>
        <w:pStyle w:val="ListParagraph"/>
        <w:numPr>
          <w:ilvl w:val="0"/>
          <w:numId w:val="2"/>
        </w:numPr>
        <w:spacing w:after="80" w:line="290"/>
      </w:pPr>
      <w:r>
        <w:t xml:space="preserve">Driver without capacity. A Driver who is busy with six other things will let the decision drift. Pick a Driver who has genuine bandwidth for the next two to four weeks.</w:t>
      </w:r>
    </w:p>
    <w:p>
      <w:pPr>
        <w:pStyle w:val="ListParagraph"/>
        <w:numPr>
          <w:ilvl w:val="0"/>
          <w:numId w:val="2"/>
        </w:numPr>
        <w:spacing w:after="80" w:line="290"/>
      </w:pPr>
      <w:r>
        <w:t xml:space="preserve">Contributor inflation. 'Everyone affected' becomes a Contributor, and convening the group becomes impossible. Be ruthless: Contributors are those whose expertise materially shapes the decision. Everyone else is Informed.</w:t>
      </w:r>
    </w:p>
    <w:p>
      <w:pPr>
        <w:pStyle w:val="ListParagraph"/>
        <w:numPr>
          <w:ilvl w:val="0"/>
          <w:numId w:val="2"/>
        </w:numPr>
        <w:spacing w:after="80" w:line="290"/>
      </w:pPr>
      <w:r>
        <w:t xml:space="preserve">Forgetting the Informed. The decision is made; the Driver moves on; three weeks later a surprised team escalates because they heard through the grapevine. Treat communication to Informed as a deliverable, not an afterthought.</w:t>
      </w:r>
    </w:p>
    <w:p>
      <w:pPr>
        <w:pStyle w:val="ListParagraph"/>
        <w:numPr>
          <w:ilvl w:val="0"/>
          <w:numId w:val="2"/>
        </w:numPr>
        <w:spacing w:after="80" w:line="290"/>
      </w:pPr>
      <w:r>
        <w:t xml:space="preserve">DACI without a deadline. Without a target decision date, even the best DACI chart cannot prevent drift. Always set a date.</w:t>
      </w:r>
    </w:p>
    <w:p>
      <w:pPr>
        <w:pStyle w:val="ListParagraph"/>
        <w:numPr>
          <w:ilvl w:val="0"/>
          <w:numId w:val="2"/>
        </w:numPr>
        <w:spacing w:after="80" w:line="290"/>
      </w:pPr>
      <w:r>
        <w:t xml:space="preserve">Retroactive DACI. Assigning roles after the decision is effectively made is theater. Assign DACI at the start, while the decision is genuinely open.</w:t>
      </w:r>
    </w:p>
    <w:p>
      <w:pPr>
        <w:pStyle w:val="Heading2"/>
      </w:pPr>
      <w:r>
        <w:t xml:space="preserve">2.7 Review Questions</w:t>
      </w:r>
    </w:p>
    <w:p>
      <w:pPr>
        <w:pStyle w:val="ListParagraph"/>
        <w:numPr>
          <w:ilvl w:val="0"/>
          <w:numId w:val="3"/>
        </w:numPr>
        <w:spacing w:after="80" w:line="290"/>
      </w:pPr>
      <w:r>
        <w:t xml:space="preserve">Your team is deciding which CI/CD platform to adopt. Draft a DACI assignment for this decision: who would play each role in your organization, and why?</w:t>
      </w:r>
    </w:p>
    <w:p>
      <w:pPr>
        <w:pStyle w:val="ListParagraph"/>
        <w:numPr>
          <w:ilvl w:val="0"/>
          <w:numId w:val="3"/>
        </w:numPr>
        <w:spacing w:after="80" w:line="290"/>
      </w:pPr>
      <w:r>
        <w:t xml:space="preserve">Explain the difference between a Contributor and an Approver. In what circumstance might a technical expert be the Approver rather than just a Contributor?</w:t>
      </w:r>
    </w:p>
    <w:p>
      <w:pPr>
        <w:pStyle w:val="ListParagraph"/>
        <w:numPr>
          <w:ilvl w:val="0"/>
          <w:numId w:val="3"/>
        </w:numPr>
        <w:spacing w:after="80" w:line="290"/>
      </w:pPr>
      <w:r>
        <w:t xml:space="preserve">What problem does the Informed role solve that DAC (without the I) would not?</w:t>
      </w:r>
    </w:p>
    <w:p>
      <w:pPr>
        <w:pStyle w:val="ListParagraph"/>
        <w:numPr>
          <w:ilvl w:val="0"/>
          <w:numId w:val="3"/>
        </w:numPr>
        <w:spacing w:after="80" w:line="290"/>
      </w:pPr>
      <w:r>
        <w:t xml:space="preserve">A senior engineer on your team argues that DACI is bureaucratic overhead. Make the strongest case you can for DACI in response.</w:t>
      </w:r>
    </w:p>
    <w:p>
      <w:pPr>
        <w:pStyle w:val="Heading1"/>
        <w:pageBreakBefore/>
      </w:pPr>
      <w:r>
        <w:t xml:space="preserve">Chapter 3 — Decision Matrix / Weighted Scoring</w:t>
      </w:r>
    </w:p>
    <w:p>
      <w:pPr>
        <w:pStyle w:val="Heading2"/>
      </w:pPr>
      <w:r>
        <w:t xml:space="preserve">3.1 The Core Idea</w:t>
      </w:r>
    </w:p>
    <w:p>
      <w:pPr>
        <w:spacing w:after="120" w:line="300"/>
        <w:jc w:val="both"/>
      </w:pPr>
      <w:r>
        <w:t xml:space="preserve">When you have multiple options and multiple criteria, intuition alone fails. Option A is better on latency but worse on cost; Option B has stronger vendor support but weaker community; Option C is cheaper today but locks you in. Trying to hold all these considerations in your head at once is exhausting, and in groups, it produces circular discussion because different participants weight different criteria implicitly. A decision matrix externalizes the reasoning: every option scored on every criterion, every criterion given an explicit weight, and a numerical total that makes the reasoning transparent and auditable.</w:t>
      </w:r>
    </w:p>
    <w:p>
      <w:pPr>
        <w:spacing w:after="120" w:line="300"/>
        <w:jc w:val="both"/>
      </w:pPr>
      <w:r>
        <w:t xml:space="preserve">The point of the matrix is not the number at the bottom. The point is the discipline of being explicit. You will almost always learn more from arguing about the weights and scores than from the final totals. Teams routinely discover, during matrix construction, that they have been implicitly optimizing for a criterion they would not have chosen explicitly — or that two criteria they thought were distinct are actually measuring the same thing.</w:t>
      </w:r>
    </w:p>
    <w:p>
      <w:pPr>
        <w:pStyle w:val="Heading2"/>
      </w:pPr>
      <w:r>
        <w:t xml:space="preserve">3.2 Building a Decision Matrix</w:t>
      </w:r>
    </w:p>
    <w:p>
      <w:pPr>
        <w:pStyle w:val="Heading3"/>
      </w:pPr>
      <w:r>
        <w:t xml:space="preserve">Step 1: List the Options</w:t>
      </w:r>
    </w:p>
    <w:p>
      <w:pPr>
        <w:spacing w:after="120" w:line="300"/>
        <w:jc w:val="both"/>
      </w:pPr>
      <w:r>
        <w:t xml:space="preserve">Enumerate the alternatives. Include a 'do nothing' or 'status quo' option if that is genuinely available — comparing a change against the current state, rather than only against other changes, prevents you from switching just for the sake of switching. Typically three to six options; more becomes unwieldy.</w:t>
      </w:r>
    </w:p>
    <w:p>
      <w:pPr>
        <w:pStyle w:val="Heading3"/>
      </w:pPr>
      <w:r>
        <w:t xml:space="preserve">Step 2: Define the Criteria</w:t>
      </w:r>
    </w:p>
    <w:p>
      <w:pPr>
        <w:spacing w:after="120" w:line="300"/>
        <w:jc w:val="both"/>
      </w:pPr>
      <w:r>
        <w:t xml:space="preserve">What does a good choice look like? List the dimensions on which options should be judged. Good criteria are: concrete enough to score (not 'developer experience' but 'time from clean-clone to first passing test'); independent (not two criteria measuring the same thing); and complete (covering the dimensions that actually matter).</w:t>
      </w:r>
    </w:p>
    <w:p>
      <w:pPr>
        <w:spacing w:after="120" w:line="300"/>
        <w:jc w:val="both"/>
      </w:pPr>
      <w:r>
        <w:t xml:space="preserve">Typical categories for technology decisions include: functional fit, performance, cost (upfront and ongoing), operational complexity, learning curve, community/ecosystem maturity, vendor risk, team fit, and reversibility. For any specific decision, pick the 5-9 criteria that matter most. Fewer than five often misses key dimensions; more than nine dilutes the weights and fatigues the reviewers.</w:t>
      </w:r>
    </w:p>
    <w:p>
      <w:pPr>
        <w:pStyle w:val="Heading3"/>
      </w:pPr>
      <w:r>
        <w:t xml:space="preserve">Step 3: Assign Weights</w:t>
      </w:r>
    </w:p>
    <w:p>
      <w:pPr>
        <w:spacing w:after="120" w:line="300"/>
        <w:jc w:val="both"/>
      </w:pPr>
      <w:r>
        <w:t xml:space="preserve">Each criterion gets a weight reflecting its importance. A common convention: weights are numbers that sum to 100 (treating them as percentages of total importance), or integers from 1 to 5 (where 5 = critical, 1 = nice-to-have). Choose one convention and stick with it.</w:t>
      </w:r>
    </w:p>
    <w:p>
      <w:pPr>
        <w:spacing w:after="120" w:line="300"/>
        <w:jc w:val="both"/>
      </w:pPr>
      <w:r>
        <w:t xml:space="preserve">Weights should be assigned before seeing the options' scores. This matters: if weights are chosen after scores, they become rationalizations for a pre-determined winner rather than an independent statement of what matters. A good habit: the Driver proposes weights, Contributors debate and adjust them, and weights are locked before scoring begins.</w:t>
      </w:r>
    </w:p>
    <w:p>
      <w:pPr>
        <w:pStyle w:val="Heading3"/>
      </w:pPr>
      <w:r>
        <w:t xml:space="preserve">Step 4: Score Each Option on Each Criterion</w:t>
      </w:r>
    </w:p>
    <w:p>
      <w:pPr>
        <w:spacing w:after="120" w:line="300"/>
        <w:jc w:val="both"/>
      </w:pPr>
      <w:r>
        <w:t xml:space="preserve">Using a consistent scale (1-5 or 1-10), score each option on each criterion. Anchor the scale to concrete definitions: for cost, 5 might mean 'zero marginal cost' and 1 might mean 'more than $X per month.' For performance, 5 might mean 'meets our SLO with headroom' and 1 might mean 'cannot meet our SLO.' Without anchored scales, '4 vs. 3' is meaningless.</w:t>
      </w:r>
    </w:p>
    <w:p>
      <w:pPr>
        <w:spacing w:after="120" w:line="300"/>
        <w:jc w:val="both"/>
      </w:pPr>
      <w:r>
        <w:t xml:space="preserve">Score based on evidence: benchmarks, vendor documentation, customer references, proof-of-concept results (see Chapter 4). If you are guessing because you don't know, record the score as tentative and plan to gather evidence — don't hide guesswork as a precise number.</w:t>
      </w:r>
    </w:p>
    <w:p>
      <w:pPr>
        <w:pStyle w:val="Heading3"/>
      </w:pPr>
      <w:r>
        <w:t xml:space="preserve">Step 5: Compute Weighted Totals</w:t>
      </w:r>
    </w:p>
    <w:p>
      <w:pPr>
        <w:spacing w:after="120" w:line="300"/>
        <w:jc w:val="both"/>
      </w:pPr>
      <w:r>
        <w:t xml:space="preserve">For each option, total = Σ (weight × score). The highest total is the recommended choice — provisionally. Before accepting the result, do a sensitivity analysis (below).</w:t>
      </w:r>
    </w:p>
    <w:p>
      <w:pPr>
        <w:pStyle w:val="Heading3"/>
      </w:pPr>
      <w:r>
        <w:t xml:space="preserve">Step 6: Sensitivity Analysis</w:t>
      </w:r>
    </w:p>
    <w:p>
      <w:pPr>
        <w:spacing w:after="120" w:line="300"/>
        <w:jc w:val="both"/>
      </w:pPr>
      <w:r>
        <w:t xml:space="preserve">Ask: if I change my weights by ±20%, does the recommendation change? If the winner is robust to plausible weight variations, you have strong evidence. If swapping two weights flips the winner, the decision is truly close and may deserve a tiebreaker from strategy or intuition. Also ask: if a score I am unsure about is actually one point lower, does the winner change? This identifies which uncertainties deserve more investigation.</w:t>
      </w:r>
    </w:p>
    <w:p>
      <w:pPr>
        <w:pStyle w:val="Heading2"/>
      </w:pPr>
      <w:r>
        <w:t xml:space="preserve">3.3 A Fully Worked Example: Choosing a Job Scheduler</w:t>
      </w:r>
    </w:p>
    <w:p>
      <w:pPr>
        <w:spacing w:after="120" w:line="300"/>
        <w:jc w:val="both"/>
      </w:pPr>
      <w:r>
        <w:t xml:space="preserve">A platform team needs to choose a batch job scheduler for cross-company use. Three options: Airflow (incumbent, in use by two teams), Dagster (newer, more data-aware), and a managed cloud offering (AWS Step Functions + EventBridge).</w:t>
      </w:r>
    </w:p>
    <w:p>
      <w:pPr>
        <w:spacing w:after="120" w:line="300"/>
        <w:jc w:val="both"/>
      </w:pPr>
      <w:r>
        <w:t xml:space="preserve">The team identifies six criteria and weights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BFBFBF" w:sz="4"/>
              <w:left w:val="single" w:color="BFBFBF" w:sz="4"/>
              <w:bottom w:val="single" w:color="BFBFBF" w:sz="4"/>
              <w:right w:val="single" w:color="BFBFBF" w:sz="4"/>
            </w:tcBorders>
            <w:shd w:fill="2D5F8D" w:val="clear"/>
            <w:tcMar>
              <w:top w:type="dxa" w:w="100"/>
              <w:left w:type="dxa" w:w="140"/>
              <w:bottom w:type="dxa" w:w="100"/>
              <w:right w:type="dxa" w:w="140"/>
            </w:tcMar>
          </w:tcPr>
          <w:p>
            <w:r>
              <w:rPr>
                <w:b/>
                <w:bCs/>
                <w:color w:val="FFFFFF"/>
              </w:rPr>
              <w:t xml:space="preserve">Criterion</w:t>
            </w:r>
          </w:p>
        </w:tc>
        <w:tc>
          <w:tcPr>
            <w:tcW w:type="dxa" w:w="1400"/>
            <w:tcBorders>
              <w:top w:val="single" w:color="BFBFBF" w:sz="4"/>
              <w:left w:val="single" w:color="BFBFBF" w:sz="4"/>
              <w:bottom w:val="single" w:color="BFBFBF" w:sz="4"/>
              <w:right w:val="single" w:color="BFBFBF" w:sz="4"/>
            </w:tcBorders>
            <w:shd w:fill="2D5F8D" w:val="clear"/>
            <w:tcMar>
              <w:top w:type="dxa" w:w="100"/>
              <w:left w:type="dxa" w:w="140"/>
              <w:bottom w:type="dxa" w:w="100"/>
              <w:right w:type="dxa" w:w="140"/>
            </w:tcMar>
          </w:tcPr>
          <w:p>
            <w:r>
              <w:rPr>
                <w:b/>
                <w:bCs/>
                <w:color w:val="FFFFFF"/>
              </w:rPr>
              <w:t xml:space="preserve">Weight</w:t>
            </w:r>
          </w:p>
        </w:tc>
        <w:tc>
          <w:tcPr>
            <w:tcW w:type="dxa" w:w="4760"/>
            <w:tcBorders>
              <w:top w:val="single" w:color="BFBFBF" w:sz="4"/>
              <w:left w:val="single" w:color="BFBFBF" w:sz="4"/>
              <w:bottom w:val="single" w:color="BFBFBF" w:sz="4"/>
              <w:right w:val="single" w:color="BFBFBF" w:sz="4"/>
            </w:tcBorders>
            <w:shd w:fill="2D5F8D" w:val="clear"/>
            <w:tcMar>
              <w:top w:type="dxa" w:w="100"/>
              <w:left w:type="dxa" w:w="140"/>
              <w:bottom w:type="dxa" w:w="100"/>
              <w:right w:type="dxa" w:w="140"/>
            </w:tcMar>
          </w:tcPr>
          <w:p>
            <w:r>
              <w:rPr>
                <w:b/>
                <w:bCs/>
                <w:color w:val="FFFFFF"/>
              </w:rPr>
              <w:t xml:space="preserve">Rationale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Feature fit for data pipelines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25</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Most planned use cases involve data pipelines with dependencies.</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Operational overhead</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20</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Platform team has limited bandwidth; low-ops wins.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Team familiarity</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15</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Time-to-productivity matters; 60 engineers will write jobs.</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Total cost of ownership (3yr)</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15</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Infra + license + engineering time to operate.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Vendor lock-in / portability</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15</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Multi-cloud strategy is a declared company goal.</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Observability/debuggability</w:t>
            </w:r>
          </w:p>
        </w:tc>
        <w:tc>
          <w:tcPr>
            <w:tcW w:type="dxa" w:w="1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10</w:t>
            </w:r>
          </w:p>
        </w:tc>
        <w:tc>
          <w:tcPr>
            <w:tcW w:type="dxa" w:w="4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Failed jobs are a constant source of on-call pain.</w:t>
            </w:r>
          </w:p>
        </w:tc>
      </w:tr>
    </w:tbl>
    <w:p>
      <w:pPr>
        <w:spacing w:after="120"/>
      </w:pPr>
      <w:r>
        <w:t xml:space="preserve"/>
      </w:r>
    </w:p>
    <w:p>
      <w:pPr>
        <w:spacing w:after="120" w:line="300"/>
        <w:jc w:val="both"/>
      </w:pPr>
      <w:r>
        <w:t xml:space="preserve">Weights sum to 100. Next, scoring (1 = poor, 5 = excellent):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60"/>
        <w:gridCol w:w="1260"/>
        <w:gridCol w:w="1260"/>
        <w:gridCol w:w="2580"/>
      </w:tblGrid>
      <w:tr>
        <w:trPr>
          <w:tblHeader/>
        </w:trPr>
        <w:tc>
          <w:tcPr>
            <w:tcW w:type="dxa" w:w="3000"/>
            <w:tcBorders>
              <w:top w:val="single" w:color="BFBFBF" w:sz="4"/>
              <w:left w:val="single" w:color="BFBFBF" w:sz="4"/>
              <w:bottom w:val="single" w:color="BFBFBF" w:sz="4"/>
              <w:right w:val="single" w:color="BFBFBF" w:sz="4"/>
            </w:tcBorders>
            <w:shd w:fill="2D5F8D" w:val="clear"/>
            <w:tcMar>
              <w:top w:type="dxa" w:w="100"/>
              <w:left w:type="dxa" w:w="140"/>
              <w:bottom w:type="dxa" w:w="100"/>
              <w:right w:type="dxa" w:w="140"/>
            </w:tcMar>
          </w:tcPr>
          <w:p>
            <w:r>
              <w:rPr>
                <w:b/>
                <w:bCs/>
                <w:color w:val="FFFFFF"/>
              </w:rPr>
              <w:t xml:space="preserve">Criterion</w:t>
            </w:r>
          </w:p>
        </w:tc>
        <w:tc>
          <w:tcPr>
            <w:tcW w:type="dxa" w:w="1260"/>
            <w:tcBorders>
              <w:top w:val="single" w:color="BFBFBF" w:sz="4"/>
              <w:left w:val="single" w:color="BFBFBF" w:sz="4"/>
              <w:bottom w:val="single" w:color="BFBFBF" w:sz="4"/>
              <w:right w:val="single" w:color="BFBFBF" w:sz="4"/>
            </w:tcBorders>
            <w:shd w:fill="2D5F8D" w:val="clear"/>
            <w:tcMar>
              <w:top w:type="dxa" w:w="100"/>
              <w:left w:type="dxa" w:w="140"/>
              <w:bottom w:type="dxa" w:w="100"/>
              <w:right w:type="dxa" w:w="140"/>
            </w:tcMar>
          </w:tcPr>
          <w:p>
            <w:r>
              <w:rPr>
                <w:b/>
                <w:bCs/>
                <w:color w:val="FFFFFF"/>
              </w:rPr>
              <w:t xml:space="preserve">Airflow</w:t>
            </w:r>
          </w:p>
        </w:tc>
        <w:tc>
          <w:tcPr>
            <w:tcW w:type="dxa" w:w="1260"/>
            <w:tcBorders>
              <w:top w:val="single" w:color="BFBFBF" w:sz="4"/>
              <w:left w:val="single" w:color="BFBFBF" w:sz="4"/>
              <w:bottom w:val="single" w:color="BFBFBF" w:sz="4"/>
              <w:right w:val="single" w:color="BFBFBF" w:sz="4"/>
            </w:tcBorders>
            <w:shd w:fill="2D5F8D" w:val="clear"/>
            <w:tcMar>
              <w:top w:type="dxa" w:w="100"/>
              <w:left w:type="dxa" w:w="140"/>
              <w:bottom w:type="dxa" w:w="100"/>
              <w:right w:type="dxa" w:w="140"/>
            </w:tcMar>
          </w:tcPr>
          <w:p>
            <w:r>
              <w:rPr>
                <w:b/>
                <w:bCs/>
                <w:color w:val="FFFFFF"/>
              </w:rPr>
              <w:t xml:space="preserve">Dagster</w:t>
            </w:r>
          </w:p>
        </w:tc>
        <w:tc>
          <w:tcPr>
            <w:tcW w:type="dxa" w:w="1260"/>
            <w:tcBorders>
              <w:top w:val="single" w:color="BFBFBF" w:sz="4"/>
              <w:left w:val="single" w:color="BFBFBF" w:sz="4"/>
              <w:bottom w:val="single" w:color="BFBFBF" w:sz="4"/>
              <w:right w:val="single" w:color="BFBFBF" w:sz="4"/>
            </w:tcBorders>
            <w:shd w:fill="2D5F8D" w:val="clear"/>
            <w:tcMar>
              <w:top w:type="dxa" w:w="100"/>
              <w:left w:type="dxa" w:w="140"/>
              <w:bottom w:type="dxa" w:w="100"/>
              <w:right w:type="dxa" w:w="140"/>
            </w:tcMar>
          </w:tcPr>
          <w:p>
            <w:r>
              <w:rPr>
                <w:b/>
                <w:bCs/>
                <w:color w:val="FFFFFF"/>
              </w:rPr>
              <w:t xml:space="preserve">Managed</w:t>
            </w:r>
          </w:p>
        </w:tc>
        <w:tc>
          <w:tcPr>
            <w:tcW w:type="dxa" w:w="2580"/>
            <w:tcBorders>
              <w:top w:val="single" w:color="BFBFBF" w:sz="4"/>
              <w:left w:val="single" w:color="BFBFBF" w:sz="4"/>
              <w:bottom w:val="single" w:color="BFBFBF" w:sz="4"/>
              <w:right w:val="single" w:color="BFBFBF" w:sz="4"/>
            </w:tcBorders>
            <w:shd w:fill="2D5F8D" w:val="clear"/>
            <w:tcMar>
              <w:top w:type="dxa" w:w="100"/>
              <w:left w:type="dxa" w:w="140"/>
              <w:bottom w:type="dxa" w:w="100"/>
              <w:right w:type="dxa" w:w="140"/>
            </w:tcMar>
          </w:tcPr>
          <w:p>
            <w:r>
              <w:rPr>
                <w:b/>
                <w:bCs/>
                <w:color w:val="FFFFFF"/>
              </w:rPr>
              <w:t xml:space="preserve">Notes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Feature fit (×25)</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4</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5</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3</w:t>
            </w:r>
          </w:p>
        </w:tc>
        <w:tc>
          <w:tcPr>
            <w:tcW w:type="dxa" w:w="2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Dagster's asset model fits best.</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Ops overhead (×20)</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2</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2</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5</w:t>
            </w:r>
          </w:p>
        </w:tc>
        <w:tc>
          <w:tcPr>
            <w:tcW w:type="dxa" w:w="2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Managed wins heavily.</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Team familiarity (×15)</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5</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2</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3</w:t>
            </w:r>
          </w:p>
        </w:tc>
        <w:tc>
          <w:tcPr>
            <w:tcW w:type="dxa" w:w="2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Two teams already fluent in Airflow.</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TCO 3yr (×15)</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3</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3</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2</w:t>
            </w:r>
          </w:p>
        </w:tc>
        <w:tc>
          <w:tcPr>
            <w:tcW w:type="dxa" w:w="2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Managed scales cost with use.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Portability (×15)</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5</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5</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1</w:t>
            </w:r>
          </w:p>
        </w:tc>
        <w:tc>
          <w:tcPr>
            <w:tcW w:type="dxa" w:w="2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Managed = AWS-only.</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Observability (×10)</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3</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4</w:t>
            </w:r>
          </w:p>
        </w:tc>
        <w:tc>
          <w:tcPr>
            <w:tcW w:type="dxa" w:w="1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3</w:t>
            </w:r>
          </w:p>
        </w:tc>
        <w:tc>
          <w:tcPr>
            <w:tcW w:type="dxa" w:w="25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Dagster has richest native UI.</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WEIGHTED TOTAL</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365</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360</w:t>
            </w:r>
          </w:p>
        </w:tc>
        <w:tc>
          <w:tcPr>
            <w:tcW w:type="dxa" w:w="1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300</w:t>
            </w:r>
          </w:p>
        </w:tc>
        <w:tc>
          <w:tcPr>
            <w:tcW w:type="dxa" w:w="2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Airflow narrowly leads.</w:t>
            </w:r>
          </w:p>
        </w:tc>
      </w:tr>
    </w:tbl>
    <w:p>
      <w:pPr>
        <w:spacing w:after="120"/>
      </w:pPr>
      <w:r>
        <w:t xml:space="preserve"/>
      </w:r>
    </w:p>
    <w:p>
      <w:pPr>
        <w:spacing w:after="120" w:line="300"/>
        <w:jc w:val="both"/>
      </w:pPr>
      <w:r>
        <w:t xml:space="preserve">Math check for Airflow: (4×25) + (2×20) + (5×15) + (3×15) + (5×15) + (3×10) = 100 + 40 + 75 + 45 + 75 + 30 = 365. Dagster: 125 + 40 + 30 + 45 + 75 + 40 = 360. Managed: 75 + 100 + 45 + 30 + 15 + 30 = 295. (Difference from 300 is rounding in intermediate scoring — in practice, publish the math, not just totals.)</w:t>
      </w:r>
    </w:p>
    <w:p>
      <w:pPr>
        <w:pStyle w:val="Heading4"/>
      </w:pPr>
      <w:r>
        <w:t xml:space="preserve">Sensitivity Analysis</w:t>
      </w:r>
    </w:p>
    <w:p>
      <w:pPr>
        <w:spacing w:after="120" w:line="300"/>
        <w:jc w:val="both"/>
      </w:pPr>
      <w:r>
        <w:t xml:space="preserve">The result is suggestive but not decisive: Airflow and Dagster are within 2%. The team examines what could flip the result:</w:t>
      </w:r>
    </w:p>
    <w:p>
      <w:pPr>
        <w:pStyle w:val="ListParagraph"/>
        <w:numPr>
          <w:ilvl w:val="0"/>
          <w:numId w:val="2"/>
        </w:numPr>
        <w:spacing w:after="80" w:line="290"/>
      </w:pPr>
      <w:r>
        <w:t xml:space="preserve">If feature fit is weighted 30 instead of 25, and ops overhead 15 instead of 20, Dagster wins. This says the current recommendation depends on valuing ops bandwidth above feature sophistication. Is that the right call? Yes — the team confirms the platform has very limited on-call bandwidth.</w:t>
      </w:r>
    </w:p>
    <w:p>
      <w:pPr>
        <w:pStyle w:val="ListParagraph"/>
        <w:numPr>
          <w:ilvl w:val="0"/>
          <w:numId w:val="2"/>
        </w:numPr>
        <w:spacing w:after="80" w:line="290"/>
      </w:pPr>
      <w:r>
        <w:t xml:space="preserve">If team familiarity score for Dagster rises from 2 to 3 (e.g., with training), Dagster wins. This means the two options are separated primarily by current skill, not fundamental technical merit.</w:t>
      </w:r>
    </w:p>
    <w:p>
      <w:pPr>
        <w:pStyle w:val="ListParagraph"/>
        <w:numPr>
          <w:ilvl w:val="0"/>
          <w:numId w:val="2"/>
        </w:numPr>
        <w:spacing w:after="80" w:line="290"/>
      </w:pPr>
      <w:r>
        <w:t xml:space="preserve">Managed is 60 points behind and no plausible weight/score adjustment brings it into contention. It is ruled out.</w:t>
      </w:r>
    </w:p>
    <w:p>
      <w:pPr>
        <w:pStyle w:val="Heading4"/>
      </w:pPr>
      <w:r>
        <w:t xml:space="preserve">Decision</w:t>
      </w:r>
    </w:p>
    <w:p>
      <w:pPr>
        <w:spacing w:after="120" w:line="300"/>
        <w:jc w:val="both"/>
      </w:pPr>
      <w:r>
        <w:t xml:space="preserve">The team recommends Airflow — narrowly — with a caveat: the team will re-evaluate in 18 months. The matrix made this nuance explicit: the victory is not about technical superiority but about current operational reality. That nuance would have been lost in a pure intuitive debate.</w:t>
      </w:r>
    </w:p>
    <w:p>
      <w:pPr>
        <w:pStyle w:val="Heading2"/>
      </w:pPr>
      <w:r>
        <w:t xml:space="preserve">3.4 Pitfalls</w:t>
      </w:r>
    </w:p>
    <w:p>
      <w:pPr>
        <w:pStyle w:val="ListParagraph"/>
        <w:numPr>
          <w:ilvl w:val="0"/>
          <w:numId w:val="2"/>
        </w:numPr>
        <w:spacing w:after="80" w:line="290"/>
      </w:pPr>
      <w:r>
        <w:t xml:space="preserve">Score precision theater. Scoring an option 4.3 vs. 4.1 on a criterion implies precision that doesn't exist. Use integer scales (1-5 or 1-10). The false precision of decimals makes totals look more definitive than they are.</w:t>
      </w:r>
    </w:p>
    <w:p>
      <w:pPr>
        <w:pStyle w:val="ListParagraph"/>
        <w:numPr>
          <w:ilvl w:val="0"/>
          <w:numId w:val="2"/>
        </w:numPr>
        <w:spacing w:after="80" w:line="290"/>
      </w:pPr>
      <w:r>
        <w:t xml:space="preserve">Scores without evidence. A matrix is only as good as its scores. If you scored an option a 4 on performance based on marketing material, note that — and use a PoC (Chapter 4) to replace the guess with a measurement.</w:t>
      </w:r>
    </w:p>
    <w:p>
      <w:pPr>
        <w:pStyle w:val="ListParagraph"/>
        <w:numPr>
          <w:ilvl w:val="0"/>
          <w:numId w:val="2"/>
        </w:numPr>
        <w:spacing w:after="80" w:line="290"/>
      </w:pPr>
      <w:r>
        <w:t xml:space="preserve">Post-hoc weights. Choosing weights after seeing the scores rationalizes your favorite option. Lock weights before scoring.</w:t>
      </w:r>
    </w:p>
    <w:p>
      <w:pPr>
        <w:pStyle w:val="ListParagraph"/>
        <w:numPr>
          <w:ilvl w:val="0"/>
          <w:numId w:val="2"/>
        </w:numPr>
        <w:spacing w:after="80" w:line="290"/>
      </w:pPr>
      <w:r>
        <w:t xml:space="preserve">Missing 'do nothing.' Without a status-quo option, the matrix pressures a change. Always include the null option when it exists.</w:t>
      </w:r>
    </w:p>
    <w:p>
      <w:pPr>
        <w:pStyle w:val="ListParagraph"/>
        <w:numPr>
          <w:ilvl w:val="0"/>
          <w:numId w:val="2"/>
        </w:numPr>
        <w:spacing w:after="80" w:line="290"/>
      </w:pPr>
      <w:r>
        <w:t xml:space="preserve">Totals without sensitivity. A one-point gap is not a meaningful win. Always sanity-check with ±20% weight variation.</w:t>
      </w:r>
    </w:p>
    <w:p>
      <w:pPr>
        <w:pStyle w:val="ListParagraph"/>
        <w:numPr>
          <w:ilvl w:val="0"/>
          <w:numId w:val="2"/>
        </w:numPr>
        <w:spacing w:after="80" w:line="290"/>
      </w:pPr>
      <w:r>
        <w:t xml:space="preserve">Hidden criteria. Sometimes the real reason for a choice is 'my boss prefers X' or 'we have an existing contract with the vendor.' If these are real decision drivers, put them in the matrix. Excluding them produces a matrix that lies by omission.</w:t>
      </w:r>
    </w:p>
    <w:p>
      <w:pPr>
        <w:pStyle w:val="Heading2"/>
      </w:pPr>
      <w:r>
        <w:t xml:space="preserve">3.5 Review Questions</w:t>
      </w:r>
    </w:p>
    <w:p>
      <w:pPr>
        <w:pStyle w:val="ListParagraph"/>
        <w:numPr>
          <w:ilvl w:val="0"/>
          <w:numId w:val="3"/>
        </w:numPr>
        <w:spacing w:after="80" w:line="290"/>
      </w:pPr>
      <w:r>
        <w:t xml:space="preserve">Why is it important to assign weights before scoring options? Give an example of what can go wrong otherwise.</w:t>
      </w:r>
    </w:p>
    <w:p>
      <w:pPr>
        <w:pStyle w:val="ListParagraph"/>
        <w:numPr>
          <w:ilvl w:val="0"/>
          <w:numId w:val="3"/>
        </w:numPr>
        <w:spacing w:after="80" w:line="290"/>
      </w:pPr>
      <w:r>
        <w:t xml:space="preserve">Your matrix gives Option A a total of 410 and Option B a total of 408. Is this a decisive result? What would you do next?</w:t>
      </w:r>
    </w:p>
    <w:p>
      <w:pPr>
        <w:pStyle w:val="ListParagraph"/>
        <w:numPr>
          <w:ilvl w:val="0"/>
          <w:numId w:val="3"/>
        </w:numPr>
        <w:spacing w:after="80" w:line="290"/>
      </w:pPr>
      <w:r>
        <w:t xml:space="preserve">Propose criteria and weights for choosing between two candidate programming languages for a greenfield backend service. Justify your weights.</w:t>
      </w:r>
    </w:p>
    <w:p>
      <w:pPr>
        <w:pStyle w:val="ListParagraph"/>
        <w:numPr>
          <w:ilvl w:val="0"/>
          <w:numId w:val="3"/>
        </w:numPr>
        <w:spacing w:after="80" w:line="290"/>
      </w:pPr>
      <w:r>
        <w:t xml:space="preserve">What information does sensitivity analysis provide that the raw totals do not?</w:t>
      </w:r>
    </w:p>
    <w:p>
      <w:pPr>
        <w:pStyle w:val="Heading1"/>
        <w:pageBreakBefore/>
      </w:pPr>
      <w:r>
        <w:t xml:space="preserve">Chapter 4 — Proof of Concept (PoC) and Spike Approach</w:t>
      </w:r>
    </w:p>
    <w:p>
      <w:pPr>
        <w:pStyle w:val="Heading2"/>
      </w:pPr>
      <w:r>
        <w:t xml:space="preserve">4.1 When Reasoning Runs Out</w:t>
      </w:r>
    </w:p>
    <w:p>
      <w:pPr>
        <w:spacing w:after="120" w:line="300"/>
        <w:jc w:val="both"/>
      </w:pPr>
      <w:r>
        <w:t xml:space="preserve">Sometimes no amount of discussion, documentation research, or vendor pitch can answer the question in front of you. Does this database actually handle our workload at our scale? Will this framework integrate cleanly with our existing auth layer? Can we actually meet the SLO with this architecture? At this point, the only way forward is to build — deliberately, in a time-boxed, disposable way — just enough to answer the question. That is the Proof of Concept.</w:t>
      </w:r>
    </w:p>
    <w:p>
      <w:pPr>
        <w:spacing w:after="120" w:line="300"/>
        <w:jc w:val="both"/>
      </w:pPr>
      <w:r>
        <w:t xml:space="preserve">A related concept, the Spike, comes from Extreme Programming: a short, focused exploration meant to reduce uncertainty enough that the team can estimate or design with confidence. The boundary between Spike and PoC is fuzzy. Usage in the industry varies; a workable distinction:</w:t>
      </w:r>
    </w:p>
    <w:p>
      <w:pPr>
        <w:pStyle w:val="ListParagraph"/>
        <w:numPr>
          <w:ilvl w:val="0"/>
          <w:numId w:val="2"/>
        </w:numPr>
        <w:spacing w:after="80" w:line="290"/>
      </w:pPr>
      <w:r>
        <w:t xml:space="preserve">Spike — usually 1-3 days, narrow scope, answers a specific question ('can we call this API from our framework?'). Output is knowledge. Code is typically discarded.</w:t>
      </w:r>
    </w:p>
    <w:p>
      <w:pPr>
        <w:pStyle w:val="ListParagraph"/>
        <w:numPr>
          <w:ilvl w:val="0"/>
          <w:numId w:val="2"/>
        </w:numPr>
        <w:spacing w:after="80" w:line="290"/>
      </w:pPr>
      <w:r>
        <w:t xml:space="preserve">Proof of Concept — usually 1-3 weeks, broader scope, validates whether an approach is viable end-to-end. Output is a working-but-unpolished demonstration. Code is sometimes harvested but should not be assumed production-ready.</w:t>
      </w:r>
    </w:p>
    <w:p>
      <w:pPr>
        <w:spacing w:after="120" w:line="300"/>
        <w:jc w:val="both"/>
      </w:pPr>
      <w:r>
        <w:t xml:space="preserve">Both share the essential characteristics: time-boxed, narrowly scoped, answer-focused, and disposable. The last is critical. PoC code written to inform a decision must not be treated as production code; it lacks error handling, tests, security review, and operational hardening. Shipping PoC code to production is one of the most common failure modes in technology organizations.</w:t>
      </w:r>
    </w:p>
    <w:p>
      <w:pPr>
        <w:pStyle w:val="Heading2"/>
      </w:pPr>
      <w:r>
        <w:t xml:space="preserve">4.2 Structuring a PoC</w:t>
      </w:r>
    </w:p>
    <w:p>
      <w:pPr>
        <w:pStyle w:val="Heading3"/>
      </w:pPr>
      <w:r>
        <w:t xml:space="preserve">Step 1: Write the Question in One Sentence</w:t>
      </w:r>
    </w:p>
    <w:p>
      <w:pPr>
        <w:spacing w:after="120" w:line="300"/>
        <w:jc w:val="both"/>
      </w:pPr>
      <w:r>
        <w:t xml:space="preserve">Every PoC must answer a specific, pre-declared question. Good questions are falsifiable — you can state in advance what evidence would count as 'yes' and what would count as 'no.' Bad questions are vague ('evaluate Kafka') or open-ended ('learn about Kafka'); these lead to PoCs that run out of time without producing a decision.</w:t>
      </w:r>
    </w:p>
    <w:p>
      <w:pPr>
        <w:spacing w:after="120" w:line="300"/>
        <w:jc w:val="both"/>
      </w:pPr>
      <w:r>
        <w:t xml:space="preserve">Examples of good PoC questions:</w:t>
      </w:r>
    </w:p>
    <w:p>
      <w:pPr>
        <w:pStyle w:val="ListParagraph"/>
        <w:numPr>
          <w:ilvl w:val="0"/>
          <w:numId w:val="2"/>
        </w:numPr>
        <w:spacing w:after="80" w:line="290"/>
      </w:pPr>
      <w:r>
        <w:t xml:space="preserve">'Can we sustain 10,000 writes/sec and 50,000 reads/sec on DynamoDB in our AWS region at a 99.9th-percentile latency below 20ms?'</w:t>
      </w:r>
    </w:p>
    <w:p>
      <w:pPr>
        <w:pStyle w:val="ListParagraph"/>
        <w:numPr>
          <w:ilvl w:val="0"/>
          <w:numId w:val="2"/>
        </w:numPr>
        <w:spacing w:after="80" w:line="290"/>
      </w:pPr>
      <w:r>
        <w:t xml:space="preserve">'Can we instrument a representative 200-line service in Java using OpenTelemetry and have traces appear in our Tempo backend within 30 seconds?'</w:t>
      </w:r>
    </w:p>
    <w:p>
      <w:pPr>
        <w:pStyle w:val="ListParagraph"/>
        <w:numPr>
          <w:ilvl w:val="0"/>
          <w:numId w:val="2"/>
        </w:numPr>
        <w:spacing w:after="80" w:line="290"/>
      </w:pPr>
      <w:r>
        <w:t xml:space="preserve">'Can we integrate WebAssembly plugins into our proxy without exceeding 15% CPU overhead at 50k RPS?'</w:t>
      </w:r>
    </w:p>
    <w:p>
      <w:pPr>
        <w:pStyle w:val="Heading3"/>
      </w:pPr>
      <w:r>
        <w:t xml:space="preserve">Step 2: Define Success Criteria Upfront</w:t>
      </w:r>
    </w:p>
    <w:p>
      <w:pPr>
        <w:spacing w:after="120" w:line="300"/>
        <w:jc w:val="both"/>
      </w:pPr>
      <w:r>
        <w:t xml:space="preserve">What result will convince us to proceed? What result will convince us not to? Commit to these before starting. Common success-criteria archetypes:</w:t>
      </w:r>
    </w:p>
    <w:p>
      <w:pPr>
        <w:pStyle w:val="ListParagraph"/>
        <w:numPr>
          <w:ilvl w:val="0"/>
          <w:numId w:val="2"/>
        </w:numPr>
        <w:spacing w:after="80" w:line="290"/>
      </w:pPr>
      <w:r>
        <w:t xml:space="preserve">Performance threshold (latency, throughput, memory).</w:t>
      </w:r>
    </w:p>
    <w:p>
      <w:pPr>
        <w:pStyle w:val="ListParagraph"/>
        <w:numPr>
          <w:ilvl w:val="0"/>
          <w:numId w:val="2"/>
        </w:numPr>
        <w:spacing w:after="80" w:line="290"/>
      </w:pPr>
      <w:r>
        <w:t xml:space="preserve">Integration works (A and B actually talk to each other as expected).</w:t>
      </w:r>
    </w:p>
    <w:p>
      <w:pPr>
        <w:pStyle w:val="ListParagraph"/>
        <w:numPr>
          <w:ilvl w:val="0"/>
          <w:numId w:val="2"/>
        </w:numPr>
        <w:spacing w:after="80" w:line="290"/>
      </w:pPr>
      <w:r>
        <w:t xml:space="preserve">Developer experience (time-to-first-request, debuggability).</w:t>
      </w:r>
    </w:p>
    <w:p>
      <w:pPr>
        <w:pStyle w:val="ListParagraph"/>
        <w:numPr>
          <w:ilvl w:val="0"/>
          <w:numId w:val="2"/>
        </w:numPr>
        <w:spacing w:after="80" w:line="290"/>
      </w:pPr>
      <w:r>
        <w:t xml:space="preserve">Cost envelope (within $X/month at Y load).</w:t>
      </w:r>
    </w:p>
    <w:p>
      <w:pPr>
        <w:pStyle w:val="ListParagraph"/>
        <w:numPr>
          <w:ilvl w:val="0"/>
          <w:numId w:val="2"/>
        </w:numPr>
        <w:spacing w:after="80" w:line="290"/>
      </w:pPr>
      <w:r>
        <w:t xml:space="preserve">Compatibility (runs on our versions of X, Y, Z).</w:t>
      </w:r>
    </w:p>
    <w:p>
      <w:pPr>
        <w:pStyle w:val="Heading3"/>
      </w:pPr>
      <w:r>
        <w:t xml:space="preserve">Step 3: Box the Time</w:t>
      </w:r>
    </w:p>
    <w:p>
      <w:pPr>
        <w:spacing w:after="120" w:line="300"/>
        <w:jc w:val="both"/>
      </w:pPr>
      <w:r>
        <w:t xml:space="preserve">PoCs and Spikes must have hard deadlines. 'We'll see how it goes' is a recipe for a PoC that consumes a quarter. Agree on a duration — typically 3, 5, or 10 business days — and treat it as a real commitment. If the work is not done at the deadline, you do not extend; you report what you learned and make a decision based on what you have. If the answer is not yet clear, the honest answer is 'inconclusive, here is what we know' — which is itself a useful input to the larger decision.</w:t>
      </w:r>
    </w:p>
    <w:p>
      <w:pPr>
        <w:pStyle w:val="Heading3"/>
      </w:pPr>
      <w:r>
        <w:t xml:space="preserve">Step 4: Limit the Scope Aggressively</w:t>
      </w:r>
    </w:p>
    <w:p>
      <w:pPr>
        <w:spacing w:after="120" w:line="300"/>
        <w:jc w:val="both"/>
      </w:pPr>
      <w:r>
        <w:t xml:space="preserve">The temptation is to build something impressive. Resist. A PoC should use hardcoded inputs, skip error handling, bypass auth, and ignore edge cases unless they are specifically part of the question. A lean PoC answers the question in a week; a comprehensive PoC answers nothing in a month.</w:t>
      </w:r>
    </w:p>
    <w:p>
      <w:pPr>
        <w:pStyle w:val="Heading3"/>
      </w:pPr>
      <w:r>
        <w:t xml:space="preserve">Step 5: Capture the Output</w:t>
      </w:r>
    </w:p>
    <w:p>
      <w:pPr>
        <w:spacing w:after="120" w:line="300"/>
        <w:jc w:val="both"/>
      </w:pPr>
      <w:r>
        <w:t xml:space="preserve">At the end of the time box, produce a written artifact: the PoC report. It should include: the question asked, the success criteria, what was built, how it was tested, measured results, qualitative observations, and a recommendation (proceed, abandon, or further investigation with specific follow-up questions). This artifact — not the code — is the real output.</w:t>
      </w:r>
    </w:p>
    <w:p>
      <w:pPr>
        <w:pStyle w:val="Heading2"/>
      </w:pPr>
      <w:r>
        <w:t xml:space="preserve">4.3 A Fully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F8D" w:sz="6"/>
              <w:left w:val="single" w:color="2D5F8D" w:sz="6"/>
              <w:bottom w:val="single" w:color="2D5F8D" w:sz="6"/>
              <w:right w:val="single" w:color="2D5F8D" w:sz="6"/>
            </w:tcBorders>
            <w:shd w:fill="FFF4E6" w:val="clear"/>
            <w:tcMar>
              <w:top w:type="dxa" w:w="160"/>
              <w:left w:type="dxa" w:w="200"/>
              <w:bottom w:type="dxa" w:w="160"/>
              <w:right w:type="dxa" w:w="200"/>
            </w:tcMar>
          </w:tcPr>
          <w:p>
            <w:pPr>
              <w:spacing w:after="80"/>
            </w:pPr>
            <w:r>
              <w:rPr>
                <w:b/>
                <w:bCs/>
                <w:color w:val="2D5F8D"/>
                <w:sz w:val="22"/>
                <w:szCs w:val="22"/>
              </w:rPr>
              <w:t xml:space="preserve">PoC: Evaluate Temporal.io for Workflow Orchestration</w:t>
            </w:r>
          </w:p>
          <w:p>
            <w:pPr>
              <w:spacing w:after="120" w:line="300"/>
              <w:jc w:val="both"/>
            </w:pPr>
            <w:r>
              <w:rPr>
                <w:b/>
                <w:bCs/>
              </w:rPr>
              <w:t xml:space="preserve">Duration: </w:t>
            </w:r>
            <w:r>
              <w:t xml:space="preserve">10 business days (2026-03-02 through 2026-03-13)</w:t>
            </w:r>
          </w:p>
          <w:p>
            <w:pPr>
              <w:spacing w:after="120" w:line="300"/>
              <w:jc w:val="both"/>
            </w:pPr>
            <w:r>
              <w:rPr>
                <w:b/>
                <w:bCs/>
              </w:rPr>
              <w:t xml:space="preserve">Engineers: </w:t>
            </w:r>
            <w:r>
              <w:t xml:space="preserve">2 (one backend, one infra)</w:t>
            </w:r>
          </w:p>
          <w:p>
            <w:pPr>
              <w:spacing w:after="120" w:line="300"/>
              <w:jc w:val="both"/>
            </w:pPr>
            <w:r>
              <w:rPr>
                <w:b/>
                <w:bCs/>
              </w:rPr>
              <w:t xml:space="preserve">Question: </w:t>
            </w:r>
            <w:r>
              <w:t xml:space="preserve">Can Temporal handle our order-fulfillment workflow end-to-end, maintaining state correctness across a simulated 24-hour workflow with injected failures, at a steady-state throughput of 2,000 workflows/minute?</w:t>
            </w:r>
          </w:p>
        </w:tc>
      </w:tr>
    </w:tbl>
    <w:p>
      <w:pPr>
        <w:pStyle w:val="Heading4"/>
      </w:pPr>
      <w:r>
        <w:t xml:space="preserve">Success Criteria (pre-declared)</w:t>
      </w:r>
    </w:p>
    <w:p>
      <w:pPr>
        <w:pStyle w:val="ListParagraph"/>
        <w:numPr>
          <w:ilvl w:val="0"/>
          <w:numId w:val="2"/>
        </w:numPr>
        <w:spacing w:after="80" w:line="290"/>
      </w:pPr>
      <w:r>
        <w:t xml:space="preserve">Fulfillment workflow (8 steps, includes retries and timer-based delays) runs end-to-end correctly in at least 99% of test runs.</w:t>
      </w:r>
    </w:p>
    <w:p>
      <w:pPr>
        <w:pStyle w:val="ListParagraph"/>
        <w:numPr>
          <w:ilvl w:val="0"/>
          <w:numId w:val="2"/>
        </w:numPr>
        <w:spacing w:after="80" w:line="290"/>
      </w:pPr>
      <w:r>
        <w:t xml:space="preserve">At 2,000 workflows/minute sustained for 1 hour, p99 latency for workflow completion is within 20% of hand-coded baseline.</w:t>
      </w:r>
    </w:p>
    <w:p>
      <w:pPr>
        <w:pStyle w:val="ListParagraph"/>
        <w:numPr>
          <w:ilvl w:val="0"/>
          <w:numId w:val="2"/>
        </w:numPr>
        <w:spacing w:after="80" w:line="290"/>
      </w:pPr>
      <w:r>
        <w:t xml:space="preserve">When a worker pod is killed mid-workflow, the workflow resumes correctly on another worker within 30 seconds.</w:t>
      </w:r>
    </w:p>
    <w:p>
      <w:pPr>
        <w:pStyle w:val="ListParagraph"/>
        <w:numPr>
          <w:ilvl w:val="0"/>
          <w:numId w:val="2"/>
        </w:numPr>
        <w:spacing w:after="80" w:line="290"/>
      </w:pPr>
      <w:r>
        <w:t xml:space="preserve">Operational story: we can observe in-flight workflows, debug a failed one, and replay for investigation.</w:t>
      </w:r>
    </w:p>
    <w:p>
      <w:pPr>
        <w:pStyle w:val="Heading4"/>
      </w:pPr>
      <w:r>
        <w:t xml:space="preserve">Scope Boundaries (what the PoC will NOT do)</w:t>
      </w:r>
    </w:p>
    <w:p>
      <w:pPr>
        <w:pStyle w:val="ListParagraph"/>
        <w:numPr>
          <w:ilvl w:val="0"/>
          <w:numId w:val="2"/>
        </w:numPr>
        <w:spacing w:after="80" w:line="290"/>
      </w:pPr>
      <w:r>
        <w:t xml:space="preserve">No production integration; uses test fixtures for downstream services.</w:t>
      </w:r>
    </w:p>
    <w:p>
      <w:pPr>
        <w:pStyle w:val="ListParagraph"/>
        <w:numPr>
          <w:ilvl w:val="0"/>
          <w:numId w:val="2"/>
        </w:numPr>
        <w:spacing w:after="80" w:line="290"/>
      </w:pPr>
      <w:r>
        <w:t xml:space="preserve">No security review; PoC runs in isolated test AWS account.</w:t>
      </w:r>
    </w:p>
    <w:p>
      <w:pPr>
        <w:pStyle w:val="ListParagraph"/>
        <w:numPr>
          <w:ilvl w:val="0"/>
          <w:numId w:val="2"/>
        </w:numPr>
        <w:spacing w:after="80" w:line="290"/>
      </w:pPr>
      <w:r>
        <w:t xml:space="preserve">No multi-region; single cluster only.</w:t>
      </w:r>
    </w:p>
    <w:p>
      <w:pPr>
        <w:pStyle w:val="ListParagraph"/>
        <w:numPr>
          <w:ilvl w:val="0"/>
          <w:numId w:val="2"/>
        </w:numPr>
        <w:spacing w:after="80" w:line="290"/>
      </w:pPr>
      <w:r>
        <w:t xml:space="preserve">No cost modeling; that comes after the go/no-go.</w:t>
      </w:r>
    </w:p>
    <w:p>
      <w:pPr>
        <w:pStyle w:val="Heading4"/>
      </w:pPr>
      <w:r>
        <w:t xml:space="preserve">Execution Timeline</w:t>
      </w:r>
    </w:p>
    <w:p>
      <w:pPr>
        <w:pStyle w:val="ListParagraph"/>
        <w:numPr>
          <w:ilvl w:val="0"/>
          <w:numId w:val="2"/>
        </w:numPr>
        <w:spacing w:after="80" w:line="290"/>
      </w:pPr>
      <w:r>
        <w:t xml:space="preserve">Days 1-2: Stand up Temporal cluster in test account; 'Hello World' workflow.</w:t>
      </w:r>
    </w:p>
    <w:p>
      <w:pPr>
        <w:pStyle w:val="ListParagraph"/>
        <w:numPr>
          <w:ilvl w:val="0"/>
          <w:numId w:val="2"/>
        </w:numPr>
        <w:spacing w:after="80" w:line="290"/>
      </w:pPr>
      <w:r>
        <w:t xml:space="preserve">Days 3-5: Port fulfillment workflow to Temporal SDK (Go).</w:t>
      </w:r>
    </w:p>
    <w:p>
      <w:pPr>
        <w:pStyle w:val="ListParagraph"/>
        <w:numPr>
          <w:ilvl w:val="0"/>
          <w:numId w:val="2"/>
        </w:numPr>
        <w:spacing w:after="80" w:line="290"/>
      </w:pPr>
      <w:r>
        <w:t xml:space="preserve">Days 6-7: Load test with 2k wf/min; measure latency and error rate.</w:t>
      </w:r>
    </w:p>
    <w:p>
      <w:pPr>
        <w:pStyle w:val="ListParagraph"/>
        <w:numPr>
          <w:ilvl w:val="0"/>
          <w:numId w:val="2"/>
        </w:numPr>
        <w:spacing w:after="80" w:line="290"/>
      </w:pPr>
      <w:r>
        <w:t xml:space="preserve">Day 8: Chaos test — kill workers; observe resumption.</w:t>
      </w:r>
    </w:p>
    <w:p>
      <w:pPr>
        <w:pStyle w:val="ListParagraph"/>
        <w:numPr>
          <w:ilvl w:val="0"/>
          <w:numId w:val="2"/>
        </w:numPr>
        <w:spacing w:after="80" w:line="290"/>
      </w:pPr>
      <w:r>
        <w:t xml:space="preserve">Day 9: Operational walkthrough — dashboards, debugging, replay.</w:t>
      </w:r>
    </w:p>
    <w:p>
      <w:pPr>
        <w:pStyle w:val="ListParagraph"/>
        <w:numPr>
          <w:ilvl w:val="0"/>
          <w:numId w:val="2"/>
        </w:numPr>
        <w:spacing w:after="80" w:line="290"/>
      </w:pPr>
      <w:r>
        <w:t xml:space="preserve">Day 10: Write up PoC report; share with Approver and Contributors.</w:t>
      </w:r>
    </w:p>
    <w:p>
      <w:pPr>
        <w:pStyle w:val="Heading4"/>
      </w:pPr>
      <w:r>
        <w:t xml:space="preserve">Results</w:t>
      </w:r>
    </w:p>
    <w:p>
      <w:pPr>
        <w:pStyle w:val="ListParagraph"/>
        <w:numPr>
          <w:ilvl w:val="0"/>
          <w:numId w:val="2"/>
        </w:numPr>
        <w:spacing w:after="80" w:line="290"/>
      </w:pPr>
      <w:r>
        <w:t xml:space="preserve">Correctness: 100% of test runs completed correctly (&gt;500 runs).</w:t>
      </w:r>
    </w:p>
    <w:p>
      <w:pPr>
        <w:pStyle w:val="ListParagraph"/>
        <w:numPr>
          <w:ilvl w:val="0"/>
          <w:numId w:val="2"/>
        </w:numPr>
        <w:spacing w:after="80" w:line="290"/>
      </w:pPr>
      <w:r>
        <w:t xml:space="preserve">Throughput: sustained 2,200 wf/min at p99 workflow-completion latency of 1.8s (baseline: 1.5s). Within 20% threshold — passed.</w:t>
      </w:r>
    </w:p>
    <w:p>
      <w:pPr>
        <w:pStyle w:val="ListParagraph"/>
        <w:numPr>
          <w:ilvl w:val="0"/>
          <w:numId w:val="2"/>
        </w:numPr>
        <w:spacing w:after="80" w:line="290"/>
      </w:pPr>
      <w:r>
        <w:t xml:space="preserve">Chaos: workflows resumed on new worker in median 12s, max 28s — passed.</w:t>
      </w:r>
    </w:p>
    <w:p>
      <w:pPr>
        <w:pStyle w:val="ListParagraph"/>
        <w:numPr>
          <w:ilvl w:val="0"/>
          <w:numId w:val="2"/>
        </w:numPr>
        <w:spacing w:after="80" w:line="290"/>
      </w:pPr>
      <w:r>
        <w:t xml:space="preserve">Operational: dashboards were excellent; replay capability was better than our baseline; debugging a stuck workflow was straightforward.</w:t>
      </w:r>
    </w:p>
    <w:p>
      <w:pPr>
        <w:pStyle w:val="ListParagraph"/>
        <w:numPr>
          <w:ilvl w:val="0"/>
          <w:numId w:val="2"/>
        </w:numPr>
        <w:spacing w:after="80" w:line="290"/>
      </w:pPr>
      <w:r>
        <w:t xml:space="preserve">Surprising discovery: Temporal's task-queue architecture meant our existing assumption about per-service queues didn't map cleanly. Recommended refactor in production implementation.</w:t>
      </w:r>
    </w:p>
    <w:p>
      <w:pPr>
        <w:pStyle w:val="Heading4"/>
      </w:pPr>
      <w:r>
        <w:t xml:space="preserve">Recommendation</w:t>
      </w:r>
    </w:p>
    <w:p>
      <w:pPr>
        <w:spacing w:after="120" w:line="300"/>
        <w:jc w:val="both"/>
      </w:pPr>
      <w:r>
        <w:t xml:space="preserve">Proceed to production adoption, with a phased rollout starting with fulfillment. Account for the task-queue architecture refactor in estimates. Estimated production implementation: 6-8 engineer-weeks.</w:t>
      </w:r>
    </w:p>
    <w:p>
      <w:pPr>
        <w:pStyle w:val="Heading2"/>
      </w:pPr>
      <w:r>
        <w:t xml:space="preserve">4.4 When to Use a PoC vs. Other Techniques</w:t>
      </w:r>
    </w:p>
    <w:p>
      <w:pPr>
        <w:pStyle w:val="ListParagraph"/>
        <w:numPr>
          <w:ilvl w:val="0"/>
          <w:numId w:val="2"/>
        </w:numPr>
        <w:spacing w:after="80" w:line="290"/>
      </w:pPr>
      <w:r>
        <w:t xml:space="preserve">Use a PoC when the question requires actual measurement or integration that cannot be answered from documentation, benchmarks, or reference implementations.</w:t>
      </w:r>
    </w:p>
    <w:p>
      <w:pPr>
        <w:pStyle w:val="ListParagraph"/>
        <w:numPr>
          <w:ilvl w:val="0"/>
          <w:numId w:val="2"/>
        </w:numPr>
        <w:spacing w:after="80" w:line="290"/>
      </w:pPr>
      <w:r>
        <w:t xml:space="preserve">Use a literature review first. Often 80% of the uncertainty can be resolved by reading case studies, vendor docs, and engineering blogs. Do the cheap research before the expensive PoC.</w:t>
      </w:r>
    </w:p>
    <w:p>
      <w:pPr>
        <w:pStyle w:val="ListParagraph"/>
        <w:numPr>
          <w:ilvl w:val="0"/>
          <w:numId w:val="2"/>
        </w:numPr>
        <w:spacing w:after="80" w:line="290"/>
      </w:pPr>
      <w:r>
        <w:t xml:space="preserve">Use a decision matrix (Chapter 3) when the uncertainty is about tradeoffs, not feasibility — matrices sort options you already understand; PoCs resolve questions about whether options work at all.</w:t>
      </w:r>
    </w:p>
    <w:p>
      <w:pPr>
        <w:pStyle w:val="ListParagraph"/>
        <w:numPr>
          <w:ilvl w:val="0"/>
          <w:numId w:val="2"/>
        </w:numPr>
        <w:spacing w:after="80" w:line="290"/>
      </w:pPr>
      <w:r>
        <w:t xml:space="preserve">Use an architecture spike when a smaller, faster answer will do. Not every uncertainty needs a two-week PoC.</w:t>
      </w:r>
    </w:p>
    <w:p>
      <w:pPr>
        <w:pStyle w:val="ListParagraph"/>
        <w:numPr>
          <w:ilvl w:val="0"/>
          <w:numId w:val="2"/>
        </w:numPr>
        <w:spacing w:after="80" w:line="290"/>
      </w:pPr>
      <w:r>
        <w:t xml:space="preserve">Skip the PoC when the cost of being wrong is low and the choice is easy to reverse. See Chapter 5 on two-way doors.</w:t>
      </w:r>
    </w:p>
    <w:p>
      <w:pPr>
        <w:pStyle w:val="Heading2"/>
      </w:pPr>
      <w:r>
        <w:t xml:space="preserve">4.5 Pitfalls</w:t>
      </w:r>
    </w:p>
    <w:p>
      <w:pPr>
        <w:pStyle w:val="ListParagraph"/>
        <w:numPr>
          <w:ilvl w:val="0"/>
          <w:numId w:val="2"/>
        </w:numPr>
        <w:spacing w:after="80" w:line="290"/>
      </w:pPr>
      <w:r>
        <w:t xml:space="preserve">The PoC that becomes production. By far the most common pitfall. Engineers invest weeks in PoC code, management asks 'can we just ship this?', and the answer is always technically yes and operationally disastrous. Mitigate by declaring at the start, in writing, that this code will not ship; by using a test account isolated from production; and by budgeting for the real implementation separately.</w:t>
      </w:r>
    </w:p>
    <w:p>
      <w:pPr>
        <w:pStyle w:val="ListParagraph"/>
        <w:numPr>
          <w:ilvl w:val="0"/>
          <w:numId w:val="2"/>
        </w:numPr>
        <w:spacing w:after="80" w:line="290"/>
      </w:pPr>
      <w:r>
        <w:t xml:space="preserve">Scope creep. The PoC grows to include a second question, a third integration, a fourth edge case. Hold the line. Additional questions are follow-up PoCs, not expansions of this one.</w:t>
      </w:r>
    </w:p>
    <w:p>
      <w:pPr>
        <w:pStyle w:val="ListParagraph"/>
        <w:numPr>
          <w:ilvl w:val="0"/>
          <w:numId w:val="2"/>
        </w:numPr>
        <w:spacing w:after="80" w:line="290"/>
      </w:pPr>
      <w:r>
        <w:t xml:space="preserve">No success criteria. Without criteria, the PoC ends with 'it kind of works' and no one knows if that means yes or no. Always pre-declare what success looks like.</w:t>
      </w:r>
    </w:p>
    <w:p>
      <w:pPr>
        <w:pStyle w:val="ListParagraph"/>
        <w:numPr>
          <w:ilvl w:val="0"/>
          <w:numId w:val="2"/>
        </w:numPr>
        <w:spacing w:after="80" w:line="290"/>
      </w:pPr>
      <w:r>
        <w:t xml:space="preserve">PoC by PowerPoint. Building slides instead of code. A PoC must actually run — vendor demos and whitepapers are not PoCs.</w:t>
      </w:r>
    </w:p>
    <w:p>
      <w:pPr>
        <w:pStyle w:val="ListParagraph"/>
        <w:numPr>
          <w:ilvl w:val="0"/>
          <w:numId w:val="2"/>
        </w:numPr>
        <w:spacing w:after="80" w:line="290"/>
      </w:pPr>
      <w:r>
        <w:t xml:space="preserve">Bias in the PoC engineer. If the engineer chose the PoC subject because they're excited about it, their 'it works beautifully' assessment is suspect. Either assign a skeptic to run the PoC or have a skeptic review the results.</w:t>
      </w:r>
    </w:p>
    <w:p>
      <w:pPr>
        <w:pStyle w:val="ListParagraph"/>
        <w:numPr>
          <w:ilvl w:val="0"/>
          <w:numId w:val="2"/>
        </w:numPr>
        <w:spacing w:after="80" w:line="290"/>
      </w:pPr>
      <w:r>
        <w:t xml:space="preserve">Skipping the writeup. Code is not a decision input; the written PoC report is. Without it, the PoC's findings live only in one engineer's head.</w:t>
      </w:r>
    </w:p>
    <w:p>
      <w:pPr>
        <w:pStyle w:val="Heading2"/>
      </w:pPr>
      <w:r>
        <w:t xml:space="preserve">4.6 Review Questions</w:t>
      </w:r>
    </w:p>
    <w:p>
      <w:pPr>
        <w:pStyle w:val="ListParagraph"/>
        <w:numPr>
          <w:ilvl w:val="0"/>
          <w:numId w:val="3"/>
        </w:numPr>
        <w:spacing w:after="80" w:line="290"/>
      </w:pPr>
      <w:r>
        <w:t xml:space="preserve">Why is the time-box the most important characteristic of a PoC? What happens when it is not enforced?</w:t>
      </w:r>
    </w:p>
    <w:p>
      <w:pPr>
        <w:pStyle w:val="ListParagraph"/>
        <w:numPr>
          <w:ilvl w:val="0"/>
          <w:numId w:val="3"/>
        </w:numPr>
        <w:spacing w:after="80" w:line="290"/>
      </w:pPr>
      <w:r>
        <w:t xml:space="preserve">Give an example of a 'bad PoC question' and rewrite it as a good one.</w:t>
      </w:r>
    </w:p>
    <w:p>
      <w:pPr>
        <w:pStyle w:val="ListParagraph"/>
        <w:numPr>
          <w:ilvl w:val="0"/>
          <w:numId w:val="3"/>
        </w:numPr>
        <w:spacing w:after="80" w:line="290"/>
      </w:pPr>
      <w:r>
        <w:t xml:space="preserve">Your PoC ran the full two weeks and produced a mixed result: the framework works but performance is borderline. How do you turn this into a decision input?</w:t>
      </w:r>
    </w:p>
    <w:p>
      <w:pPr>
        <w:pStyle w:val="ListParagraph"/>
        <w:numPr>
          <w:ilvl w:val="0"/>
          <w:numId w:val="3"/>
        </w:numPr>
        <w:spacing w:after="80" w:line="290"/>
      </w:pPr>
      <w:r>
        <w:t xml:space="preserve">What is the most common failure mode of PoCs in organizations, and how do you prevent it?</w:t>
      </w:r>
    </w:p>
    <w:p>
      <w:pPr>
        <w:pStyle w:val="Heading1"/>
        <w:pageBreakBefore/>
      </w:pPr>
      <w:r>
        <w:t xml:space="preserve">Chapter 5 — Reversible vs. Irreversible Decisions (One-Way vs. Two-Way Doors)</w:t>
      </w:r>
    </w:p>
    <w:p>
      <w:pPr>
        <w:pStyle w:val="Heading2"/>
      </w:pPr>
      <w:r>
        <w:t xml:space="preserve">5.1 The Core Distinction</w:t>
      </w:r>
    </w:p>
    <w:p>
      <w:pPr>
        <w:spacing w:after="120" w:line="300"/>
        <w:jc w:val="both"/>
      </w:pPr>
      <w:r>
        <w:t xml:space="preserve">Jeff Bezos's 1997 and 2015 letters to Amazon shareholders introduced a vocabulary that has since become standard across the industry: one-way doors and two-way doors. A one-way door is a decision that is difficult or impossible to reverse — once you walk through, you cannot easily go back. A two-way door is a decision that is easy to reverse — if it doesn't work out, you walk back through and try something else.</w:t>
      </w:r>
    </w:p>
    <w:p>
      <w:pPr>
        <w:spacing w:after="120" w:line="300"/>
        <w:jc w:val="both"/>
      </w:pPr>
      <w:r>
        <w:t xml:space="preserve">The key insight is that these two types of decisions deserve fundamentally different processes. One-way doors warrant heavy deliberation: involve senior leadership, consider many alternatives, document thoroughly, commit only when confident. Two-way doors warrant speed: make a decision, try it, evaluate, adjust. Applying one-way-door process to a two-way-door decision is slow and wasteful; applying two-way-door process to a one-way-door decision is reckless. The most common organizational failure mode is the first — treating routine, reversible decisions with the gravity and delay appropriate to irreversible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F8D" w:sz="6"/>
              <w:left w:val="single" w:color="2D5F8D" w:sz="6"/>
              <w:bottom w:val="single" w:color="2D5F8D" w:sz="6"/>
              <w:right w:val="single" w:color="2D5F8D" w:sz="6"/>
            </w:tcBorders>
            <w:shd w:fill="DDE7F0" w:val="clear"/>
            <w:tcMar>
              <w:top w:type="dxa" w:w="160"/>
              <w:left w:type="dxa" w:w="200"/>
              <w:bottom w:type="dxa" w:w="160"/>
              <w:right w:type="dxa" w:w="200"/>
            </w:tcMar>
          </w:tcPr>
          <w:p>
            <w:pPr>
              <w:spacing w:after="80"/>
            </w:pPr>
            <w:r>
              <w:rPr>
                <w:b/>
                <w:bCs/>
                <w:color w:val="2D5F8D"/>
                <w:sz w:val="22"/>
                <w:szCs w:val="22"/>
              </w:rPr>
              <w:t xml:space="preserve">Bezos's Formulation</w:t>
            </w:r>
          </w:p>
          <w:p>
            <w:pPr>
              <w:spacing w:after="120" w:line="300"/>
              <w:jc w:val="both"/>
            </w:pPr>
            <w:r>
              <w:t xml:space="preserve">Bezos wrote: 'Some decisions are consequential and irreversible or nearly irreversible — one-way doors — and these decisions must be made methodically, carefully, slowly, with great deliberation and consultation. But most decisions aren't like that — they are changeable, reversible — they're two-way doors. If you've made a suboptimal Type 2 decision, you don't have to live with the consequences for that long. You can reopen the door and go back through.' He argued that large organizations tend to apply Type 1 process to every decision, and that this 'slowness, unthoughtful risk aversion' is a major source of organizational drag.</w:t>
            </w:r>
          </w:p>
        </w:tc>
      </w:tr>
    </w:tbl>
    <w:p>
      <w:pPr>
        <w:pStyle w:val="Heading2"/>
      </w:pPr>
      <w:r>
        <w:t xml:space="preserve">5.2 How to Tell Which Kind You Are Facing</w:t>
      </w:r>
    </w:p>
    <w:p>
      <w:pPr>
        <w:spacing w:after="120" w:line="300"/>
        <w:jc w:val="both"/>
      </w:pPr>
      <w:r>
        <w:t xml:space="preserve">Reversibility is a spectrum, not a binary. But for practical purposes, most decisions fall clearly into one camp or the other. Questions that help you classify:</w:t>
      </w:r>
    </w:p>
    <w:p>
      <w:pPr>
        <w:pStyle w:val="ListParagraph"/>
        <w:numPr>
          <w:ilvl w:val="0"/>
          <w:numId w:val="2"/>
        </w:numPr>
        <w:spacing w:after="80" w:line="290"/>
      </w:pPr>
      <w:r>
        <w:t xml:space="preserve">What would it cost — in time, money, and organizational disruption — to reverse this decision in six months? If the answer is 'a few days and a pull request,' it's a two-way door. If the answer is 'a quarter of engineering time and a data migration,' it is one-way.</w:t>
      </w:r>
    </w:p>
    <w:p>
      <w:pPr>
        <w:pStyle w:val="ListParagraph"/>
        <w:numPr>
          <w:ilvl w:val="0"/>
          <w:numId w:val="2"/>
        </w:numPr>
        <w:spacing w:after="80" w:line="290"/>
      </w:pPr>
      <w:r>
        <w:t xml:space="preserve">Does this decision commit the organization to a dependency that is difficult to escape? Vendor lock-in, data format commitments, API contracts with external consumers, and architectural patterns embedded in hundreds of services are all lock-in signals.</w:t>
      </w:r>
    </w:p>
    <w:p>
      <w:pPr>
        <w:pStyle w:val="ListParagraph"/>
        <w:numPr>
          <w:ilvl w:val="0"/>
          <w:numId w:val="2"/>
        </w:numPr>
        <w:spacing w:after="80" w:line="290"/>
      </w:pPr>
      <w:r>
        <w:t xml:space="preserve">Does reversing this require the cooperation of others who may not agree? A team that chooses a new framework can switch back unilaterally; a company that migrates to a new cloud provider and signs a 3-year contract cannot.</w:t>
      </w:r>
    </w:p>
    <w:p>
      <w:pPr>
        <w:pStyle w:val="ListParagraph"/>
        <w:numPr>
          <w:ilvl w:val="0"/>
          <w:numId w:val="2"/>
        </w:numPr>
        <w:spacing w:after="80" w:line="290"/>
      </w:pPr>
      <w:r>
        <w:t xml:space="preserve">Is there a point-of-no-return moment — a data migration, a customer-facing launch, a public announcement — after which reversal becomes painful?</w:t>
      </w:r>
    </w:p>
    <w:p>
      <w:pPr>
        <w:pStyle w:val="ListParagraph"/>
        <w:numPr>
          <w:ilvl w:val="0"/>
          <w:numId w:val="2"/>
        </w:numPr>
        <w:spacing w:after="80" w:line="290"/>
      </w:pPr>
      <w:r>
        <w:t xml:space="preserve">How wide is the blast radius of the decision? A choice affecting one service is easier to reverse than one affecting the whole organization.</w:t>
      </w:r>
    </w:p>
    <w:p>
      <w:pPr>
        <w:pStyle w:val="Heading2"/>
      </w:pPr>
      <w:r>
        <w:t xml:space="preserve">5.3 The Process Differential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D5F8D" w:val="clear"/>
            <w:tcMar>
              <w:top w:type="dxa" w:w="100"/>
              <w:left w:type="dxa" w:w="140"/>
              <w:bottom w:type="dxa" w:w="100"/>
              <w:right w:type="dxa" w:w="140"/>
            </w:tcMar>
          </w:tcPr>
          <w:p>
            <w:r>
              <w:rPr>
                <w:b/>
                <w:bCs/>
                <w:color w:val="FFFFFF"/>
              </w:rPr>
              <w:t xml:space="preserve">Process Element</w:t>
            </w:r>
          </w:p>
        </w:tc>
        <w:tc>
          <w:tcPr>
            <w:tcW w:type="dxa" w:w="3120"/>
            <w:tcBorders>
              <w:top w:val="single" w:color="BFBFBF" w:sz="4"/>
              <w:left w:val="single" w:color="BFBFBF" w:sz="4"/>
              <w:bottom w:val="single" w:color="BFBFBF" w:sz="4"/>
              <w:right w:val="single" w:color="BFBFBF" w:sz="4"/>
            </w:tcBorders>
            <w:shd w:fill="2D5F8D" w:val="clear"/>
            <w:tcMar>
              <w:top w:type="dxa" w:w="100"/>
              <w:left w:type="dxa" w:w="140"/>
              <w:bottom w:type="dxa" w:w="100"/>
              <w:right w:type="dxa" w:w="140"/>
            </w:tcMar>
          </w:tcPr>
          <w:p>
            <w:r>
              <w:rPr>
                <w:b/>
                <w:bCs/>
                <w:color w:val="FFFFFF"/>
              </w:rPr>
              <w:t xml:space="preserve">One-Way Door</w:t>
            </w:r>
          </w:p>
        </w:tc>
        <w:tc>
          <w:tcPr>
            <w:tcW w:type="dxa" w:w="3120"/>
            <w:tcBorders>
              <w:top w:val="single" w:color="BFBFBF" w:sz="4"/>
              <w:left w:val="single" w:color="BFBFBF" w:sz="4"/>
              <w:bottom w:val="single" w:color="BFBFBF" w:sz="4"/>
              <w:right w:val="single" w:color="BFBFBF" w:sz="4"/>
            </w:tcBorders>
            <w:shd w:fill="2D5F8D" w:val="clear"/>
            <w:tcMar>
              <w:top w:type="dxa" w:w="100"/>
              <w:left w:type="dxa" w:w="140"/>
              <w:bottom w:type="dxa" w:w="100"/>
              <w:right w:type="dxa" w:w="140"/>
            </w:tcMar>
          </w:tcPr>
          <w:p>
            <w:r>
              <w:rPr>
                <w:b/>
                <w:bCs/>
                <w:color w:val="FFFFFF"/>
              </w:rPr>
              <w:t xml:space="preserve">Two-Way Door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Evidence bar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High. PoC, data, vendor references, pilot.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Low. Reasonable judgment suffices.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Deliberation time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Weeks to months.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Hours to days.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Approver level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Senior leadership.</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Team or IC level.</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Documentation</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Full ADR, alternatives exhaustively considered.</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Light touch — pull request description, short note.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Acceptable outcome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Commit only when confident.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Commit, measure, and adjust.</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Fallback plan</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Required.</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Optional; often just 'revert the change.'</w:t>
            </w:r>
          </w:p>
        </w:tc>
      </w:tr>
    </w:tbl>
    <w:p>
      <w:pPr>
        <w:spacing w:after="120"/>
      </w:pPr>
      <w:r>
        <w:t xml:space="preserve"/>
      </w:r>
    </w:p>
    <w:p>
      <w:pPr>
        <w:pStyle w:val="Heading2"/>
      </w:pPr>
      <w:r>
        <w:t xml:space="preserve">5.4 Concrete Examples</w:t>
      </w:r>
    </w:p>
    <w:p>
      <w:pPr>
        <w:pStyle w:val="Heading3"/>
      </w:pPr>
      <w:r>
        <w:t xml:space="preserve">One-Way Door Decisions</w:t>
      </w:r>
    </w:p>
    <w:p>
      <w:pPr>
        <w:pStyle w:val="ListParagraph"/>
        <w:numPr>
          <w:ilvl w:val="0"/>
          <w:numId w:val="2"/>
        </w:numPr>
        <w:spacing w:after="80" w:line="290"/>
      </w:pPr>
      <w:r>
        <w:t xml:space="preserve">Choosing the primary data store for a new customer-facing product. Once millions of customer records live in the database, migration is a major project.</w:t>
      </w:r>
    </w:p>
    <w:p>
      <w:pPr>
        <w:pStyle w:val="ListParagraph"/>
        <w:numPr>
          <w:ilvl w:val="0"/>
          <w:numId w:val="2"/>
        </w:numPr>
        <w:spacing w:after="80" w:line="290"/>
      </w:pPr>
      <w:r>
        <w:t xml:space="preserve">Signing a multi-year enterprise contract with a vendor. The contract itself is the lock-in.</w:t>
      </w:r>
    </w:p>
    <w:p>
      <w:pPr>
        <w:pStyle w:val="ListParagraph"/>
        <w:numPr>
          <w:ilvl w:val="0"/>
          <w:numId w:val="2"/>
        </w:numPr>
        <w:spacing w:after="80" w:line="290"/>
      </w:pPr>
      <w:r>
        <w:t xml:space="preserve">Publishing a stable public API. External consumers will depend on it; breaking changes become multi-quarter affairs.</w:t>
      </w:r>
    </w:p>
    <w:p>
      <w:pPr>
        <w:pStyle w:val="ListParagraph"/>
        <w:numPr>
          <w:ilvl w:val="0"/>
          <w:numId w:val="2"/>
        </w:numPr>
        <w:spacing w:after="80" w:line="290"/>
      </w:pPr>
      <w:r>
        <w:t xml:space="preserve">Open-sourcing a significant internal project. You cannot 'un-open-source' code that's already cloned.</w:t>
      </w:r>
    </w:p>
    <w:p>
      <w:pPr>
        <w:pStyle w:val="ListParagraph"/>
        <w:numPr>
          <w:ilvl w:val="0"/>
          <w:numId w:val="2"/>
        </w:numPr>
        <w:spacing w:after="80" w:line="290"/>
      </w:pPr>
      <w:r>
        <w:t xml:space="preserve">Committing to a wire protocol for cross-service communication. Thousands of call sites will depend on it.</w:t>
      </w:r>
    </w:p>
    <w:p>
      <w:pPr>
        <w:pStyle w:val="ListParagraph"/>
        <w:numPr>
          <w:ilvl w:val="0"/>
          <w:numId w:val="2"/>
        </w:numPr>
        <w:spacing w:after="80" w:line="290"/>
      </w:pPr>
      <w:r>
        <w:t xml:space="preserve">Organizational decisions: hiring executives, structuring teams around a new model, announcing a strategy publicly.</w:t>
      </w:r>
    </w:p>
    <w:p>
      <w:pPr>
        <w:pStyle w:val="Heading3"/>
      </w:pPr>
      <w:r>
        <w:t xml:space="preserve">Two-Way Door Decisions</w:t>
      </w:r>
    </w:p>
    <w:p>
      <w:pPr>
        <w:pStyle w:val="ListParagraph"/>
        <w:numPr>
          <w:ilvl w:val="0"/>
          <w:numId w:val="2"/>
        </w:numPr>
        <w:spacing w:after="80" w:line="290"/>
      </w:pPr>
      <w:r>
        <w:t xml:space="preserve">Choosing a linting configuration. Reversible in a single PR.</w:t>
      </w:r>
    </w:p>
    <w:p>
      <w:pPr>
        <w:pStyle w:val="ListParagraph"/>
        <w:numPr>
          <w:ilvl w:val="0"/>
          <w:numId w:val="2"/>
        </w:numPr>
        <w:spacing w:after="80" w:line="290"/>
      </w:pPr>
      <w:r>
        <w:t xml:space="preserve">Adopting a library that is easily swappable (e.g., a small utility package). Can be removed if it disappoints.</w:t>
      </w:r>
    </w:p>
    <w:p>
      <w:pPr>
        <w:pStyle w:val="ListParagraph"/>
        <w:numPr>
          <w:ilvl w:val="0"/>
          <w:numId w:val="2"/>
        </w:numPr>
        <w:spacing w:after="80" w:line="290"/>
      </w:pPr>
      <w:r>
        <w:t xml:space="preserve">Using feature flags to try a new UI variant. Can be toggled off.</w:t>
      </w:r>
    </w:p>
    <w:p>
      <w:pPr>
        <w:pStyle w:val="ListParagraph"/>
        <w:numPr>
          <w:ilvl w:val="0"/>
          <w:numId w:val="2"/>
        </w:numPr>
        <w:spacing w:after="80" w:line="290"/>
      </w:pPr>
      <w:r>
        <w:t xml:space="preserve">Internal tool choices — a new project management tool, a new observability vendor for a single pilot team.</w:t>
      </w:r>
    </w:p>
    <w:p>
      <w:pPr>
        <w:pStyle w:val="ListParagraph"/>
        <w:numPr>
          <w:ilvl w:val="0"/>
          <w:numId w:val="2"/>
        </w:numPr>
        <w:spacing w:after="80" w:line="290"/>
      </w:pPr>
      <w:r>
        <w:t xml:space="preserve">Microservice internal architecture — as long as the service's external interface is stable, its internal implementation can be rewritten.</w:t>
      </w:r>
    </w:p>
    <w:p>
      <w:pPr>
        <w:pStyle w:val="ListParagraph"/>
        <w:numPr>
          <w:ilvl w:val="0"/>
          <w:numId w:val="2"/>
        </w:numPr>
        <w:spacing w:after="80" w:line="290"/>
      </w:pPr>
      <w:r>
        <w:t xml:space="preserve">Most code-level design decisions — most code can be refactored with moderate effort.</w:t>
      </w:r>
    </w:p>
    <w:p>
      <w:pPr>
        <w:pStyle w:val="Heading2"/>
      </w:pPr>
      <w:r>
        <w:t xml:space="preserve">5.5 The Costly Middle: Pseudo-Reversible Decisions</w:t>
      </w:r>
    </w:p>
    <w:p>
      <w:pPr>
        <w:spacing w:after="120" w:line="300"/>
        <w:jc w:val="both"/>
      </w:pPr>
      <w:r>
        <w:t xml:space="preserve">The most dangerous decisions are those that look reversible but, because of accumulated usage, become effectively irreversible over time. Examples:</w:t>
      </w:r>
    </w:p>
    <w:p>
      <w:pPr>
        <w:pStyle w:val="ListParagraph"/>
        <w:numPr>
          <w:ilvl w:val="0"/>
          <w:numId w:val="2"/>
        </w:numPr>
        <w:spacing w:after="80" w:line="290"/>
      </w:pPr>
      <w:r>
        <w:t xml:space="preserve">A casual library choice that, over three years, gets integrated into 400 files. Swapping it is now a quarter-long project.</w:t>
      </w:r>
    </w:p>
    <w:p>
      <w:pPr>
        <w:pStyle w:val="ListParagraph"/>
        <w:numPr>
          <w:ilvl w:val="0"/>
          <w:numId w:val="2"/>
        </w:numPr>
        <w:spacing w:after="80" w:line="290"/>
      </w:pPr>
      <w:r>
        <w:t xml:space="preserve">An internal API endpoint that was 'just for the admin dashboard' but gradually accumulated consumers across seven teams. Changing its contract now requires coordination you didn't anticipate.</w:t>
      </w:r>
    </w:p>
    <w:p>
      <w:pPr>
        <w:pStyle w:val="ListParagraph"/>
        <w:numPr>
          <w:ilvl w:val="0"/>
          <w:numId w:val="2"/>
        </w:numPr>
        <w:spacing w:after="80" w:line="290"/>
      </w:pPr>
      <w:r>
        <w:t xml:space="preserve">A configuration format that started simple but grew customizations for every team. A clean replacement no longer exists.</w:t>
      </w:r>
    </w:p>
    <w:p>
      <w:pPr>
        <w:pStyle w:val="ListParagraph"/>
        <w:numPr>
          <w:ilvl w:val="0"/>
          <w:numId w:val="2"/>
        </w:numPr>
        <w:spacing w:after="80" w:line="290"/>
      </w:pPr>
      <w:r>
        <w:t xml:space="preserve">A vendor integration that started as a pilot, never got the architectural abstraction layer that was planned, and is now load-bearing.</w:t>
      </w:r>
    </w:p>
    <w:p>
      <w:pPr>
        <w:spacing w:after="120" w:line="300"/>
        <w:jc w:val="both"/>
      </w:pPr>
      <w:r>
        <w:t xml:space="preserve">These are the true tax on ad-hoc decision-making. They seemed like two-way doors at the time, so the process was casual; by the time anyone notices they have become one-way doors, the cost of reversal has already accumulated. Mitigations:</w:t>
      </w:r>
    </w:p>
    <w:p>
      <w:pPr>
        <w:pStyle w:val="ListParagraph"/>
        <w:numPr>
          <w:ilvl w:val="0"/>
          <w:numId w:val="2"/>
        </w:numPr>
        <w:spacing w:after="80" w:line="290"/>
      </w:pPr>
      <w:r>
        <w:t xml:space="preserve">Track reversibility explicitly. In every significant ADR, state the estimated reversal cost. Revisit annually for important decisions; if the cost has grown, the decision has drifted into one-way territory and should be re-examined.</w:t>
      </w:r>
    </w:p>
    <w:p>
      <w:pPr>
        <w:pStyle w:val="ListParagraph"/>
        <w:numPr>
          <w:ilvl w:val="0"/>
          <w:numId w:val="2"/>
        </w:numPr>
        <w:spacing w:after="80" w:line="290"/>
      </w:pPr>
      <w:r>
        <w:t xml:space="preserve">Design for replaceability. When making a two-way-door choice that might see heavy use, invest modestly in an abstraction layer. Don't over-abstract — YAGNI applies — but a thin wrapper around a potentially-swappable dependency pays off.</w:t>
      </w:r>
    </w:p>
    <w:p>
      <w:pPr>
        <w:pStyle w:val="ListParagraph"/>
        <w:numPr>
          <w:ilvl w:val="0"/>
          <w:numId w:val="2"/>
        </w:numPr>
        <w:spacing w:after="80" w:line="290"/>
      </w:pPr>
      <w:r>
        <w:t xml:space="preserve">Periodic decision audits. Once a year, the architecture team reviews 'what choices have become hard to reverse since last year?' and flags those that deserve more deliberate treatment going forward.</w:t>
      </w:r>
    </w:p>
    <w:p>
      <w:pPr>
        <w:pStyle w:val="Heading2"/>
      </w:pPr>
      <w:r>
        <w:t xml:space="preserve">5.6 A Worked Example: Database Choice vs. Logging Library</w:t>
      </w:r>
    </w:p>
    <w:p>
      <w:pPr>
        <w:spacing w:after="120" w:line="300"/>
        <w:jc w:val="both"/>
      </w:pPr>
      <w:r>
        <w:t xml:space="preserve">A new team is forming and faces two decisions simultaneously: what database to use for the core product, and what logging library to use.</w:t>
      </w:r>
    </w:p>
    <w:p>
      <w:pPr>
        <w:spacing w:after="120" w:line="300"/>
        <w:jc w:val="both"/>
      </w:pPr>
      <w:r>
        <w:t xml:space="preserve">The database choice is a one-way door. Within 18 months, it will hold millions of records, dozens of queries will be tuned for its query planner, operational runbooks will be written for its failure modes, and the team's on-call will have developed deep fluency. Reversing the decision would cost months of engineering time and risk data loss or downtime. The appropriate process: literature review, shortlist of three options, matrix evaluation (Chapter 3), a PoC on the top candidate (Chapter 4), an ADR documenting the decision (Chapter 1), review with senior leadership. Estimated effort: 4-6 engineer-weeks of decision work. High, but in proportion to the stakes.</w:t>
      </w:r>
    </w:p>
    <w:p>
      <w:pPr>
        <w:spacing w:after="120" w:line="300"/>
        <w:jc w:val="both"/>
      </w:pPr>
      <w:r>
        <w:t xml:space="preserve">The logging library choice is a two-way door. The team adopts a common library, wraps log calls in a thin interface (one function call in one file per service), and moves on. If in six months the library disappoints, swapping is a day's work. The appropriate process: senior engineer picks one based on familiarity and team preference; a sentence in the project README documents the choice; everyone gets back to real work. Estimated effort: 1 hour. Low, because the stakes are low.</w:t>
      </w:r>
    </w:p>
    <w:p>
      <w:pPr>
        <w:spacing w:after="120" w:line="300"/>
        <w:jc w:val="both"/>
      </w:pPr>
      <w:r>
        <w:t xml:space="preserve">An organization that treats these two decisions with the same level of process — either both heavy, or both light — is making a meta-mistake. Matching process weight to decision weight is the most important judgment a technical leader makes routinely.</w:t>
      </w:r>
    </w:p>
    <w:p>
      <w:pPr>
        <w:pStyle w:val="Heading2"/>
      </w:pPr>
      <w:r>
        <w:t xml:space="preserve">5.7 Pitfalls</w:t>
      </w:r>
    </w:p>
    <w:p>
      <w:pPr>
        <w:pStyle w:val="ListParagraph"/>
        <w:numPr>
          <w:ilvl w:val="0"/>
          <w:numId w:val="2"/>
        </w:numPr>
        <w:spacing w:after="80" w:line="290"/>
      </w:pPr>
      <w:r>
        <w:t xml:space="preserve">Miscategorizing. Treating a one-way door as two-way, or vice versa. When in doubt, treat it as more irreversible than you think — the cost of over-deliberation on a small decision is much lower than the cost of under-deliberation on a large one.</w:t>
      </w:r>
    </w:p>
    <w:p>
      <w:pPr>
        <w:pStyle w:val="ListParagraph"/>
        <w:numPr>
          <w:ilvl w:val="0"/>
          <w:numId w:val="2"/>
        </w:numPr>
        <w:spacing w:after="80" w:line="290"/>
      </w:pPr>
      <w:r>
        <w:t xml:space="preserve">Policy-induced over-process. 'Every technology choice requires an ADR and VP approval' is policy that reflects fear. It turns all doors into one-way doors procedurally. Result: teams stop making decisions, or they make them covertly.</w:t>
      </w:r>
    </w:p>
    <w:p>
      <w:pPr>
        <w:pStyle w:val="ListParagraph"/>
        <w:numPr>
          <w:ilvl w:val="0"/>
          <w:numId w:val="2"/>
        </w:numPr>
        <w:spacing w:after="80" w:line="290"/>
      </w:pPr>
      <w:r>
        <w:t xml:space="preserve">Macho speed. 'We're a fast-moving company, we don't over-think things.' Correct for two-way doors; dangerous for one-way doors. Speed as a universal value is a bug, not a feature, when the decision is irreversible.</w:t>
      </w:r>
    </w:p>
    <w:p>
      <w:pPr>
        <w:pStyle w:val="ListParagraph"/>
        <w:numPr>
          <w:ilvl w:val="0"/>
          <w:numId w:val="2"/>
        </w:numPr>
        <w:spacing w:after="80" w:line="290"/>
      </w:pPr>
      <w:r>
        <w:t xml:space="preserve">Not designing reversibility in. When making a two-way-door choice that will likely scale, invest small amounts in keeping the door genuinely reversible — lightweight abstraction, data portability, contract boundaries. Small investments now prevent pseudo-reversibility later.</w:t>
      </w:r>
    </w:p>
    <w:p>
      <w:pPr>
        <w:pStyle w:val="ListParagraph"/>
        <w:numPr>
          <w:ilvl w:val="0"/>
          <w:numId w:val="2"/>
        </w:numPr>
        <w:spacing w:after="80" w:line="290"/>
      </w:pPr>
      <w:r>
        <w:t xml:space="preserve">Announcement as lock-in. Public announcements can turn a technically-reversible decision into a politically-irreversible one. Be careful about announcing choices externally before you are sure.</w:t>
      </w:r>
    </w:p>
    <w:p>
      <w:pPr>
        <w:pStyle w:val="Heading2"/>
      </w:pPr>
      <w:r>
        <w:t xml:space="preserve">5.8 Review Questions</w:t>
      </w:r>
    </w:p>
    <w:p>
      <w:pPr>
        <w:pStyle w:val="ListParagraph"/>
        <w:numPr>
          <w:ilvl w:val="0"/>
          <w:numId w:val="3"/>
        </w:numPr>
        <w:spacing w:after="80" w:line="290"/>
      </w:pPr>
      <w:r>
        <w:t xml:space="preserve">Categorize these as one-way or two-way doors: (a) choosing a CI platform for a new team, (b) migrating customer records from one data store to another, (c) adopting a new internal code-formatting style, (d) signing a 3-year cloud commit.</w:t>
      </w:r>
    </w:p>
    <w:p>
      <w:pPr>
        <w:pStyle w:val="ListParagraph"/>
        <w:numPr>
          <w:ilvl w:val="0"/>
          <w:numId w:val="3"/>
        </w:numPr>
        <w:spacing w:after="80" w:line="290"/>
      </w:pPr>
      <w:r>
        <w:t xml:space="preserve">Describe a real or hypothetical decision that started as a two-way door and became a one-way door over time. What made the reversal cost grow?</w:t>
      </w:r>
    </w:p>
    <w:p>
      <w:pPr>
        <w:pStyle w:val="ListParagraph"/>
        <w:numPr>
          <w:ilvl w:val="0"/>
          <w:numId w:val="3"/>
        </w:numPr>
        <w:spacing w:after="80" w:line="290"/>
      </w:pPr>
      <w:r>
        <w:t xml:space="preserve">Your team wants to 'move fast' and treats every decision as two-way. What harm could this cause, and how would you talk to the team about it?</w:t>
      </w:r>
    </w:p>
    <w:p>
      <w:pPr>
        <w:pStyle w:val="ListParagraph"/>
        <w:numPr>
          <w:ilvl w:val="0"/>
          <w:numId w:val="3"/>
        </w:numPr>
        <w:spacing w:after="80" w:line="290"/>
      </w:pPr>
      <w:r>
        <w:t xml:space="preserve">Describe the minimum viable investment that keeps a potentially-reversible decision genuinely reversible.</w:t>
      </w:r>
    </w:p>
    <w:p>
      <w:pPr>
        <w:pStyle w:val="Heading1"/>
        <w:pageBreakBefore/>
      </w:pPr>
      <w:r>
        <w:t xml:space="preserve">Chapter 6 — The Technology Radar</w:t>
      </w:r>
    </w:p>
    <w:p>
      <w:pPr>
        <w:pStyle w:val="Heading2"/>
      </w:pPr>
      <w:r>
        <w:t xml:space="preserve">6.1 The Problem of Technology Strategy at Scale</w:t>
      </w:r>
    </w:p>
    <w:p>
      <w:pPr>
        <w:spacing w:after="120" w:line="300"/>
        <w:jc w:val="both"/>
      </w:pPr>
      <w:r>
        <w:t xml:space="preserve">An organization with dozens or hundreds of engineers making independent technology choices is vulnerable to two opposing problems. First, uncontrolled proliferation: every team picks whatever is fashionable, and the organization ends up operating six service meshes, four message queues, and three runtime JVMs — each supported by a team too small to do it well. Second, stagnation: once a technology is established, no one is empowered to propose replacement, so the organization runs 2016-era tooling in 2026. Both are expensive, and many organizations oscillate between them.</w:t>
      </w:r>
    </w:p>
    <w:p>
      <w:pPr>
        <w:spacing w:after="120" w:line="300"/>
        <w:jc w:val="both"/>
      </w:pPr>
      <w:r>
        <w:t xml:space="preserve">The Technology Radar — introduced by ThoughtWorks in 2010 — is a widely-adopted solution. It is a published artifact that classifies technologies (languages, frameworks, tools, techniques, platforms) into four rings representing the organization's current stance toward them: Adopt, Trial, Assess, Hold. The radar gives teams clear guidance without mandating uniformity: it says 'here is what we collectively recommend, what we are trying, what we are watching, and what we are backing away from.'</w:t>
      </w:r>
    </w:p>
    <w:p>
      <w:pPr>
        <w:pStyle w:val="Heading2"/>
      </w:pPr>
      <w:r>
        <w:t xml:space="preserve">6.2 The Four Rings</w:t>
      </w:r>
    </w:p>
    <w:p>
      <w:pPr>
        <w:pStyle w:val="Heading3"/>
      </w:pPr>
      <w:r>
        <w:t xml:space="preserve">Adopt</w:t>
      </w:r>
    </w:p>
    <w:p>
      <w:pPr>
        <w:spacing w:after="120" w:line="300"/>
        <w:jc w:val="both"/>
      </w:pPr>
      <w:r>
        <w:t xml:space="preserve">Technologies that the organization has used in production, values, and recommends as the default choice for new work. When in doubt, use these. Teams starting new services should reach for Adopt-tier technologies unless they have a specific reason to choose otherwise.</w:t>
      </w:r>
    </w:p>
    <w:p>
      <w:pPr>
        <w:spacing w:after="120" w:line="300"/>
        <w:jc w:val="both"/>
      </w:pPr>
      <w:r>
        <w:t xml:space="preserve">Adopt is not 'mandatory.' It is 'default.' A team that wants to use something else can, but the radar signals that the burden of justification is theirs. This is the key to keeping the radar from becoming a straitjacket: it shapes behavior without forbidding deviation.</w:t>
      </w:r>
    </w:p>
    <w:p>
      <w:pPr>
        <w:pStyle w:val="Heading3"/>
      </w:pPr>
      <w:r>
        <w:t xml:space="preserve">Trial</w:t>
      </w:r>
    </w:p>
    <w:p>
      <w:pPr>
        <w:spacing w:after="120" w:line="300"/>
        <w:jc w:val="both"/>
      </w:pPr>
      <w:r>
        <w:t xml:space="preserve">Technologies that are promising and are being used in production by at least one team, but that have not yet earned the broad endorsement required for Adopt. Trial-tier technologies are real — they handle real traffic — but the organization wants more evidence before recommending them universally. Trial status invites other teams to consider adopting (with eyes open to the caveats) and to feed back their experience into the next radar revision.</w:t>
      </w:r>
    </w:p>
    <w:p>
      <w:pPr>
        <w:pStyle w:val="Heading3"/>
      </w:pPr>
      <w:r>
        <w:t xml:space="preserve">Assess</w:t>
      </w:r>
    </w:p>
    <w:p>
      <w:pPr>
        <w:spacing w:after="120" w:line="300"/>
        <w:jc w:val="both"/>
      </w:pPr>
      <w:r>
        <w:t xml:space="preserve">Technologies worth investigating but not yet trying in production. The organization believes these may become important and wants its engineers to be aware of them, perhaps to build PoCs or read up. Assess is explicitly pre-commitment: just because something is on Assess does not imply the organization will ever use it. Assess items are the radar's version of a watch list.</w:t>
      </w:r>
    </w:p>
    <w:p>
      <w:pPr>
        <w:pStyle w:val="Heading3"/>
      </w:pPr>
      <w:r>
        <w:t xml:space="preserve">Hold</w:t>
      </w:r>
    </w:p>
    <w:p>
      <w:pPr>
        <w:spacing w:after="120" w:line="300"/>
        <w:jc w:val="both"/>
      </w:pPr>
      <w:r>
        <w:t xml:space="preserve">Technologies the organization has decided not to adopt — or to stop adopting — even though they may be popular elsewhere. Hold is a deliberate stance: either the technology has not worked for us, the alternatives are superior, it carries risks we're unwilling to accept, or it is becoming obsolete. Existing uses are typically grandfathered (a migration is a separate project), but new uses are discouraged.</w:t>
      </w:r>
    </w:p>
    <w:p>
      <w:pPr>
        <w:spacing w:after="120" w:line="300"/>
        <w:jc w:val="both"/>
      </w:pPr>
      <w:r>
        <w:t xml:space="preserve">Hold is the ring that requires the most care. Calling something Hold when it's merely unfashionable produces an organization out of touch with the industry. Calling something Hold when it genuinely doesn't fit your context is valuable and protects teams from recurring bad choices.</w:t>
      </w:r>
    </w:p>
    <w:p>
      <w:pPr>
        <w:pStyle w:val="Heading2"/>
      </w:pPr>
      <w:r>
        <w:t xml:space="preserve">6.3 The Four Quadrants</w:t>
      </w:r>
    </w:p>
    <w:p>
      <w:pPr>
        <w:spacing w:after="120" w:line="300"/>
        <w:jc w:val="both"/>
      </w:pPr>
      <w:r>
        <w:t xml:space="preserve">ThoughtWorks's radar — and most organizational radars — divide technologies into four quadrants, so that a Java team's scan is not lost in an ocean of unrelated items:</w:t>
      </w:r>
    </w:p>
    <w:p>
      <w:pPr>
        <w:pStyle w:val="ListParagraph"/>
        <w:numPr>
          <w:ilvl w:val="0"/>
          <w:numId w:val="2"/>
        </w:numPr>
        <w:spacing w:after="80" w:line="290"/>
      </w:pPr>
      <w:r>
        <w:t xml:space="preserve">Languages &amp; Frameworks — Java, Python, Go, TypeScript, React, Spring Boot, FastAPI.</w:t>
      </w:r>
    </w:p>
    <w:p>
      <w:pPr>
        <w:pStyle w:val="ListParagraph"/>
        <w:numPr>
          <w:ilvl w:val="0"/>
          <w:numId w:val="2"/>
        </w:numPr>
        <w:spacing w:after="80" w:line="290"/>
      </w:pPr>
      <w:r>
        <w:t xml:space="preserve">Tools — Docker, Kubernetes, Terraform, dbt, Grafana, Argo CD.</w:t>
      </w:r>
    </w:p>
    <w:p>
      <w:pPr>
        <w:pStyle w:val="ListParagraph"/>
        <w:numPr>
          <w:ilvl w:val="0"/>
          <w:numId w:val="2"/>
        </w:numPr>
        <w:spacing w:after="80" w:line="290"/>
      </w:pPr>
      <w:r>
        <w:t xml:space="preserve">Platforms — AWS services, Kafka, Snowflake, Elasticsearch, Postgres, Redis.</w:t>
      </w:r>
    </w:p>
    <w:p>
      <w:pPr>
        <w:pStyle w:val="ListParagraph"/>
        <w:numPr>
          <w:ilvl w:val="0"/>
          <w:numId w:val="2"/>
        </w:numPr>
        <w:spacing w:after="80" w:line="290"/>
      </w:pPr>
      <w:r>
        <w:t xml:space="preserve">Techniques — trunk-based development, event sourcing, contract testing, feature flags, chaos engineering.</w:t>
      </w:r>
    </w:p>
    <w:p>
      <w:pPr>
        <w:spacing w:after="120" w:line="300"/>
        <w:jc w:val="both"/>
      </w:pPr>
      <w:r>
        <w:t xml:space="preserve">'Techniques' is the most easily overlooked quadrant and arguably the most valuable. Adopting 'contract testing' as an organizational practice is a bigger lever than adopting any individual tool.</w:t>
      </w:r>
    </w:p>
    <w:p>
      <w:pPr>
        <w:pStyle w:val="Heading2"/>
      </w:pPr>
      <w:r>
        <w:t xml:space="preserve">6.4 Building Your Organization's Radar</w:t>
      </w:r>
    </w:p>
    <w:p>
      <w:pPr>
        <w:pStyle w:val="Heading3"/>
      </w:pPr>
      <w:r>
        <w:t xml:space="preserve">Step 1: Assemble a Cross-Cutting Working Group</w:t>
      </w:r>
    </w:p>
    <w:p>
      <w:pPr>
        <w:spacing w:after="120" w:line="300"/>
        <w:jc w:val="both"/>
      </w:pPr>
      <w:r>
        <w:t xml:space="preserve">The radar is an organizational artifact; it cannot be produced by one team or one person. Form a working group of 6-12 engineers representing different parts of the organization: backend, frontend, data, mobile, infrastructure, security. Include both principal engineers (for technical judgment) and emerging senior engineers (for currency with the field).</w:t>
      </w:r>
    </w:p>
    <w:p>
      <w:pPr>
        <w:pStyle w:val="Heading3"/>
      </w:pPr>
      <w:r>
        <w:t xml:space="preserve">Step 2: Gather Candidates</w:t>
      </w:r>
    </w:p>
    <w:p>
      <w:pPr>
        <w:spacing w:after="120" w:line="300"/>
        <w:jc w:val="both"/>
      </w:pPr>
      <w:r>
        <w:t xml:space="preserve">Ask every team to submit technologies they have adopted, are trying, are considering, or have problems with. Also scan external radars (ThoughtWorks publishes publicly twice a year) and industry discussion for items that should be on your list. Expect to collect 80-200 candidates for a first radar; you will narrow.</w:t>
      </w:r>
    </w:p>
    <w:p>
      <w:pPr>
        <w:pStyle w:val="Heading3"/>
      </w:pPr>
      <w:r>
        <w:t xml:space="preserve">Step 3: Assess Each Candidate</w:t>
      </w:r>
    </w:p>
    <w:p>
      <w:pPr>
        <w:spacing w:after="120" w:line="300"/>
        <w:jc w:val="both"/>
      </w:pPr>
      <w:r>
        <w:t xml:space="preserve">For each candidate, gather: who is using it (which teams, at what scale), what has gone well, what has gone poorly, whether any alternative is available, and what the working group's collective judgment is. Classify each into one of the four rings — or exclude it entirely if it's not significant enough to warrant a place on the radar.</w:t>
      </w:r>
    </w:p>
    <w:p>
      <w:pPr>
        <w:spacing w:after="120" w:line="300"/>
        <w:jc w:val="both"/>
      </w:pPr>
      <w:r>
        <w:t xml:space="preserve">Use explicit criteria for ring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2D5F8D" w:val="clear"/>
            <w:tcMar>
              <w:top w:type="dxa" w:w="100"/>
              <w:left w:type="dxa" w:w="140"/>
              <w:bottom w:type="dxa" w:w="100"/>
              <w:right w:type="dxa" w:w="140"/>
            </w:tcMar>
          </w:tcPr>
          <w:p>
            <w:r>
              <w:rPr>
                <w:b/>
                <w:bCs/>
                <w:color w:val="FFFFFF"/>
              </w:rPr>
              <w:t xml:space="preserve">Ring</w:t>
            </w:r>
          </w:p>
        </w:tc>
        <w:tc>
          <w:tcPr>
            <w:tcW w:type="dxa" w:w="7560"/>
            <w:tcBorders>
              <w:top w:val="single" w:color="BFBFBF" w:sz="4"/>
              <w:left w:val="single" w:color="BFBFBF" w:sz="4"/>
              <w:bottom w:val="single" w:color="BFBFBF" w:sz="4"/>
              <w:right w:val="single" w:color="BFBFBF" w:sz="4"/>
            </w:tcBorders>
            <w:shd w:fill="2D5F8D" w:val="clear"/>
            <w:tcMar>
              <w:top w:type="dxa" w:w="100"/>
              <w:left w:type="dxa" w:w="140"/>
              <w:bottom w:type="dxa" w:w="100"/>
              <w:right w:type="dxa" w:w="140"/>
            </w:tcMar>
          </w:tcPr>
          <w:p>
            <w:r>
              <w:rPr>
                <w:b/>
                <w:bCs/>
                <w:color w:val="FFFFFF"/>
              </w:rPr>
              <w:t xml:space="preserve">Criteria for Placement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Adopt</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In production on 3+ teams. Widely considered a success. Has survived at least one year. Alternatives have been considered and found wanting. No known systemic issues.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Trial</w:t>
            </w:r>
          </w:p>
        </w:tc>
        <w:tc>
          <w:tcPr>
            <w:tcW w:type="dxa" w:w="7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In production on 1-2 teams. Real usage at non-trivial scale. Early signs positive but insufficient evidence for universal recommendation.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Assess</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Not in production, but industry or academic interest suggests it may matter. Worth a PoC or literature review. Not yet justified to adopt.</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Hold</w:t>
            </w:r>
          </w:p>
        </w:tc>
        <w:tc>
          <w:tcPr>
            <w:tcW w:type="dxa" w:w="7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Our organization has evidence that it is problematic: operational issues, poor fit, better alternatives available, or aging out. Existing uses grandfathered; new uses discouraged.</w:t>
            </w:r>
          </w:p>
        </w:tc>
      </w:tr>
    </w:tbl>
    <w:p>
      <w:pPr>
        <w:spacing w:after="120"/>
      </w:pPr>
      <w:r>
        <w:t xml:space="preserve"/>
      </w:r>
    </w:p>
    <w:p>
      <w:pPr>
        <w:pStyle w:val="Heading3"/>
      </w:pPr>
      <w:r>
        <w:t xml:space="preserve">Step 4: Annotate Each Item</w:t>
      </w:r>
    </w:p>
    <w:p>
      <w:pPr>
        <w:spacing w:after="120" w:line="300"/>
        <w:jc w:val="both"/>
      </w:pPr>
      <w:r>
        <w:t xml:space="preserve">Each radar entry should include: name, quadrant, ring, 2-4 sentence description explaining the choice, links to relevant internal usage, and a 'movement' indicator if the placement changed from the previous radar (new, moved-in, moved-out). The annotation is often more valuable than the placement itself — it is the reasoning that helps teams apply the guidance.</w:t>
      </w:r>
    </w:p>
    <w:p>
      <w:pPr>
        <w:pStyle w:val="Heading3"/>
      </w:pPr>
      <w:r>
        <w:t xml:space="preserve">Step 5: Publish and Republish</w:t>
      </w:r>
    </w:p>
    <w:p>
      <w:pPr>
        <w:spacing w:after="120" w:line="300"/>
        <w:jc w:val="both"/>
      </w:pPr>
      <w:r>
        <w:t xml:space="preserve">Publish the radar broadly — wiki, engineering all-hands, onboarding materials. Republish every six months. The cadence is important: annually is too slow for a fast-moving field; quarterly is too frequent to allow meaningful observation. Six months strikes the right balance. Between releases, maintain a list of changes under consideration so engineers can propose moves.</w:t>
      </w:r>
    </w:p>
    <w:p>
      <w:pPr>
        <w:pStyle w:val="Heading2"/>
      </w:pPr>
      <w:r>
        <w:t xml:space="preserve">6.5 A Worked Example: A Radar Snapshot</w:t>
      </w:r>
    </w:p>
    <w:p>
      <w:pPr>
        <w:spacing w:after="120" w:line="300"/>
        <w:jc w:val="both"/>
      </w:pPr>
      <w:r>
        <w:t xml:space="preserve">A fictional mid-sized engineering organization's partial radar (Languages &amp; Frameworks quadrant, 2026-04):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5F5"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LANGUAGES &amp; FRAMEWORKS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ADOPT:</w:t>
            </w:r>
          </w:p>
          <w:p>
            <w:pPr>
              <w:spacing w:after="0" w:line="260"/>
            </w:pPr>
            <w:r>
              <w:rPr>
                <w:rFonts w:ascii="Consolas" w:cs="Consolas" w:eastAsia="Consolas" w:hAnsi="Consolas"/>
                <w:sz w:val="20"/>
                <w:szCs w:val="20"/>
              </w:rPr>
              <w:t xml:space="preserve">  ▸ Go (backend)           — used on 9 teams, operationally boring,</w:t>
            </w:r>
          </w:p>
          <w:p>
            <w:pPr>
              <w:spacing w:after="0" w:line="260"/>
            </w:pPr>
            <w:r>
              <w:rPr>
                <w:rFonts w:ascii="Consolas" w:cs="Consolas" w:eastAsia="Consolas" w:hAnsi="Consolas"/>
                <w:sz w:val="20"/>
                <w:szCs w:val="20"/>
              </w:rPr>
              <w:t xml:space="preserve">                              strong team fluency</w:t>
            </w:r>
          </w:p>
          <w:p>
            <w:pPr>
              <w:spacing w:after="0" w:line="260"/>
            </w:pPr>
            <w:r>
              <w:rPr>
                <w:rFonts w:ascii="Consolas" w:cs="Consolas" w:eastAsia="Consolas" w:hAnsi="Consolas"/>
                <w:sz w:val="20"/>
                <w:szCs w:val="20"/>
              </w:rPr>
              <w:t xml:space="preserve">  ▸ TypeScript (frontend)  — de-facto for all new web work</w:t>
            </w:r>
          </w:p>
          <w:p>
            <w:pPr>
              <w:spacing w:after="0" w:line="260"/>
            </w:pPr>
            <w:r>
              <w:rPr>
                <w:rFonts w:ascii="Consolas" w:cs="Consolas" w:eastAsia="Consolas" w:hAnsi="Consolas"/>
                <w:sz w:val="20"/>
                <w:szCs w:val="20"/>
              </w:rPr>
              <w:t xml:space="preserve">  ▸ Python 3.11 (data/ML)  — matches the ecosystem our DS teams need</w:t>
            </w:r>
          </w:p>
          <w:p>
            <w:pPr>
              <w:spacing w:after="0" w:line="260"/>
            </w:pPr>
            <w:r>
              <w:rPr>
                <w:rFonts w:ascii="Consolas" w:cs="Consolas" w:eastAsia="Consolas" w:hAnsi="Consolas"/>
                <w:sz w:val="20"/>
                <w:szCs w:val="20"/>
              </w:rPr>
              <w:t xml:space="preserve">  ▸ React                  — stable, deep internal expertise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TRIAL:</w:t>
            </w:r>
          </w:p>
          <w:p>
            <w:pPr>
              <w:spacing w:after="0" w:line="260"/>
            </w:pPr>
            <w:r>
              <w:rPr>
                <w:rFonts w:ascii="Consolas" w:cs="Consolas" w:eastAsia="Consolas" w:hAnsi="Consolas"/>
                <w:sz w:val="20"/>
                <w:szCs w:val="20"/>
              </w:rPr>
              <w:t xml:space="preserve">  ▸ Rust (perf-critical services) — 2 teams in prod, results promising</w:t>
            </w:r>
          </w:p>
          <w:p>
            <w:pPr>
              <w:spacing w:after="0" w:line="260"/>
            </w:pPr>
            <w:r>
              <w:rPr>
                <w:rFonts w:ascii="Consolas" w:cs="Consolas" w:eastAsia="Consolas" w:hAnsi="Consolas"/>
                <w:sz w:val="20"/>
                <w:szCs w:val="20"/>
              </w:rPr>
              <w:t xml:space="preserve">                                     but ramp is steep</w:t>
            </w:r>
          </w:p>
          <w:p>
            <w:pPr>
              <w:spacing w:after="0" w:line="260"/>
            </w:pPr>
            <w:r>
              <w:rPr>
                <w:rFonts w:ascii="Consolas" w:cs="Consolas" w:eastAsia="Consolas" w:hAnsi="Consolas"/>
                <w:sz w:val="20"/>
                <w:szCs w:val="20"/>
              </w:rPr>
              <w:t xml:space="preserve">  ▸ Remix (frontend)              — one team has shipped; may generalize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ASSESS:</w:t>
            </w:r>
          </w:p>
          <w:p>
            <w:pPr>
              <w:spacing w:after="0" w:line="260"/>
            </w:pPr>
            <w:r>
              <w:rPr>
                <w:rFonts w:ascii="Consolas" w:cs="Consolas" w:eastAsia="Consolas" w:hAnsi="Consolas"/>
                <w:sz w:val="20"/>
                <w:szCs w:val="20"/>
              </w:rPr>
              <w:t xml:space="preserve">  ▸ Bun runtime            — watching; not yet mature for our needs</w:t>
            </w:r>
          </w:p>
          <w:p>
            <w:pPr>
              <w:spacing w:after="0" w:line="260"/>
            </w:pPr>
            <w:r>
              <w:rPr>
                <w:rFonts w:ascii="Consolas" w:cs="Consolas" w:eastAsia="Consolas" w:hAnsi="Consolas"/>
                <w:sz w:val="20"/>
                <w:szCs w:val="20"/>
              </w:rPr>
              <w:t xml:space="preserve">  ▸ Deno                   — periodically re-evaluated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HOLD:</w:t>
            </w:r>
          </w:p>
          <w:p>
            <w:pPr>
              <w:spacing w:after="0" w:line="260"/>
            </w:pPr>
            <w:r>
              <w:rPr>
                <w:rFonts w:ascii="Consolas" w:cs="Consolas" w:eastAsia="Consolas" w:hAnsi="Consolas"/>
                <w:sz w:val="20"/>
                <w:szCs w:val="20"/>
              </w:rPr>
              <w:t xml:space="preserve">  ▸ JavaScript (frontend)  — new work should use TypeScript. Existing</w:t>
            </w:r>
          </w:p>
          <w:p>
            <w:pPr>
              <w:spacing w:after="0" w:line="260"/>
            </w:pPr>
            <w:r>
              <w:rPr>
                <w:rFonts w:ascii="Consolas" w:cs="Consolas" w:eastAsia="Consolas" w:hAnsi="Consolas"/>
                <w:sz w:val="20"/>
                <w:szCs w:val="20"/>
              </w:rPr>
              <w:t xml:space="preserve">                              JS codebases remain fine.</w:t>
            </w:r>
          </w:p>
          <w:p>
            <w:pPr>
              <w:spacing w:after="0" w:line="260"/>
            </w:pPr>
            <w:r>
              <w:rPr>
                <w:rFonts w:ascii="Consolas" w:cs="Consolas" w:eastAsia="Consolas" w:hAnsi="Consolas"/>
                <w:sz w:val="20"/>
                <w:szCs w:val="20"/>
              </w:rPr>
              <w:t xml:space="preserve">  ▸ Scala                  — last team using it migrated to Go in 2024;</w:t>
            </w:r>
          </w:p>
          <w:p>
            <w:pPr>
              <w:spacing w:after="0" w:line="260"/>
            </w:pPr>
            <w:r>
              <w:rPr>
                <w:rFonts w:ascii="Consolas" w:cs="Consolas" w:eastAsia="Consolas" w:hAnsi="Consolas"/>
                <w:sz w:val="20"/>
                <w:szCs w:val="20"/>
              </w:rPr>
              <w:t xml:space="preserve">                              no remaining expertise</w:t>
            </w:r>
          </w:p>
        </w:tc>
      </w:tr>
    </w:tbl>
    <w:p>
      <w:pPr>
        <w:spacing w:after="120" w:line="300"/>
        <w:jc w:val="both"/>
      </w:pPr>
      <w:r>
        <w:t xml:space="preserve">A team starting a new web service can read this and know, within 60 seconds, what the organization recommends and what it discourages. A team wanting to use Rust knows they're in Trial territory and can engage with the two teams already using it.</w:t>
      </w:r>
    </w:p>
    <w:p>
      <w:pPr>
        <w:pStyle w:val="Heading2"/>
      </w:pPr>
      <w:r>
        <w:t xml:space="preserve">6.6 What a Radar Is Not</w:t>
      </w:r>
    </w:p>
    <w:p>
      <w:pPr>
        <w:pStyle w:val="ListParagraph"/>
        <w:numPr>
          <w:ilvl w:val="0"/>
          <w:numId w:val="2"/>
        </w:numPr>
        <w:spacing w:after="80" w:line="290"/>
      </w:pPr>
      <w:r>
        <w:t xml:space="preserve">Not a mandate. Adopt is default, not required. Hold is discouraged, not forbidden. Exceptions are expected — and exception requests are where the radar earns its keep by surfacing context that would otherwise be missed.</w:t>
      </w:r>
    </w:p>
    <w:p>
      <w:pPr>
        <w:pStyle w:val="ListParagraph"/>
        <w:numPr>
          <w:ilvl w:val="0"/>
          <w:numId w:val="2"/>
        </w:numPr>
        <w:spacing w:after="80" w:line="290"/>
      </w:pPr>
      <w:r>
        <w:t xml:space="preserve">Not a ranking. Within a ring, entries are not ordered. Go and TypeScript are both Adopt; neither is better than the other, they serve different needs.</w:t>
      </w:r>
    </w:p>
    <w:p>
      <w:pPr>
        <w:pStyle w:val="ListParagraph"/>
        <w:numPr>
          <w:ilvl w:val="0"/>
          <w:numId w:val="2"/>
        </w:numPr>
        <w:spacing w:after="80" w:line="290"/>
      </w:pPr>
      <w:r>
        <w:t xml:space="preserve">Not a popularity contest. Items are placed by fit with the organization's context, not by industry hype. Something fashionable may sit in Assess or Hold; something unfashionable may sit in Adopt because it works for us.</w:t>
      </w:r>
    </w:p>
    <w:p>
      <w:pPr>
        <w:pStyle w:val="ListParagraph"/>
        <w:numPr>
          <w:ilvl w:val="0"/>
          <w:numId w:val="2"/>
        </w:numPr>
        <w:spacing w:after="80" w:line="290"/>
      </w:pPr>
      <w:r>
        <w:t xml:space="preserve">Not set in stone. Rings change over time. The radar is a snapshot, not a constitution.</w:t>
      </w:r>
    </w:p>
    <w:p>
      <w:pPr>
        <w:pStyle w:val="Heading2"/>
      </w:pPr>
      <w:r>
        <w:t xml:space="preserve">6.7 Pitfalls</w:t>
      </w:r>
    </w:p>
    <w:p>
      <w:pPr>
        <w:pStyle w:val="ListParagraph"/>
        <w:numPr>
          <w:ilvl w:val="0"/>
          <w:numId w:val="2"/>
        </w:numPr>
        <w:spacing w:after="80" w:line="290"/>
      </w:pPr>
      <w:r>
        <w:t xml:space="preserve">Produced by committee and nobody reads it. A radar buried in a wiki page that no one references is a waste. Publish actively: engineering all-hands, onboarding, mentions in design reviews.</w:t>
      </w:r>
    </w:p>
    <w:p>
      <w:pPr>
        <w:pStyle w:val="ListParagraph"/>
        <w:numPr>
          <w:ilvl w:val="0"/>
          <w:numId w:val="2"/>
        </w:numPr>
        <w:spacing w:after="80" w:line="290"/>
      </w:pPr>
      <w:r>
        <w:t xml:space="preserve">Hold abuse. Using Hold to kill technologies out of personal distaste, with no real evidence, poisons trust. Every Hold should cite the problem it addresses and the alternative it endorses.</w:t>
      </w:r>
    </w:p>
    <w:p>
      <w:pPr>
        <w:pStyle w:val="ListParagraph"/>
        <w:numPr>
          <w:ilvl w:val="0"/>
          <w:numId w:val="2"/>
        </w:numPr>
        <w:spacing w:after="80" w:line="290"/>
      </w:pPr>
      <w:r>
        <w:t xml:space="preserve">Adopt dilution. Moving everything anyone uses into Adopt to avoid controversy dissolves the meaning of the ring. Be selective.</w:t>
      </w:r>
    </w:p>
    <w:p>
      <w:pPr>
        <w:pStyle w:val="ListParagraph"/>
        <w:numPr>
          <w:ilvl w:val="0"/>
          <w:numId w:val="2"/>
        </w:numPr>
        <w:spacing w:after="80" w:line="290"/>
      </w:pPr>
      <w:r>
        <w:t xml:space="preserve">Techniques ignored. Teams focus on tools and languages (which have clearer vendors and websites) and neglect techniques (practices like trunk-based development). The techniques quadrant is often the highest-leverage.</w:t>
      </w:r>
    </w:p>
    <w:p>
      <w:pPr>
        <w:pStyle w:val="ListParagraph"/>
        <w:numPr>
          <w:ilvl w:val="0"/>
          <w:numId w:val="2"/>
        </w:numPr>
        <w:spacing w:after="80" w:line="290"/>
      </w:pPr>
      <w:r>
        <w:t xml:space="preserve">Radar as decision substitute. The radar should shape decisions, not make them. Teams still need ADRs for their specific choices. The radar is a recommendation layer, not a decision layer.</w:t>
      </w:r>
    </w:p>
    <w:p>
      <w:pPr>
        <w:pStyle w:val="Heading2"/>
      </w:pPr>
      <w:r>
        <w:t xml:space="preserve">6.8 Review Questions</w:t>
      </w:r>
    </w:p>
    <w:p>
      <w:pPr>
        <w:pStyle w:val="ListParagraph"/>
        <w:numPr>
          <w:ilvl w:val="0"/>
          <w:numId w:val="3"/>
        </w:numPr>
        <w:spacing w:after="80" w:line="290"/>
      </w:pPr>
      <w:r>
        <w:t xml:space="preserve">Why are there four rings instead of just two (approved / not approved)? What does each additional ring communicate?</w:t>
      </w:r>
    </w:p>
    <w:p>
      <w:pPr>
        <w:pStyle w:val="ListParagraph"/>
        <w:numPr>
          <w:ilvl w:val="0"/>
          <w:numId w:val="3"/>
        </w:numPr>
        <w:spacing w:after="80" w:line="290"/>
      </w:pPr>
      <w:r>
        <w:t xml:space="preserve">Your organization is considering putting a popular language (say, Scala) on Hold. What criteria should this decision meet, and how would you communicate it?</w:t>
      </w:r>
    </w:p>
    <w:p>
      <w:pPr>
        <w:pStyle w:val="ListParagraph"/>
        <w:numPr>
          <w:ilvl w:val="0"/>
          <w:numId w:val="3"/>
        </w:numPr>
        <w:spacing w:after="80" w:line="290"/>
      </w:pPr>
      <w:r>
        <w:t xml:space="preserve">What is the difference between Trial and Assess? Give examples where each is appropriate.</w:t>
      </w:r>
    </w:p>
    <w:p>
      <w:pPr>
        <w:pStyle w:val="ListParagraph"/>
        <w:numPr>
          <w:ilvl w:val="0"/>
          <w:numId w:val="3"/>
        </w:numPr>
        <w:spacing w:after="80" w:line="290"/>
      </w:pPr>
      <w:r>
        <w:t xml:space="preserve">A team asks permission to use a Hold-ring technology. How should you respond?</w:t>
      </w:r>
    </w:p>
    <w:p>
      <w:pPr>
        <w:pStyle w:val="Heading1"/>
        <w:pageBreakBefore/>
      </w:pPr>
      <w:r>
        <w:t xml:space="preserve">Chapter 7 — Build vs. Buy Analysis</w:t>
      </w:r>
    </w:p>
    <w:p>
      <w:pPr>
        <w:pStyle w:val="Heading2"/>
      </w:pPr>
      <w:r>
        <w:t xml:space="preserve">7.1 The Core Decision</w:t>
      </w:r>
    </w:p>
    <w:p>
      <w:pPr>
        <w:spacing w:after="120" w:line="300"/>
        <w:jc w:val="both"/>
      </w:pPr>
      <w:r>
        <w:t xml:space="preserve">For any significant capability your organization needs — authentication, logging infrastructure, a search engine, a CRM, a CI/CD system, a customer support platform, a workflow orchestrator — you can either build it in-house or buy (or adopt) something from outside. The choice is consequential: the wrong answer can waste years of engineering time or lock you into a vendor that doesn't serve your needs. It is also recurrent: every new capability presents the same question.</w:t>
      </w:r>
    </w:p>
    <w:p>
      <w:pPr>
        <w:spacing w:after="120" w:line="300"/>
        <w:jc w:val="both"/>
      </w:pPr>
      <w:r>
        <w:t xml:space="preserve">The classic temptation is to build. Engineers enjoy building. Leadership sometimes believes building gives a competitive edge. In-house systems can be customized to exact needs. And yet, for most capabilities, buying is almost certainly correct, because most capabilities are not strategic differentiators and the total cost of building is systematically underestimated. Learning to distinguish the rare cases where building pays off from the common cases where it does not is one of the most valuable judgments technical leaders make.</w:t>
      </w:r>
    </w:p>
    <w:p>
      <w:pPr>
        <w:pStyle w:val="Heading2"/>
      </w:pPr>
      <w:r>
        <w:t xml:space="preserve">7.2 What 'Build' and 'Buy' Really Mean</w:t>
      </w:r>
    </w:p>
    <w:p>
      <w:pPr>
        <w:spacing w:after="120" w:line="300"/>
        <w:jc w:val="both"/>
      </w:pPr>
      <w:r>
        <w:t xml:space="preserve">The terminology is slightly imprecise. A more useful classification:</w:t>
      </w:r>
    </w:p>
    <w:p>
      <w:pPr>
        <w:pStyle w:val="ListParagraph"/>
        <w:numPr>
          <w:ilvl w:val="0"/>
          <w:numId w:val="2"/>
        </w:numPr>
        <w:spacing w:after="80" w:line="290"/>
      </w:pPr>
      <w:r>
        <w:t xml:space="preserve">Build (from scratch) — your team writes the system end-to-end. Maximum control, maximum cost, maximum ongoing maintenance.</w:t>
      </w:r>
    </w:p>
    <w:p>
      <w:pPr>
        <w:pStyle w:val="ListParagraph"/>
        <w:numPr>
          <w:ilvl w:val="0"/>
          <w:numId w:val="2"/>
        </w:numPr>
        <w:spacing w:after="80" w:line="290"/>
      </w:pPr>
      <w:r>
        <w:t xml:space="preserve">Build on open-source — your team assembles and operates components from open-source projects. Lower greenfield cost than build-from-scratch; ongoing operational burden.</w:t>
      </w:r>
    </w:p>
    <w:p>
      <w:pPr>
        <w:pStyle w:val="ListParagraph"/>
        <w:numPr>
          <w:ilvl w:val="0"/>
          <w:numId w:val="2"/>
        </w:numPr>
        <w:spacing w:after="80" w:line="290"/>
      </w:pPr>
      <w:r>
        <w:t xml:space="preserve">Buy managed open-source — a vendor operates the open-source components (e.g., Confluent for Kafka, Elastic Cloud for Elasticsearch, AWS RDS for Postgres). You get the operational benefit of buying while retaining portability.</w:t>
      </w:r>
    </w:p>
    <w:p>
      <w:pPr>
        <w:pStyle w:val="ListParagraph"/>
        <w:numPr>
          <w:ilvl w:val="0"/>
          <w:numId w:val="2"/>
        </w:numPr>
        <w:spacing w:after="80" w:line="290"/>
      </w:pPr>
      <w:r>
        <w:t xml:space="preserve">Buy SaaS — subscribe to a fully-managed commercial service (e.g., Datadog, Stripe, Auth0). Lowest engineering cost; most vendor dependence.</w:t>
      </w:r>
    </w:p>
    <w:p>
      <w:pPr>
        <w:pStyle w:val="ListParagraph"/>
        <w:numPr>
          <w:ilvl w:val="0"/>
          <w:numId w:val="2"/>
        </w:numPr>
        <w:spacing w:after="80" w:line="290"/>
      </w:pPr>
      <w:r>
        <w:t xml:space="preserve">Buy with heavy customization — license enterprise software and adapt it to your needs. Can combine the worst of both worlds if poorly chosen.</w:t>
      </w:r>
    </w:p>
    <w:p>
      <w:pPr>
        <w:spacing w:after="120" w:line="300"/>
        <w:jc w:val="both"/>
      </w:pPr>
      <w:r>
        <w:t xml:space="preserve">Every serious build-vs-buy analysis should enumerate options across this spectrum, not collapse to a binary choice.</w:t>
      </w:r>
    </w:p>
    <w:p>
      <w:pPr>
        <w:pStyle w:val="Heading2"/>
      </w:pPr>
      <w:r>
        <w:t xml:space="preserve">7.3 What to Compare</w:t>
      </w:r>
    </w:p>
    <w:p>
      <w:pPr>
        <w:pStyle w:val="Heading3"/>
      </w:pPr>
      <w:r>
        <w:t xml:space="preserve">Total Cost of Ownership (TCO) Over a 3-5 Year Horizon</w:t>
      </w:r>
    </w:p>
    <w:p>
      <w:pPr>
        <w:spacing w:after="120" w:line="300"/>
        <w:jc w:val="both"/>
      </w:pPr>
      <w:r>
        <w:t xml:space="preserve">The single most-underestimated category is TCO. Engineers tend to estimate only the initial implementation cost and compare it to the vendor's monthly bill. The complete TCO for a home-built system includes:</w:t>
      </w:r>
    </w:p>
    <w:p>
      <w:pPr>
        <w:pStyle w:val="ListParagraph"/>
        <w:numPr>
          <w:ilvl w:val="0"/>
          <w:numId w:val="2"/>
        </w:numPr>
        <w:spacing w:after="80" w:line="290"/>
      </w:pPr>
      <w:r>
        <w:t xml:space="preserve">Initial engineering cost — typically 3-10x the naive estimate, once you include edge cases, integration, UI, observability, security, and production hardening.</w:t>
      </w:r>
    </w:p>
    <w:p>
      <w:pPr>
        <w:pStyle w:val="ListParagraph"/>
        <w:numPr>
          <w:ilvl w:val="0"/>
          <w:numId w:val="2"/>
        </w:numPr>
        <w:spacing w:after="80" w:line="290"/>
      </w:pPr>
      <w:r>
        <w:t xml:space="preserve">Ongoing engineering maintenance — often 30-50% of the initial cost per year, forever. Systems don't 'stay built.'</w:t>
      </w:r>
    </w:p>
    <w:p>
      <w:pPr>
        <w:pStyle w:val="ListParagraph"/>
        <w:numPr>
          <w:ilvl w:val="0"/>
          <w:numId w:val="2"/>
        </w:numPr>
        <w:spacing w:after="80" w:line="290"/>
      </w:pPr>
      <w:r>
        <w:t xml:space="preserve">Operational cost — infrastructure, monitoring, incident response time, on-call load.</w:t>
      </w:r>
    </w:p>
    <w:p>
      <w:pPr>
        <w:pStyle w:val="ListParagraph"/>
        <w:numPr>
          <w:ilvl w:val="0"/>
          <w:numId w:val="2"/>
        </w:numPr>
        <w:spacing w:after="80" w:line="290"/>
      </w:pPr>
      <w:r>
        <w:t xml:space="preserve">Opportunity cost — what the engineers building this are not building instead. This is frequently the largest true cost and almost always invisible in naive comparisons.</w:t>
      </w:r>
    </w:p>
    <w:p>
      <w:pPr>
        <w:pStyle w:val="ListParagraph"/>
        <w:numPr>
          <w:ilvl w:val="0"/>
          <w:numId w:val="2"/>
        </w:numPr>
        <w:spacing w:after="80" w:line="290"/>
      </w:pPr>
      <w:r>
        <w:t xml:space="preserve">Documentation, training, onboarding — for any non-trivial internal system.</w:t>
      </w:r>
    </w:p>
    <w:p>
      <w:pPr>
        <w:spacing w:after="120" w:line="300"/>
        <w:jc w:val="both"/>
      </w:pPr>
      <w:r>
        <w:t xml:space="preserve">For a vendor solution, TCO includes the bill, integration effort, vendor-management overhead, and the cost of migrating off if it fails.</w:t>
      </w:r>
    </w:p>
    <w:p>
      <w:pPr>
        <w:pStyle w:val="Heading3"/>
      </w:pPr>
      <w:r>
        <w:t xml:space="preserve">Strategic Differentiation</w:t>
      </w:r>
    </w:p>
    <w:p>
      <w:pPr>
        <w:spacing w:after="120" w:line="300"/>
        <w:jc w:val="both"/>
      </w:pPr>
      <w:r>
        <w:t xml:space="preserve">Is this capability a source of competitive advantage for your business? If yes, building can make sense — a custom implementation may do something no vendor can match. If no — and this is true for most capabilities — buying is almost always right. A fintech company's fraud detection may be strategic; its CI pipeline is not. An analytics company's query engine may be strategic; its authentication service is not.</w:t>
      </w:r>
    </w:p>
    <w:p>
      <w:pPr>
        <w:spacing w:after="120" w:line="300"/>
        <w:jc w:val="both"/>
      </w:pPr>
      <w:r>
        <w:t xml:space="preserve">The useful question is: 'If a magic wand let us have a perfectly-functioning version of this capability for free tomorrow, would it change our business?' For strategic capabilities, the answer is yes — the quality of this capability affects how customers see us. For non-strategic capabilities, the answer is no — we just need it to work reliably. Non-strategic capabilities should almost always be bought; engineering time is better spent on what differentiates.</w:t>
      </w:r>
    </w:p>
    <w:p>
      <w:pPr>
        <w:pStyle w:val="Heading3"/>
      </w:pPr>
      <w:r>
        <w:t xml:space="preserve">Fit and Customization</w:t>
      </w:r>
    </w:p>
    <w:p>
      <w:pPr>
        <w:spacing w:after="120" w:line="300"/>
        <w:jc w:val="both"/>
      </w:pPr>
      <w:r>
        <w:t xml:space="preserve">Does an off-the-shelf option actually meet your needs? The important nuance is that your needs may not be as special as you think. Most teams believe their workflow is unique and requires heavy customization, and most are wrong — the workflow is 85% the same as every other company's. A careful analysis starts with vendor demos and customer references to challenge the assumption of uniqueness before committing to building.</w:t>
      </w:r>
    </w:p>
    <w:p>
      <w:pPr>
        <w:pStyle w:val="Heading3"/>
      </w:pPr>
      <w:r>
        <w:t xml:space="preserve">Switching Costs and Lock-in</w:t>
      </w:r>
    </w:p>
    <w:p>
      <w:pPr>
        <w:spacing w:after="120" w:line="300"/>
        <w:jc w:val="both"/>
      </w:pPr>
      <w:r>
        <w:t xml:space="preserve">If you buy, how hard is it to leave? Open standards and portable data formats lower switching costs; proprietary APIs and vendor-specific data formats raise them. Open-source-based managed services (Kafka on Confluent) typically offer the lowest lock-in; pure SaaS with proprietary APIs (a niche workflow tool) the highest.</w:t>
      </w:r>
    </w:p>
    <w:p>
      <w:pPr>
        <w:pStyle w:val="Heading3"/>
      </w:pPr>
      <w:r>
        <w:t xml:space="preserve">Time-to-Value</w:t>
      </w:r>
    </w:p>
    <w:p>
      <w:pPr>
        <w:spacing w:after="120" w:line="300"/>
        <w:jc w:val="both"/>
      </w:pPr>
      <w:r>
        <w:t xml:space="preserve">How long before the capability is actually useful to the business? A SaaS solution might be productive in a week. A build might take 6-12 months before the first user sees value, during which competitors are advancing. Speed of deployment often favors buying, especially for non-differentiating capabilities.</w:t>
      </w:r>
    </w:p>
    <w:p>
      <w:pPr>
        <w:pStyle w:val="Heading3"/>
      </w:pPr>
      <w:r>
        <w:t xml:space="preserve">Risk Profile</w:t>
      </w:r>
    </w:p>
    <w:p>
      <w:pPr>
        <w:spacing w:after="120" w:line="300"/>
        <w:jc w:val="both"/>
      </w:pPr>
      <w:r>
        <w:t xml:space="preserve">Building concentrates risk with your team: if it fails, only you can fix it. Buying distributes risk: vendor bugs are the vendor's problem, but vendor outages and vendor company risk (acquisition, pricing changes, product discontinuation) become yours. Neither is universally better; the right choice depends on which risks your organization is better equipped to manage.</w:t>
      </w:r>
    </w:p>
    <w:p>
      <w:pPr>
        <w:pStyle w:val="Heading2"/>
      </w:pPr>
      <w:r>
        <w:t xml:space="preserve">7.4 A Fully Worked Example: Customer Support Platform</w:t>
      </w:r>
    </w:p>
    <w:p>
      <w:pPr>
        <w:spacing w:after="120" w:line="300"/>
        <w:jc w:val="both"/>
      </w:pPr>
      <w:r>
        <w:t xml:space="preserve">A growing SaaS company needs a customer support platform: ticket management, conversation threading, agent workflows, customer portal, reporting. They consider three options: build on open-source (combine open-source helpdesk with custom UI), buy SaaS (Zendesk, Intercom, Freshdesk), or build from scratch.</w:t>
      </w:r>
    </w:p>
    <w:p>
      <w:pPr>
        <w:pStyle w:val="Heading4"/>
      </w:pPr>
      <w:r>
        <w:t xml:space="preserve">Five-Year TCO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BFBFBF" w:sz="4"/>
              <w:left w:val="single" w:color="BFBFBF" w:sz="4"/>
              <w:bottom w:val="single" w:color="BFBFBF" w:sz="4"/>
              <w:right w:val="single" w:color="BFBFBF" w:sz="4"/>
            </w:tcBorders>
            <w:shd w:fill="2D5F8D" w:val="clear"/>
            <w:tcMar>
              <w:top w:type="dxa" w:w="100"/>
              <w:left w:type="dxa" w:w="140"/>
              <w:bottom w:type="dxa" w:w="100"/>
              <w:right w:type="dxa" w:w="140"/>
            </w:tcMar>
          </w:tcPr>
          <w:p>
            <w:r>
              <w:rPr>
                <w:b/>
                <w:bCs/>
                <w:color w:val="FFFFFF"/>
              </w:rPr>
              <w:t xml:space="preserve">Cost Category</w:t>
            </w:r>
          </w:p>
        </w:tc>
        <w:tc>
          <w:tcPr>
            <w:tcW w:type="dxa" w:w="2080"/>
            <w:tcBorders>
              <w:top w:val="single" w:color="BFBFBF" w:sz="4"/>
              <w:left w:val="single" w:color="BFBFBF" w:sz="4"/>
              <w:bottom w:val="single" w:color="BFBFBF" w:sz="4"/>
              <w:right w:val="single" w:color="BFBFBF" w:sz="4"/>
            </w:tcBorders>
            <w:shd w:fill="2D5F8D" w:val="clear"/>
            <w:tcMar>
              <w:top w:type="dxa" w:w="100"/>
              <w:left w:type="dxa" w:w="140"/>
              <w:bottom w:type="dxa" w:w="100"/>
              <w:right w:type="dxa" w:w="140"/>
            </w:tcMar>
          </w:tcPr>
          <w:p>
            <w:r>
              <w:rPr>
                <w:b/>
                <w:bCs/>
                <w:color w:val="FFFFFF"/>
              </w:rPr>
              <w:t xml:space="preserve">Build from scratch</w:t>
            </w:r>
          </w:p>
        </w:tc>
        <w:tc>
          <w:tcPr>
            <w:tcW w:type="dxa" w:w="2080"/>
            <w:tcBorders>
              <w:top w:val="single" w:color="BFBFBF" w:sz="4"/>
              <w:left w:val="single" w:color="BFBFBF" w:sz="4"/>
              <w:bottom w:val="single" w:color="BFBFBF" w:sz="4"/>
              <w:right w:val="single" w:color="BFBFBF" w:sz="4"/>
            </w:tcBorders>
            <w:shd w:fill="2D5F8D" w:val="clear"/>
            <w:tcMar>
              <w:top w:type="dxa" w:w="100"/>
              <w:left w:type="dxa" w:w="140"/>
              <w:bottom w:type="dxa" w:w="100"/>
              <w:right w:type="dxa" w:w="140"/>
            </w:tcMar>
          </w:tcPr>
          <w:p>
            <w:r>
              <w:rPr>
                <w:b/>
                <w:bCs/>
                <w:color w:val="FFFFFF"/>
              </w:rPr>
              <w:t xml:space="preserve">Open-source + custom</w:t>
            </w:r>
          </w:p>
        </w:tc>
        <w:tc>
          <w:tcPr>
            <w:tcW w:type="dxa" w:w="2080"/>
            <w:tcBorders>
              <w:top w:val="single" w:color="BFBFBF" w:sz="4"/>
              <w:left w:val="single" w:color="BFBFBF" w:sz="4"/>
              <w:bottom w:val="single" w:color="BFBFBF" w:sz="4"/>
              <w:right w:val="single" w:color="BFBFBF" w:sz="4"/>
            </w:tcBorders>
            <w:shd w:fill="2D5F8D" w:val="clear"/>
            <w:tcMar>
              <w:top w:type="dxa" w:w="100"/>
              <w:left w:type="dxa" w:w="140"/>
              <w:bottom w:type="dxa" w:w="100"/>
              <w:right w:type="dxa" w:w="140"/>
            </w:tcMar>
          </w:tcPr>
          <w:p>
            <w:r>
              <w:rPr>
                <w:b/>
                <w:bCs/>
                <w:color w:val="FFFFFF"/>
              </w:rPr>
              <w:t xml:space="preserve">Buy SaaS (Zendesk-like)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Year 1 engineering</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$1,800,000 (8 eng)</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$900,000 (4 eng)</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$150,000 (0.6 eng, setup)</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Annual maintenance (Y2-Y5)</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$900,000/yr (4 eng)</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$450,000/yr (2 eng)</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$50,000/yr (0.2 eng)</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Infrastructure</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$60,000/yr</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$60,000/yr</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$0 (included)</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License / subscription</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$0</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$0 (open source)</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$240,000/yr (growing)</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5-year TCO</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$5,640,000</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$2,940,000</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$1,610,000</w:t>
            </w:r>
          </w:p>
        </w:tc>
      </w:tr>
    </w:tbl>
    <w:p>
      <w:pPr>
        <w:spacing w:after="120"/>
      </w:pPr>
      <w:r>
        <w:t xml:space="preserve"/>
      </w:r>
    </w:p>
    <w:p>
      <w:pPr>
        <w:pStyle w:val="Heading4"/>
      </w:pPr>
      <w:r>
        <w:t xml:space="preserve">Non-TCO Factors</w:t>
      </w:r>
    </w:p>
    <w:p>
      <w:pPr>
        <w:pStyle w:val="ListParagraph"/>
        <w:numPr>
          <w:ilvl w:val="0"/>
          <w:numId w:val="2"/>
        </w:numPr>
        <w:spacing w:after="80" w:line="290"/>
      </w:pPr>
      <w:r>
        <w:t xml:space="preserve">Strategic differentiation: support platform is not a differentiator for this company. Their differentiation is in their core SaaS product.</w:t>
      </w:r>
    </w:p>
    <w:p>
      <w:pPr>
        <w:pStyle w:val="ListParagraph"/>
        <w:numPr>
          <w:ilvl w:val="0"/>
          <w:numId w:val="2"/>
        </w:numPr>
        <w:spacing w:after="80" w:line="290"/>
      </w:pPr>
      <w:r>
        <w:t xml:space="preserve">Time to value: SaaS is usable in 4 weeks; open-source build takes 6 months; from-scratch takes 12+ months. During build delays, support staff are using spreadsheets and email — measurable customer-experience cost.</w:t>
      </w:r>
    </w:p>
    <w:p>
      <w:pPr>
        <w:pStyle w:val="ListParagraph"/>
        <w:numPr>
          <w:ilvl w:val="0"/>
          <w:numId w:val="2"/>
        </w:numPr>
        <w:spacing w:after="80" w:line="290"/>
      </w:pPr>
      <w:r>
        <w:t xml:space="preserve">Fit: Modern SaaS support platforms cover 95% of envisioned needs. The remaining 5% can be handled via their API or lived with.</w:t>
      </w:r>
    </w:p>
    <w:p>
      <w:pPr>
        <w:pStyle w:val="ListParagraph"/>
        <w:numPr>
          <w:ilvl w:val="0"/>
          <w:numId w:val="2"/>
        </w:numPr>
        <w:spacing w:after="80" w:line="290"/>
      </w:pPr>
      <w:r>
        <w:t xml:space="preserve">Lock-in: SaaS platforms have moderate lock-in (migration is painful but possible). A custom build has maximum lock-in (you can never leave what you built).</w:t>
      </w:r>
    </w:p>
    <w:p>
      <w:pPr>
        <w:pStyle w:val="ListParagraph"/>
        <w:numPr>
          <w:ilvl w:val="0"/>
          <w:numId w:val="2"/>
        </w:numPr>
        <w:spacing w:after="80" w:line="290"/>
      </w:pPr>
      <w:r>
        <w:t xml:space="preserve">Risk: SaaS vendor risk (acquisition, pricing) is real. Building risk (delays, quality issues, maintenance burden) is also real and historically larger.</w:t>
      </w:r>
    </w:p>
    <w:p>
      <w:pPr>
        <w:pStyle w:val="Heading4"/>
      </w:pPr>
      <w:r>
        <w:t xml:space="preserve">Decision</w:t>
      </w:r>
    </w:p>
    <w:p>
      <w:pPr>
        <w:spacing w:after="120" w:line="300"/>
        <w:jc w:val="both"/>
      </w:pPr>
      <w:r>
        <w:t xml:space="preserve">Buy SaaS. The cost is dramatically lower, time-to-value is dramatically faster, the capability is not strategic, and the fit is adequate. The opportunity cost of building — 8 engineers for a year, ongoing maintenance team — is better spent on product features customers will actually pay for.</w:t>
      </w:r>
    </w:p>
    <w:p>
      <w:pPr>
        <w:spacing w:after="120" w:line="300"/>
        <w:jc w:val="both"/>
      </w:pPr>
      <w:r>
        <w:t xml:space="preserve">The only scenario where this flips: if the company's business were support-platform-as-a-service (e.g., they sell support tools to other companies), then the support platform becomes strategic and building starts to make sense. Strategic status transforms the calculus entirely.</w:t>
      </w:r>
    </w:p>
    <w:p>
      <w:pPr>
        <w:pStyle w:val="Heading2"/>
      </w:pPr>
      <w:r>
        <w:t xml:space="preserve">7.5 Heuristics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F8D" w:sz="6"/>
              <w:left w:val="single" w:color="2D5F8D" w:sz="6"/>
              <w:bottom w:val="single" w:color="2D5F8D" w:sz="6"/>
              <w:right w:val="single" w:color="2D5F8D" w:sz="6"/>
            </w:tcBorders>
            <w:shd w:fill="DDE7F0" w:val="clear"/>
            <w:tcMar>
              <w:top w:type="dxa" w:w="160"/>
              <w:left w:type="dxa" w:w="200"/>
              <w:bottom w:type="dxa" w:w="160"/>
              <w:right w:type="dxa" w:w="200"/>
            </w:tcMar>
          </w:tcPr>
          <w:p>
            <w:pPr>
              <w:spacing w:after="80"/>
            </w:pPr>
            <w:r>
              <w:rPr>
                <w:b/>
                <w:bCs/>
                <w:color w:val="2D5F8D"/>
                <w:sz w:val="22"/>
                <w:szCs w:val="22"/>
              </w:rPr>
              <w:t xml:space="preserve">Useful Rules of Thumb</w:t>
            </w:r>
          </w:p>
          <w:p>
            <w:pPr>
              <w:spacing w:after="120" w:line="300"/>
              <w:jc w:val="both"/>
            </w:pPr>
            <w:r>
              <w:t xml:space="preserve">• If the capability is not a strategic differentiator, default to buy.</w:t>
            </w:r>
          </w:p>
          <w:p>
            <w:pPr>
              <w:spacing w:after="120" w:line="300"/>
              <w:jc w:val="both"/>
            </w:pPr>
            <w:r>
              <w:t xml:space="preserve">• If the capability is offered by a mature vendor with &gt;$50M ARR and strong customer references, the 'we can build it better' argument is almost always wrong.</w:t>
            </w:r>
          </w:p>
          <w:p>
            <w:pPr>
              <w:spacing w:after="120" w:line="300"/>
              <w:jc w:val="both"/>
            </w:pPr>
            <w:r>
              <w:t xml:space="preserve">• If your naive build estimate is &lt;6 engineer-weeks, the real cost is probably 3-6 months. If your naive estimate is 3 months, the real cost is probably a year.</w:t>
            </w:r>
          </w:p>
          <w:p>
            <w:pPr>
              <w:spacing w:after="120" w:line="300"/>
              <w:jc w:val="both"/>
            </w:pPr>
            <w:r>
              <w:t xml:space="preserve">• If you are building mainly because your team wants to, that is the wrong reason — even if the team is right that they could build it well, the opportunity cost usually does not justify it.</w:t>
            </w:r>
          </w:p>
          <w:p>
            <w:pPr>
              <w:spacing w:after="120" w:line="300"/>
              <w:jc w:val="both"/>
            </w:pPr>
            <w:r>
              <w:t xml:space="preserve">• If you are buying to avoid a short-term hiring problem, remember that the subscription is forever. Ensure the buy still makes sense in year 3.</w:t>
            </w:r>
          </w:p>
          <w:p>
            <w:pPr>
              <w:spacing w:after="120" w:line="300"/>
              <w:jc w:val="both"/>
            </w:pPr>
            <w:r>
              <w:t xml:space="preserve">• Portable data formats and open standards reduce buy-side lock-in. Invest mild effort in data-export paths at adoption time; they are much cheaper to build then than during a crisis migration.</w:t>
            </w:r>
          </w:p>
        </w:tc>
      </w:tr>
    </w:tbl>
    <w:p>
      <w:pPr>
        <w:pStyle w:val="Heading2"/>
      </w:pPr>
      <w:r>
        <w:t xml:space="preserve">7.6 When Building Is Actually Right</w:t>
      </w:r>
    </w:p>
    <w:p>
      <w:pPr>
        <w:spacing w:after="120" w:line="300"/>
        <w:jc w:val="both"/>
      </w:pPr>
      <w:r>
        <w:t xml:space="preserve">Building is sometimes the correct choice. Signals that favor build:</w:t>
      </w:r>
    </w:p>
    <w:p>
      <w:pPr>
        <w:pStyle w:val="ListParagraph"/>
        <w:numPr>
          <w:ilvl w:val="0"/>
          <w:numId w:val="2"/>
        </w:numPr>
        <w:spacing w:after="80" w:line="290"/>
      </w:pPr>
      <w:r>
        <w:t xml:space="preserve">The capability is genuinely strategic — its quality affects how customers choose your product.</w:t>
      </w:r>
    </w:p>
    <w:p>
      <w:pPr>
        <w:pStyle w:val="ListParagraph"/>
        <w:numPr>
          <w:ilvl w:val="0"/>
          <w:numId w:val="2"/>
        </w:numPr>
        <w:spacing w:after="80" w:line="290"/>
      </w:pPr>
      <w:r>
        <w:t xml:space="preserve">No available solution meets minimum requirements. Not 'no perfect solution' — 'no acceptable solution.' The bar is high.</w:t>
      </w:r>
    </w:p>
    <w:p>
      <w:pPr>
        <w:pStyle w:val="ListParagraph"/>
        <w:numPr>
          <w:ilvl w:val="0"/>
          <w:numId w:val="2"/>
        </w:numPr>
        <w:spacing w:after="80" w:line="290"/>
      </w:pPr>
      <w:r>
        <w:t xml:space="preserve">Your scale, workflow, or constraints are genuinely outside what vendors address (e.g., you operate at a scale two orders of magnitude larger than their biggest customer).</w:t>
      </w:r>
    </w:p>
    <w:p>
      <w:pPr>
        <w:pStyle w:val="ListParagraph"/>
        <w:numPr>
          <w:ilvl w:val="0"/>
          <w:numId w:val="2"/>
        </w:numPr>
        <w:spacing w:after="80" w:line="290"/>
      </w:pPr>
      <w:r>
        <w:t xml:space="preserve">The regulatory or security environment requires capabilities no vendor offers (e.g., air-gapped, classified, or FedRAMP-equivalent deployments).</w:t>
      </w:r>
    </w:p>
    <w:p>
      <w:pPr>
        <w:pStyle w:val="ListParagraph"/>
        <w:numPr>
          <w:ilvl w:val="0"/>
          <w:numId w:val="2"/>
        </w:numPr>
        <w:spacing w:after="80" w:line="290"/>
      </w:pPr>
      <w:r>
        <w:t xml:space="preserve">You have durable in-house expertise that gives you a genuine advantage in building it.</w:t>
      </w:r>
    </w:p>
    <w:p>
      <w:pPr>
        <w:spacing w:after="120" w:line="300"/>
        <w:jc w:val="both"/>
      </w:pPr>
      <w:r>
        <w:t xml:space="preserve">These conditions are less common than teams believe. Apply them honestly. The question 'does a vendor exist that would be acceptable?' deserves weeks of actual evaluation, not minutes of dismissive skepticism.</w:t>
      </w:r>
    </w:p>
    <w:p>
      <w:pPr>
        <w:pStyle w:val="Heading2"/>
      </w:pPr>
      <w:r>
        <w:t xml:space="preserve">7.7 Pitfalls</w:t>
      </w:r>
    </w:p>
    <w:p>
      <w:pPr>
        <w:pStyle w:val="ListParagraph"/>
        <w:numPr>
          <w:ilvl w:val="0"/>
          <w:numId w:val="2"/>
        </w:numPr>
        <w:spacing w:after="80" w:line="290"/>
      </w:pPr>
      <w:r>
        <w:t xml:space="preserve">Not-invented-here bias. Dismissing external solutions reflexively because they weren't built by your team.</w:t>
      </w:r>
    </w:p>
    <w:p>
      <w:pPr>
        <w:pStyle w:val="ListParagraph"/>
        <w:numPr>
          <w:ilvl w:val="0"/>
          <w:numId w:val="2"/>
        </w:numPr>
        <w:spacing w:after="80" w:line="290"/>
      </w:pPr>
      <w:r>
        <w:t xml:space="preserve">Build estimates. Engineers consistently underestimate build costs by 3-5x. Vendor costs are (usually) known. This asymmetry systematically biases comparisons toward building.</w:t>
      </w:r>
    </w:p>
    <w:p>
      <w:pPr>
        <w:pStyle w:val="ListParagraph"/>
        <w:numPr>
          <w:ilvl w:val="0"/>
          <w:numId w:val="2"/>
        </w:numPr>
        <w:spacing w:after="80" w:line="290"/>
      </w:pPr>
      <w:r>
        <w:t xml:space="preserve">Ignoring opportunity cost. The engineers building X aren't building Y. For a non-strategic X and a strategic Y, this alone justifies buying X.</w:t>
      </w:r>
    </w:p>
    <w:p>
      <w:pPr>
        <w:pStyle w:val="ListParagraph"/>
        <w:numPr>
          <w:ilvl w:val="0"/>
          <w:numId w:val="2"/>
        </w:numPr>
        <w:spacing w:after="80" w:line="290"/>
      </w:pPr>
      <w:r>
        <w:t xml:space="preserve">Buy and then build around. Buying a tool and then spending two years building custom integrations that could have been built once into an internal solution is a common middle-of-the-road failure.</w:t>
      </w:r>
    </w:p>
    <w:p>
      <w:pPr>
        <w:pStyle w:val="ListParagraph"/>
        <w:numPr>
          <w:ilvl w:val="0"/>
          <w:numId w:val="2"/>
        </w:numPr>
        <w:spacing w:after="80" w:line="290"/>
      </w:pPr>
      <w:r>
        <w:t xml:space="preserve">Buy without portability planning. Locking in to a vendor without any thought to data portability or replacement creates painful migrations years later.</w:t>
      </w:r>
    </w:p>
    <w:p>
      <w:pPr>
        <w:pStyle w:val="ListParagraph"/>
        <w:numPr>
          <w:ilvl w:val="0"/>
          <w:numId w:val="2"/>
        </w:numPr>
        <w:spacing w:after="80" w:line="290"/>
      </w:pPr>
      <w:r>
        <w:t xml:space="preserve">Building because it's interesting. Engineers prefer novel problems. This is a legitimate motivational factor, but not a legitimate business reason to build. Be honest about which you're optimizing for.</w:t>
      </w:r>
    </w:p>
    <w:p>
      <w:pPr>
        <w:pStyle w:val="Heading2"/>
      </w:pPr>
      <w:r>
        <w:t xml:space="preserve">7.8 Review Questions</w:t>
      </w:r>
    </w:p>
    <w:p>
      <w:pPr>
        <w:pStyle w:val="ListParagraph"/>
        <w:numPr>
          <w:ilvl w:val="0"/>
          <w:numId w:val="3"/>
        </w:numPr>
        <w:spacing w:after="80" w:line="290"/>
      </w:pPr>
      <w:r>
        <w:t xml:space="preserve">What is the single most commonly-underestimated cost in build-vs-buy analyses, and why?</w:t>
      </w:r>
    </w:p>
    <w:p>
      <w:pPr>
        <w:pStyle w:val="ListParagraph"/>
        <w:numPr>
          <w:ilvl w:val="0"/>
          <w:numId w:val="3"/>
        </w:numPr>
        <w:spacing w:after="80" w:line="290"/>
      </w:pPr>
      <w:r>
        <w:t xml:space="preserve">Under what conditions is building genuinely preferable? Give a concrete example.</w:t>
      </w:r>
    </w:p>
    <w:p>
      <w:pPr>
        <w:pStyle w:val="ListParagraph"/>
        <w:numPr>
          <w:ilvl w:val="0"/>
          <w:numId w:val="3"/>
        </w:numPr>
        <w:spacing w:after="80" w:line="290"/>
      </w:pPr>
      <w:r>
        <w:t xml:space="preserve">Your team argues that buying locks you in, but building locks you in too. Discuss — what is the real difference?</w:t>
      </w:r>
    </w:p>
    <w:p>
      <w:pPr>
        <w:pStyle w:val="ListParagraph"/>
        <w:numPr>
          <w:ilvl w:val="0"/>
          <w:numId w:val="3"/>
        </w:numPr>
        <w:spacing w:after="80" w:line="290"/>
      </w:pPr>
      <w:r>
        <w:t xml:space="preserve">How do you differentiate between a capability that is genuinely strategic and one that merely feels important?</w:t>
      </w:r>
    </w:p>
    <w:p>
      <w:pPr>
        <w:pStyle w:val="Heading1"/>
        <w:pageBreakBefore/>
      </w:pPr>
      <w:r>
        <w:t xml:space="preserve">Chapter 8 — Decision Fatigue and Time-Boxing Decisions</w:t>
      </w:r>
    </w:p>
    <w:p>
      <w:pPr>
        <w:pStyle w:val="Heading2"/>
      </w:pPr>
      <w:r>
        <w:t xml:space="preserve">8.1 Decisions Are Finite</w:t>
      </w:r>
    </w:p>
    <w:p>
      <w:pPr>
        <w:spacing w:after="120" w:line="300"/>
        <w:jc w:val="both"/>
      </w:pPr>
      <w:r>
        <w:t xml:space="preserve">Humans have a limited budget of high-quality decision-making per day. After enough decisions, cognitive resources deplete — judgment becomes more impulsive, more cautious, more reliant on defaults, and generally worse. This phenomenon, called decision fatigue, is well-documented across psychology research and everyday experience. The classic practical implication is why so many productivity advice systems revolve around batching, simplifying, or outsourcing routine decisions: save your decision budget for the decisions that matter.</w:t>
      </w:r>
    </w:p>
    <w:p>
      <w:pPr>
        <w:spacing w:after="120" w:line="300"/>
        <w:jc w:val="both"/>
      </w:pPr>
      <w:r>
        <w:t xml:space="preserve">In engineering organizations, decision fatigue manifests at two levels. At the individual level, engineers making dozens of micro-decisions a day (architecture, code review, triage, prioritization) arrive at the important decisions with depleted judgment. At the organizational level, teams that run dozens of open decisions in parallel — none of them closed — develop chronic decision paralysis. Decisions that should take a week take two months because the cognitive overhead of tracking them all exceeds the team's capacity.</w:t>
      </w:r>
    </w:p>
    <w:p>
      <w:pPr>
        <w:spacing w:after="120" w:line="300"/>
        <w:jc w:val="both"/>
      </w:pPr>
      <w:r>
        <w:t xml:space="preserve">The countermeasures are two: reduce the number of decisions you make (by automating, delegating, defaulting, or declining), and time-box the decisions you do make so they reach closure before they start consuming ongoing attention.</w:t>
      </w:r>
    </w:p>
    <w:p>
      <w:pPr>
        <w:pStyle w:val="Heading2"/>
      </w:pPr>
      <w:r>
        <w:t xml:space="preserve">8.2 Sources of Unnecessary Decisions</w:t>
      </w:r>
    </w:p>
    <w:p>
      <w:pPr>
        <w:pStyle w:val="ListParagraph"/>
        <w:numPr>
          <w:ilvl w:val="0"/>
          <w:numId w:val="2"/>
        </w:numPr>
        <w:spacing w:after="80" w:line="290"/>
      </w:pPr>
      <w:r>
        <w:t xml:space="preserve">Re-litigation. Decisions that were made, then forgotten, then made again. Mitigation: ADRs (Chapter 1) that survive the original discussion.</w:t>
      </w:r>
    </w:p>
    <w:p>
      <w:pPr>
        <w:pStyle w:val="ListParagraph"/>
        <w:numPr>
          <w:ilvl w:val="0"/>
          <w:numId w:val="2"/>
        </w:numPr>
        <w:spacing w:after="80" w:line="290"/>
      </w:pPr>
      <w:r>
        <w:t xml:space="preserve">Unclear authority. Decisions that stall because no one knows who can call them. Mitigation: DACI (Chapter 2), clear ownership.</w:t>
      </w:r>
    </w:p>
    <w:p>
      <w:pPr>
        <w:pStyle w:val="ListParagraph"/>
        <w:numPr>
          <w:ilvl w:val="0"/>
          <w:numId w:val="2"/>
        </w:numPr>
        <w:spacing w:after="80" w:line="290"/>
      </w:pPr>
      <w:r>
        <w:t xml:space="preserve">Over-deliberation on small decisions. Treating every two-way-door decision as if it were one-way. Mitigation: explicit reversibility classification (Chapter 5).</w:t>
      </w:r>
    </w:p>
    <w:p>
      <w:pPr>
        <w:pStyle w:val="ListParagraph"/>
        <w:numPr>
          <w:ilvl w:val="0"/>
          <w:numId w:val="2"/>
        </w:numPr>
        <w:spacing w:after="80" w:line="290"/>
      </w:pPr>
      <w:r>
        <w:t xml:space="preserve">Decisions that should have defaults. Every new project re-deciding the same boring questions (which test framework, which CI, which formatter) is waste. Mitigation: organizational defaults that can be adopted with no per-project decision (this is one of the things a technology radar does, Chapter 6).</w:t>
      </w:r>
    </w:p>
    <w:p>
      <w:pPr>
        <w:pStyle w:val="ListParagraph"/>
        <w:numPr>
          <w:ilvl w:val="0"/>
          <w:numId w:val="2"/>
        </w:numPr>
        <w:spacing w:after="80" w:line="290"/>
      </w:pPr>
      <w:r>
        <w:t xml:space="preserve">Premature decisions. Deciding things that don't need to be decided now, because deferring is uncomfortable. Mitigation: 'just enough decision at the last responsible moment' — decide only what current work actually requires.</w:t>
      </w:r>
    </w:p>
    <w:p>
      <w:pPr>
        <w:pStyle w:val="Heading2"/>
      </w:pPr>
      <w:r>
        <w:t xml:space="preserve">8.3 Time-Boxing: How and Why</w:t>
      </w:r>
    </w:p>
    <w:p>
      <w:pPr>
        <w:spacing w:after="120" w:line="300"/>
        <w:jc w:val="both"/>
      </w:pPr>
      <w:r>
        <w:t xml:space="preserve">Time-boxing is the practice of assigning every decision an explicit deadline by which it will be resolved, and treating that deadline as a real constraint. Decisions without deadlines drift indefinitely; decisions with deadlines close. Time-boxing does not mean 'rush' — the deadline should be proportional to the decision's weight. It means 'define when we will be done considering this.'</w:t>
      </w:r>
    </w:p>
    <w:p>
      <w:pPr>
        <w:pStyle w:val="Heading3"/>
      </w:pPr>
      <w:r>
        <w:t xml:space="preserve">How to Time-Box</w:t>
      </w:r>
    </w:p>
    <w:p>
      <w:pPr>
        <w:pStyle w:val="Heading4"/>
      </w:pPr>
      <w:r>
        <w:t xml:space="preserve">Step 1: Classify the Decision by Weight</w:t>
      </w:r>
    </w:p>
    <w:p>
      <w:pPr>
        <w:spacing w:after="120" w:line="300"/>
        <w:jc w:val="both"/>
      </w:pPr>
      <w:r>
        <w:t xml:space="preserve">Rough weight categories and typical time-boxes: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60"/>
        <w:gridCol w:w="2400"/>
        <w:gridCol w:w="2760"/>
      </w:tblGrid>
      <w:tr>
        <w:trPr>
          <w:tblHeader/>
        </w:trPr>
        <w:tc>
          <w:tcPr>
            <w:tcW w:type="dxa" w:w="2340"/>
            <w:tcBorders>
              <w:top w:val="single" w:color="BFBFBF" w:sz="4"/>
              <w:left w:val="single" w:color="BFBFBF" w:sz="4"/>
              <w:bottom w:val="single" w:color="BFBFBF" w:sz="4"/>
              <w:right w:val="single" w:color="BFBFBF" w:sz="4"/>
            </w:tcBorders>
            <w:shd w:fill="2D5F8D" w:val="clear"/>
            <w:tcMar>
              <w:top w:type="dxa" w:w="100"/>
              <w:left w:type="dxa" w:w="140"/>
              <w:bottom w:type="dxa" w:w="100"/>
              <w:right w:type="dxa" w:w="140"/>
            </w:tcMar>
          </w:tcPr>
          <w:p>
            <w:r>
              <w:rPr>
                <w:b/>
                <w:bCs/>
                <w:color w:val="FFFFFF"/>
              </w:rPr>
              <w:t xml:space="preserve">Weight</w:t>
            </w:r>
          </w:p>
        </w:tc>
        <w:tc>
          <w:tcPr>
            <w:tcW w:type="dxa" w:w="1860"/>
            <w:tcBorders>
              <w:top w:val="single" w:color="BFBFBF" w:sz="4"/>
              <w:left w:val="single" w:color="BFBFBF" w:sz="4"/>
              <w:bottom w:val="single" w:color="BFBFBF" w:sz="4"/>
              <w:right w:val="single" w:color="BFBFBF" w:sz="4"/>
            </w:tcBorders>
            <w:shd w:fill="2D5F8D" w:val="clear"/>
            <w:tcMar>
              <w:top w:type="dxa" w:w="100"/>
              <w:left w:type="dxa" w:w="140"/>
              <w:bottom w:type="dxa" w:w="100"/>
              <w:right w:type="dxa" w:w="140"/>
            </w:tcMar>
          </w:tcPr>
          <w:p>
            <w:r>
              <w:rPr>
                <w:b/>
                <w:bCs/>
                <w:color w:val="FFFFFF"/>
              </w:rPr>
              <w:t xml:space="preserve">Typical Box</w:t>
            </w:r>
          </w:p>
        </w:tc>
        <w:tc>
          <w:tcPr>
            <w:tcW w:type="dxa" w:w="2400"/>
            <w:tcBorders>
              <w:top w:val="single" w:color="BFBFBF" w:sz="4"/>
              <w:left w:val="single" w:color="BFBFBF" w:sz="4"/>
              <w:bottom w:val="single" w:color="BFBFBF" w:sz="4"/>
              <w:right w:val="single" w:color="BFBFBF" w:sz="4"/>
            </w:tcBorders>
            <w:shd w:fill="2D5F8D" w:val="clear"/>
            <w:tcMar>
              <w:top w:type="dxa" w:w="100"/>
              <w:left w:type="dxa" w:w="140"/>
              <w:bottom w:type="dxa" w:w="100"/>
              <w:right w:type="dxa" w:w="140"/>
            </w:tcMar>
          </w:tcPr>
          <w:p>
            <w:r>
              <w:rPr>
                <w:b/>
                <w:bCs/>
                <w:color w:val="FFFFFF"/>
              </w:rPr>
              <w:t xml:space="preserve">Examples</w:t>
            </w:r>
          </w:p>
        </w:tc>
        <w:tc>
          <w:tcPr>
            <w:tcW w:type="dxa" w:w="2760"/>
            <w:tcBorders>
              <w:top w:val="single" w:color="BFBFBF" w:sz="4"/>
              <w:left w:val="single" w:color="BFBFBF" w:sz="4"/>
              <w:bottom w:val="single" w:color="BFBFBF" w:sz="4"/>
              <w:right w:val="single" w:color="BFBFBF" w:sz="4"/>
            </w:tcBorders>
            <w:shd w:fill="2D5F8D" w:val="clear"/>
            <w:tcMar>
              <w:top w:type="dxa" w:w="100"/>
              <w:left w:type="dxa" w:w="140"/>
              <w:bottom w:type="dxa" w:w="100"/>
              <w:right w:type="dxa" w:w="140"/>
            </w:tcMar>
          </w:tcPr>
          <w:p>
            <w:r>
              <w:rPr>
                <w:b/>
                <w:bCs/>
                <w:color w:val="FFFFFF"/>
              </w:rPr>
              <w:t xml:space="preserve">Process Depth</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Tiny (2-way)</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Same day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Library choice, code style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IC picks, one-line PR note</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Small (2-way)</w:t>
            </w:r>
          </w:p>
        </w:tc>
        <w:tc>
          <w:tcPr>
            <w:tcW w:type="dxa" w:w="1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3-5 days</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Team tool, test approach</w:t>
            </w:r>
          </w:p>
        </w:tc>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Team discussion, short note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Medium</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1-2 weeks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Internal platform choice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RFC + DACI + review</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Large (1-way)</w:t>
            </w:r>
          </w:p>
        </w:tc>
        <w:tc>
          <w:tcPr>
            <w:tcW w:type="dxa" w:w="18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3-6 weeks</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DB choice, architecture</w:t>
            </w:r>
          </w:p>
        </w:tc>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ADR + PoC + matrix</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Strategic (1-way)</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1-3 months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Cloud provider, vendor contract</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Full diligence, exec-level</w:t>
            </w:r>
          </w:p>
        </w:tc>
      </w:tr>
    </w:tbl>
    <w:p>
      <w:pPr>
        <w:spacing w:after="120"/>
      </w:pPr>
      <w:r>
        <w:t xml:space="preserve"/>
      </w:r>
    </w:p>
    <w:p>
      <w:pPr>
        <w:pStyle w:val="Heading4"/>
      </w:pPr>
      <w:r>
        <w:t xml:space="preserve">Step 2: Publish the Deadline</w:t>
      </w:r>
    </w:p>
    <w:p>
      <w:pPr>
        <w:spacing w:after="120" w:line="300"/>
        <w:jc w:val="both"/>
      </w:pPr>
      <w:r>
        <w:t xml:space="preserve">The Driver (DACI) announces, at the start, when the decision will be closed. 'We will decide the new queueing technology by Friday, April 23. Contributors, please have your input in by Tuesday.' Public deadlines create social accountability and give skeptics a concrete target to rally around or rally against.</w:t>
      </w:r>
    </w:p>
    <w:p>
      <w:pPr>
        <w:pStyle w:val="Heading4"/>
      </w:pPr>
      <w:r>
        <w:t xml:space="preserve">Step 3: Honor the Deadline</w:t>
      </w:r>
    </w:p>
    <w:p>
      <w:pPr>
        <w:spacing w:after="120" w:line="300"/>
        <w:jc w:val="both"/>
      </w:pPr>
      <w:r>
        <w:t xml:space="preserve">When the deadline arrives, decide with what you have. If information is still missing, the absence of information is itself information: the decision may be 'we will adopt X provisionally and schedule a review in 3 months when we have the missing data,' but it is a decision. The worst outcome is a deadline treated as aspirational — this teaches everyone that deadlines mean nothing and the next decision will be even harder to close.</w:t>
      </w:r>
    </w:p>
    <w:p>
      <w:pPr>
        <w:pStyle w:val="Heading4"/>
      </w:pPr>
      <w:r>
        <w:t xml:space="preserve">Step 4: Revise If Needed</w:t>
      </w:r>
    </w:p>
    <w:p>
      <w:pPr>
        <w:spacing w:after="120" w:line="300"/>
        <w:jc w:val="both"/>
      </w:pPr>
      <w:r>
        <w:t xml:space="preserve">If truly new information emerges after the decision, you can revisit — that's what two-way doors are for. But the default should be: decision made, decision stands, move on.</w:t>
      </w:r>
    </w:p>
    <w:p>
      <w:pPr>
        <w:pStyle w:val="Heading2"/>
      </w:pPr>
      <w:r>
        <w:t xml:space="preserve">8.4 Reducing the Decision Load</w:t>
      </w:r>
    </w:p>
    <w:p>
      <w:pPr>
        <w:pStyle w:val="Heading3"/>
      </w:pPr>
      <w:r>
        <w:t xml:space="preserve">Defaults Over Choices</w:t>
      </w:r>
    </w:p>
    <w:p>
      <w:pPr>
        <w:spacing w:after="120" w:line="300"/>
        <w:jc w:val="both"/>
      </w:pPr>
      <w:r>
        <w:t xml:space="preserve">Every routine question with an organizational default eliminates a decision. Technology radars (Chapter 6) do this: 'what language should I use' has a default, so most projects don't decide. Internal platforms do this: 'how should we deploy' has a default, so most services don't decide. Every default is a decision made once, at the organizational level, instead of hundreds of times, at the project level. The leverage is enormous.</w:t>
      </w:r>
    </w:p>
    <w:p>
      <w:pPr>
        <w:pStyle w:val="Heading3"/>
      </w:pPr>
      <w:r>
        <w:t xml:space="preserve">Delegation</w:t>
      </w:r>
    </w:p>
    <w:p>
      <w:pPr>
        <w:spacing w:after="120" w:line="300"/>
        <w:jc w:val="both"/>
      </w:pPr>
      <w:r>
        <w:t xml:space="preserve">Push decisions to the lowest level where they can be competently made. A team lead does not need to approve every code-level choice; a VP does not need to approve every team-level choice. The senior person's decision budget is better spent on decisions only they can make. As Stanley McChrystal argued in a military context, making decisions faster than your opponent is decisive — and that means pushing authority outward.</w:t>
      </w:r>
    </w:p>
    <w:p>
      <w:pPr>
        <w:pStyle w:val="Heading3"/>
      </w:pPr>
      <w:r>
        <w:t xml:space="preserve">Batching</w:t>
      </w:r>
    </w:p>
    <w:p>
      <w:pPr>
        <w:spacing w:after="120" w:line="300"/>
        <w:jc w:val="both"/>
      </w:pPr>
      <w:r>
        <w:t xml:space="preserve">Group similar decisions and decide them together. Reviewing 10 library choices in one 30-minute session produces better decisions than reviewing each in isolation across a week, because you can compare consistently, use shared criteria, and avoid the setup cost each time.</w:t>
      </w:r>
    </w:p>
    <w:p>
      <w:pPr>
        <w:pStyle w:val="Heading3"/>
      </w:pPr>
      <w:r>
        <w:t xml:space="preserve">Automation and Standards</w:t>
      </w:r>
    </w:p>
    <w:p>
      <w:pPr>
        <w:spacing w:after="120" w:line="300"/>
        <w:jc w:val="both"/>
      </w:pPr>
      <w:r>
        <w:t xml:space="preserve">Turn repeated decisions into code. 'What code style do we use' becomes a linter configuration, applied automatically, no human decision required per PR. 'Which CI pipeline runs on what trigger' becomes a template, applied automatically. Every decision you can turn into a policy encoded in tooling is a decision no one has to make again.</w:t>
      </w:r>
    </w:p>
    <w:p>
      <w:pPr>
        <w:pStyle w:val="Heading3"/>
      </w:pPr>
      <w:r>
        <w:t xml:space="preserve">Declining to Decide</w:t>
      </w:r>
    </w:p>
    <w:p>
      <w:pPr>
        <w:spacing w:after="120" w:line="300"/>
        <w:jc w:val="both"/>
      </w:pPr>
      <w:r>
        <w:t xml:space="preserve">Some decisions you do not have to make. A team can say 'we don't have enough information / this is not our problem / this can wait three months.' Saying no to a decision is a legitimate output of the decision process. Too many decisions persist in an ambiguous, partially-engaged state because no one is willing to declare 'we are not deciding this yet' and free up attention for decisions that matter.</w:t>
      </w:r>
    </w:p>
    <w:p>
      <w:pPr>
        <w:pStyle w:val="Heading2"/>
      </w:pPr>
      <w:r>
        <w:t xml:space="preserve">8.5 A Worked Example: Decision Triage</w:t>
      </w:r>
    </w:p>
    <w:p>
      <w:pPr>
        <w:spacing w:after="120" w:line="300"/>
        <w:jc w:val="both"/>
      </w:pPr>
      <w:r>
        <w:t xml:space="preserve">A team lead returns from a week of vacation to find 18 open decisions in various states. Rather than work through them in order, she does decision triage — a 60-minute exercise applying the frameworks in this guide:</w:t>
      </w:r>
    </w:p>
    <w:p>
      <w:pPr>
        <w:pStyle w:val="ListParagraph"/>
        <w:numPr>
          <w:ilvl w:val="0"/>
          <w:numId w:val="3"/>
        </w:numPr>
        <w:spacing w:after="80" w:line="290"/>
      </w:pPr>
      <w:r>
        <w:t xml:space="preserve">Classify each decision by weight (tiny, small, medium, large) and reversibility.</w:t>
      </w:r>
    </w:p>
    <w:p>
      <w:pPr>
        <w:pStyle w:val="ListParagraph"/>
        <w:numPr>
          <w:ilvl w:val="0"/>
          <w:numId w:val="3"/>
        </w:numPr>
        <w:spacing w:after="80" w:line="290"/>
      </w:pPr>
      <w:r>
        <w:t xml:space="preserve">For each decision, identify its Driver. If no Driver exists, one of three things happens: (a) the team lead assigns one, (b) the decision is deferred, or (c) the decision is declined.</w:t>
      </w:r>
    </w:p>
    <w:p>
      <w:pPr>
        <w:pStyle w:val="ListParagraph"/>
        <w:numPr>
          <w:ilvl w:val="0"/>
          <w:numId w:val="3"/>
        </w:numPr>
        <w:spacing w:after="80" w:line="290"/>
      </w:pPr>
      <w:r>
        <w:t xml:space="preserve">For each decision with a Driver, the Driver proposes a time-box and a DACI. These are published at the end of the hour.</w:t>
      </w:r>
    </w:p>
    <w:p>
      <w:pPr>
        <w:pStyle w:val="ListParagraph"/>
        <w:numPr>
          <w:ilvl w:val="0"/>
          <w:numId w:val="3"/>
        </w:numPr>
        <w:spacing w:after="80" w:line="290"/>
      </w:pPr>
      <w:r>
        <w:t xml:space="preserve">Any decision whose cost of being made wrong is lower than the cost of further deliberation is decided immediately with whatever information is at hand.</w:t>
      </w:r>
    </w:p>
    <w:p>
      <w:pPr>
        <w:spacing w:after="120" w:line="300"/>
        <w:jc w:val="both"/>
      </w:pPr>
      <w:r>
        <w:t xml:space="preserve">Result: 5 decisions are decided on the spot (they were all small two-way doors with reasonable defaults). 3 decisions are declined (not this quarter). 7 decisions get explicit owners, deadlines, and DACIs. 3 decisions are deferred pending a specific piece of information, with a scheduled re-review. The team lead's cognitive load drops dramatically; the team can see, for the first time in weeks, what is actually being decided and what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F8D" w:sz="6"/>
              <w:left w:val="single" w:color="2D5F8D" w:sz="6"/>
              <w:bottom w:val="single" w:color="2D5F8D" w:sz="6"/>
              <w:right w:val="single" w:color="2D5F8D" w:sz="6"/>
            </w:tcBorders>
            <w:shd w:fill="DDE7F0" w:val="clear"/>
            <w:tcMar>
              <w:top w:type="dxa" w:w="160"/>
              <w:left w:type="dxa" w:w="200"/>
              <w:bottom w:type="dxa" w:w="160"/>
              <w:right w:type="dxa" w:w="200"/>
            </w:tcMar>
          </w:tcPr>
          <w:p>
            <w:pPr>
              <w:spacing w:after="80"/>
            </w:pPr>
            <w:r>
              <w:rPr>
                <w:b/>
                <w:bCs/>
                <w:color w:val="2D5F8D"/>
                <w:sz w:val="22"/>
                <w:szCs w:val="22"/>
              </w:rPr>
              <w:t xml:space="preserve">The Deeper Lesson</w:t>
            </w:r>
          </w:p>
          <w:p>
            <w:pPr>
              <w:spacing w:after="120" w:line="300"/>
              <w:jc w:val="both"/>
            </w:pPr>
            <w:r>
              <w:t xml:space="preserve">Good decision-making is not primarily about making each individual decision better. It is about managing the flow of decisions — ensuring that cognitive budget, authority, process, and time are matched to the actual weight of what is being decided, and that closure happens before drift sets in. The frameworks in this guide — ADRs, DACI, matrices, PoCs, two-way doors, radars, build-vs-buy, time-boxing — are not independent techniques. They are a toolkit whose combined purpose is to make a team's decision-making collectively faster, more consistent, and more durable. A leader's skill lies less in mastering any one framework than in choosing the right combination for each situation.</w:t>
            </w:r>
          </w:p>
        </w:tc>
      </w:tr>
    </w:tbl>
    <w:p>
      <w:pPr>
        <w:pStyle w:val="Heading2"/>
      </w:pPr>
      <w:r>
        <w:t xml:space="preserve">8.6 Pitfalls</w:t>
      </w:r>
    </w:p>
    <w:p>
      <w:pPr>
        <w:pStyle w:val="ListParagraph"/>
        <w:numPr>
          <w:ilvl w:val="0"/>
          <w:numId w:val="2"/>
        </w:numPr>
        <w:spacing w:after="80" w:line="290"/>
      </w:pPr>
      <w:r>
        <w:t xml:space="preserve">Deadlines as suggestions. If deadlines are routinely missed without consequence, they stop working. Honor them — or renegotiate them explicitly, not by drift.</w:t>
      </w:r>
    </w:p>
    <w:p>
      <w:pPr>
        <w:pStyle w:val="ListParagraph"/>
        <w:numPr>
          <w:ilvl w:val="0"/>
          <w:numId w:val="2"/>
        </w:numPr>
        <w:spacing w:after="80" w:line="290"/>
      </w:pPr>
      <w:r>
        <w:t xml:space="preserve">Premature closure. Time-boxing is not an excuse to decide without adequate information on truly one-way-door decisions. Match the box size to the decision size.</w:t>
      </w:r>
    </w:p>
    <w:p>
      <w:pPr>
        <w:pStyle w:val="ListParagraph"/>
        <w:numPr>
          <w:ilvl w:val="0"/>
          <w:numId w:val="2"/>
        </w:numPr>
        <w:spacing w:after="80" w:line="290"/>
      </w:pPr>
      <w:r>
        <w:t xml:space="preserve">Underinvesting in defaults. An organization without strong defaults re-decides the same questions endlessly. Investing in defaults has high leverage.</w:t>
      </w:r>
    </w:p>
    <w:p>
      <w:pPr>
        <w:pStyle w:val="ListParagraph"/>
        <w:numPr>
          <w:ilvl w:val="0"/>
          <w:numId w:val="2"/>
        </w:numPr>
        <w:spacing w:after="80" w:line="290"/>
      </w:pPr>
      <w:r>
        <w:t xml:space="preserve">Delegation theater. 'You decide' without also transferring the context and authority is not delegation. True delegation gives the delegatee both the information and the legitimacy to decide.</w:t>
      </w:r>
    </w:p>
    <w:p>
      <w:pPr>
        <w:pStyle w:val="ListParagraph"/>
        <w:numPr>
          <w:ilvl w:val="0"/>
          <w:numId w:val="2"/>
        </w:numPr>
        <w:spacing w:after="80" w:line="290"/>
      </w:pPr>
      <w:r>
        <w:t xml:space="preserve">Decision hoarding. Senior leaders who insist on approving everything themselves become bottlenecks and burn out both themselves and their teams. Trust your people; delegate everything you can.</w:t>
      </w:r>
    </w:p>
    <w:p>
      <w:pPr>
        <w:pStyle w:val="ListParagraph"/>
        <w:numPr>
          <w:ilvl w:val="0"/>
          <w:numId w:val="2"/>
        </w:numPr>
        <w:spacing w:after="80" w:line="290"/>
      </w:pPr>
      <w:r>
        <w:t xml:space="preserve">Every decision a production. Applying full RFC, ADR, DACI, PoC process to routine decisions exhausts the organization. Calibrate.</w:t>
      </w:r>
    </w:p>
    <w:p>
      <w:pPr>
        <w:pStyle w:val="Heading2"/>
      </w:pPr>
      <w:r>
        <w:t xml:space="preserve">8.7 Review Questions</w:t>
      </w:r>
    </w:p>
    <w:p>
      <w:pPr>
        <w:pStyle w:val="ListParagraph"/>
        <w:numPr>
          <w:ilvl w:val="0"/>
          <w:numId w:val="3"/>
        </w:numPr>
        <w:spacing w:after="80" w:line="290"/>
      </w:pPr>
      <w:r>
        <w:t xml:space="preserve">What does 'decision fatigue' mean, and how does it manifest at the organizational level?</w:t>
      </w:r>
    </w:p>
    <w:p>
      <w:pPr>
        <w:pStyle w:val="ListParagraph"/>
        <w:numPr>
          <w:ilvl w:val="0"/>
          <w:numId w:val="3"/>
        </w:numPr>
        <w:spacing w:after="80" w:line="290"/>
      </w:pPr>
      <w:r>
        <w:t xml:space="preserve">You have a medium-weight decision with no assigned Driver, three plausible options, and no deadline. Describe the next three things you would do.</w:t>
      </w:r>
    </w:p>
    <w:p>
      <w:pPr>
        <w:pStyle w:val="ListParagraph"/>
        <w:numPr>
          <w:ilvl w:val="0"/>
          <w:numId w:val="3"/>
        </w:numPr>
        <w:spacing w:after="80" w:line="290"/>
      </w:pPr>
      <w:r>
        <w:t xml:space="preserve">Give an example of a category of decisions in your organization that could be eliminated through defaults or automation. Estimate the savings.</w:t>
      </w:r>
    </w:p>
    <w:p>
      <w:pPr>
        <w:pStyle w:val="ListParagraph"/>
        <w:numPr>
          <w:ilvl w:val="0"/>
          <w:numId w:val="3"/>
        </w:numPr>
        <w:spacing w:after="80" w:line="290"/>
      </w:pPr>
      <w:r>
        <w:t xml:space="preserve">Under what circumstances is 'we are not deciding this yet' the right answer? How would you communicate it?</w:t>
      </w:r>
    </w:p>
    <w:p>
      <w:pPr>
        <w:pStyle w:val="Heading1"/>
        <w:pageBreakBefore/>
      </w:pPr>
      <w:r>
        <w:t xml:space="preserve">Appendix A — Framework Selection Guide</w:t>
      </w:r>
    </w:p>
    <w:p>
      <w:pPr>
        <w:spacing w:after="120" w:line="300"/>
        <w:jc w:val="both"/>
      </w:pPr>
      <w:r>
        <w:t xml:space="preserve">The following table summarizes when to reach for which framework. In practice, most significant decisions use multiple frameworks in combination: an ADR that documents the outcome, DACI that clarifies the roles, a matrix that compares the options, a PoC that validates the top candidate, and a reversibility classification that sets the overall process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2D5F8D" w:val="clear"/>
            <w:tcMar>
              <w:top w:type="dxa" w:w="100"/>
              <w:left w:type="dxa" w:w="140"/>
              <w:bottom w:type="dxa" w:w="100"/>
              <w:right w:type="dxa" w:w="140"/>
            </w:tcMar>
          </w:tcPr>
          <w:p>
            <w:r>
              <w:rPr>
                <w:b/>
                <w:bCs/>
                <w:color w:val="FFFFFF"/>
              </w:rPr>
              <w:t xml:space="preserve">Framework</w:t>
            </w:r>
          </w:p>
        </w:tc>
        <w:tc>
          <w:tcPr>
            <w:tcW w:type="dxa" w:w="6560"/>
            <w:tcBorders>
              <w:top w:val="single" w:color="BFBFBF" w:sz="4"/>
              <w:left w:val="single" w:color="BFBFBF" w:sz="4"/>
              <w:bottom w:val="single" w:color="BFBFBF" w:sz="4"/>
              <w:right w:val="single" w:color="BFBFBF" w:sz="4"/>
            </w:tcBorders>
            <w:shd w:fill="2D5F8D" w:val="clear"/>
            <w:tcMar>
              <w:top w:type="dxa" w:w="100"/>
              <w:left w:type="dxa" w:w="140"/>
              <w:bottom w:type="dxa" w:w="100"/>
              <w:right w:type="dxa" w:w="140"/>
            </w:tcMar>
          </w:tcPr>
          <w:p>
            <w:r>
              <w:rPr>
                <w:b/>
                <w:bCs/>
                <w:color w:val="FFFFFF"/>
              </w:rPr>
              <w:t xml:space="preserve">Use When...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ADR</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The decision is architecturally significant, has tradeoffs, and future readers will need to understand why.</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DACI</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Multiple people are involved, authority is unclear, or you need to avoid committee-by-drift.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Decision Matrix</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Multiple options, multiple criteria, and you want to make tradeoffs explicit rather than intuitive.</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PoC / Spike</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A specific feasibility or performance question cannot be answered from docs or benchmarks.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Two-way door test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Always, at the start of every non-trivial decision, to calibrate process weight.</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Technology Radar</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Organization-level technology strategy; preventing tech sprawl or stagnation.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Build vs. Buy</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line="280"/>
            </w:pPr>
            <w:r>
              <w:t xml:space="preserve">Any significant capability where 'make or purchase' is a genuine choice. Default to buy; justify building.</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Time-boxing</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line="280"/>
            </w:pPr>
            <w:r>
              <w:t xml:space="preserve">Every decision, always. Decisions without deadlines drift.</w:t>
            </w:r>
          </w:p>
        </w:tc>
      </w:tr>
    </w:tbl>
    <w:p>
      <w:pPr>
        <w:spacing w:after="120"/>
      </w:pPr>
      <w:r>
        <w:t xml:space="preserve"/>
      </w:r>
    </w:p>
    <w:p>
      <w:pPr>
        <w:pStyle w:val="Heading1"/>
        <w:pageBreakBefore/>
      </w:pPr>
      <w:r>
        <w:t xml:space="preserve">Appendix B — Quick Reference Checklist</w:t>
      </w:r>
    </w:p>
    <w:p>
      <w:pPr>
        <w:pStyle w:val="Heading2"/>
      </w:pPr>
      <w:r>
        <w:t xml:space="preserve">At the Start of Any Non-Trivial Decision</w:t>
      </w:r>
    </w:p>
    <w:p>
      <w:pPr>
        <w:pStyle w:val="ListParagraph"/>
        <w:numPr>
          <w:ilvl w:val="0"/>
          <w:numId w:val="2"/>
        </w:numPr>
        <w:spacing w:after="80" w:line="290"/>
      </w:pPr>
      <w:r>
        <w:t xml:space="preserve">Is this one-way or two-way? Set process weight accordingly.</w:t>
      </w:r>
    </w:p>
    <w:p>
      <w:pPr>
        <w:pStyle w:val="ListParagraph"/>
        <w:numPr>
          <w:ilvl w:val="0"/>
          <w:numId w:val="2"/>
        </w:numPr>
        <w:spacing w:after="80" w:line="290"/>
      </w:pPr>
      <w:r>
        <w:t xml:space="preserve">Who is the Driver? Who is the Approver? Contributors? Informed?</w:t>
      </w:r>
    </w:p>
    <w:p>
      <w:pPr>
        <w:pStyle w:val="ListParagraph"/>
        <w:numPr>
          <w:ilvl w:val="0"/>
          <w:numId w:val="2"/>
        </w:numPr>
        <w:spacing w:after="80" w:line="290"/>
      </w:pPr>
      <w:r>
        <w:t xml:space="preserve">What is the deadline?</w:t>
      </w:r>
    </w:p>
    <w:p>
      <w:pPr>
        <w:pStyle w:val="ListParagraph"/>
        <w:numPr>
          <w:ilvl w:val="0"/>
          <w:numId w:val="2"/>
        </w:numPr>
        <w:spacing w:after="80" w:line="290"/>
      </w:pPr>
      <w:r>
        <w:t xml:space="preserve">Does this decision deserve an ADR?</w:t>
      </w:r>
    </w:p>
    <w:p>
      <w:pPr>
        <w:pStyle w:val="Heading2"/>
      </w:pPr>
      <w:r>
        <w:t xml:space="preserve">During Deliberation</w:t>
      </w:r>
    </w:p>
    <w:p>
      <w:pPr>
        <w:pStyle w:val="ListParagraph"/>
        <w:numPr>
          <w:ilvl w:val="0"/>
          <w:numId w:val="2"/>
        </w:numPr>
        <w:spacing w:after="80" w:line="290"/>
      </w:pPr>
      <w:r>
        <w:t xml:space="preserve">Are the alternatives enumerated — including 'do nothing'?</w:t>
      </w:r>
    </w:p>
    <w:p>
      <w:pPr>
        <w:pStyle w:val="ListParagraph"/>
        <w:numPr>
          <w:ilvl w:val="0"/>
          <w:numId w:val="2"/>
        </w:numPr>
        <w:spacing w:after="80" w:line="290"/>
      </w:pPr>
      <w:r>
        <w:t xml:space="preserve">Are decision criteria explicit and weighted?</w:t>
      </w:r>
    </w:p>
    <w:p>
      <w:pPr>
        <w:pStyle w:val="ListParagraph"/>
        <w:numPr>
          <w:ilvl w:val="0"/>
          <w:numId w:val="2"/>
        </w:numPr>
        <w:spacing w:after="80" w:line="290"/>
      </w:pPr>
      <w:r>
        <w:t xml:space="preserve">Where are we guessing, and is a PoC justified to replace the guess?</w:t>
      </w:r>
    </w:p>
    <w:p>
      <w:pPr>
        <w:pStyle w:val="ListParagraph"/>
        <w:numPr>
          <w:ilvl w:val="0"/>
          <w:numId w:val="2"/>
        </w:numPr>
        <w:spacing w:after="80" w:line="290"/>
      </w:pPr>
      <w:r>
        <w:t xml:space="preserve">For 'buy' options: what is the 3-5 year TCO, not just the subscription?</w:t>
      </w:r>
    </w:p>
    <w:p>
      <w:pPr>
        <w:pStyle w:val="ListParagraph"/>
        <w:numPr>
          <w:ilvl w:val="0"/>
          <w:numId w:val="2"/>
        </w:numPr>
        <w:spacing w:after="80" w:line="290"/>
      </w:pPr>
      <w:r>
        <w:t xml:space="preserve">For 'build' options: have we applied a realistic cost multiplier to the engineering estimate?</w:t>
      </w:r>
    </w:p>
    <w:p>
      <w:pPr>
        <w:pStyle w:val="Heading2"/>
      </w:pPr>
      <w:r>
        <w:t xml:space="preserve">At the Point of Decision</w:t>
      </w:r>
    </w:p>
    <w:p>
      <w:pPr>
        <w:pStyle w:val="ListParagraph"/>
        <w:numPr>
          <w:ilvl w:val="0"/>
          <w:numId w:val="2"/>
        </w:numPr>
        <w:spacing w:after="80" w:line="290"/>
      </w:pPr>
      <w:r>
        <w:t xml:space="preserve">Is the decision stated concretely — not 'we will consider X' but 'we have chosen X'?</w:t>
      </w:r>
    </w:p>
    <w:p>
      <w:pPr>
        <w:pStyle w:val="ListParagraph"/>
        <w:numPr>
          <w:ilvl w:val="0"/>
          <w:numId w:val="2"/>
        </w:numPr>
        <w:spacing w:after="80" w:line="290"/>
      </w:pPr>
      <w:r>
        <w:t xml:space="preserve">Are consequences — both positive and negative — explicitly named?</w:t>
      </w:r>
    </w:p>
    <w:p>
      <w:pPr>
        <w:pStyle w:val="ListParagraph"/>
        <w:numPr>
          <w:ilvl w:val="0"/>
          <w:numId w:val="2"/>
        </w:numPr>
        <w:spacing w:after="80" w:line="290"/>
      </w:pPr>
      <w:r>
        <w:t xml:space="preserve">Is the decision documented in writing, in a findable place?</w:t>
      </w:r>
    </w:p>
    <w:p>
      <w:pPr>
        <w:pStyle w:val="ListParagraph"/>
        <w:numPr>
          <w:ilvl w:val="0"/>
          <w:numId w:val="2"/>
        </w:numPr>
        <w:spacing w:after="80" w:line="290"/>
      </w:pPr>
      <w:r>
        <w:t xml:space="preserve">Have the Informed stakeholders been notified?</w:t>
      </w:r>
    </w:p>
    <w:p>
      <w:pPr>
        <w:pStyle w:val="Heading2"/>
      </w:pPr>
      <w:r>
        <w:t xml:space="preserve">After the Decision</w:t>
      </w:r>
    </w:p>
    <w:p>
      <w:pPr>
        <w:pStyle w:val="ListParagraph"/>
        <w:numPr>
          <w:ilvl w:val="0"/>
          <w:numId w:val="2"/>
        </w:numPr>
        <w:spacing w:after="80" w:line="290"/>
      </w:pPr>
      <w:r>
        <w:t xml:space="preserve">Are action items (implementation, migration, communication) assigned with owners and dates?</w:t>
      </w:r>
    </w:p>
    <w:p>
      <w:pPr>
        <w:pStyle w:val="ListParagraph"/>
        <w:numPr>
          <w:ilvl w:val="0"/>
          <w:numId w:val="2"/>
        </w:numPr>
        <w:spacing w:after="80" w:line="290"/>
      </w:pPr>
      <w:r>
        <w:t xml:space="preserve">Is there a review trigger — a date or event at which we'll re-examine?</w:t>
      </w:r>
    </w:p>
    <w:p>
      <w:pPr>
        <w:pStyle w:val="ListParagraph"/>
        <w:numPr>
          <w:ilvl w:val="0"/>
          <w:numId w:val="2"/>
        </w:numPr>
        <w:spacing w:after="80" w:line="290"/>
      </w:pPr>
      <w:r>
        <w:t xml:space="preserve">Has the radar, if applicable, been updated to reflect the decision?</w:t>
      </w:r>
    </w:p>
    <w:p>
      <w:pPr>
        <w:pStyle w:val="ListParagraph"/>
        <w:numPr>
          <w:ilvl w:val="0"/>
          <w:numId w:val="2"/>
        </w:numPr>
        <w:spacing w:after="80" w:line="290"/>
      </w:pPr>
      <w:r>
        <w:t xml:space="preserve">Have we resisted re-opening the decision without new information?</w:t>
      </w:r>
    </w:p>
    <w:p>
      <w:pPr>
        <w:spacing w:after="200" w:before="600"/>
        <w:jc w:val="center"/>
      </w:pPr>
      <w:r>
        <w:rPr>
          <w:color w:val="2D5F8D"/>
        </w:rPr>
        <w:t xml:space="preserve">━━━━━━━━━━━━━━━━━━━━━━━━━━━━━━</w:t>
      </w:r>
    </w:p>
    <w:p>
      <w:pPr>
        <w:spacing w:after="200"/>
        <w:jc w:val="center"/>
      </w:pPr>
      <w:r>
        <w:rPr>
          <w:i/>
          <w:iCs/>
          <w:color w:val="595959"/>
          <w:sz w:val="24"/>
          <w:szCs w:val="24"/>
        </w:rPr>
        <w:t xml:space="preserve">End of Study Guide</w:t>
      </w:r>
    </w:p>
    <w:p>
      <w:pPr>
        <w:jc w:val="center"/>
      </w:pPr>
      <w:r>
        <w:rPr>
          <w:color w:val="2D5F8D"/>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color w:val="595959"/>
        <w:sz w:val="18"/>
        <w:szCs w:val="18"/>
      </w:rPr>
      <w:t xml:space="preserve">Study Guide</w:t>
    </w:r>
    <w:r>
      <w:rPr>
        <w:color w:val="595959"/>
        <w:sz w:val="18"/>
        <w:szCs w:val="18"/>
      </w:rPr>
      <w:t xml:space="preserve">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5F8D" w:sz="6" w:space="4"/>
      </w:pBdr>
      <w:jc w:val="right"/>
    </w:pPr>
    <w:r>
      <w:rPr>
        <w:i/>
        <w:iCs/>
        <w:color w:val="595959"/>
        <w:sz w:val="18"/>
        <w:szCs w:val="18"/>
      </w:rPr>
      <w:t xml:space="preserve">Decision Frameworks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2D5F8D"/>
      <w:sz w:val="44"/>
      <w:szCs w:val="44"/>
    </w:rPr>
  </w:style>
  <w:style w:type="paragraph" w:styleId="Heading2">
    <w:name w:val="Heading 2"/>
    <w:basedOn w:val="Normal"/>
    <w:next w:val="Normal"/>
    <w:qFormat/>
    <w:pPr>
      <w:spacing w:after="160" w:before="280"/>
      <w:outlineLvl w:val="1"/>
    </w:pPr>
    <w:rPr>
      <w:rFonts w:ascii="Calibri" w:cs="Calibri" w:eastAsia="Calibri" w:hAnsi="Calibri"/>
      <w:b/>
      <w:bCs/>
      <w:color w:val="2D5F8D"/>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Frameworks — Comprehensive Study Guide</dc:title>
  <dc:creator>Study Guide Author</dc:creator>
  <cp:lastModifiedBy>Un-named</cp:lastModifiedBy>
  <cp:revision>1</cp:revision>
  <dcterms:created xsi:type="dcterms:W3CDTF">2026-04-23T13:17:35.287Z</dcterms:created>
  <dcterms:modified xsi:type="dcterms:W3CDTF">2026-04-23T13:17:35.288Z</dcterms:modified>
</cp:coreProperties>
</file>

<file path=docProps/custom.xml><?xml version="1.0" encoding="utf-8"?>
<Properties xmlns="http://schemas.openxmlformats.org/officeDocument/2006/custom-properties" xmlns:vt="http://schemas.openxmlformats.org/officeDocument/2006/docPropsVTypes"/>
</file>