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80"/>
        <w:jc w:val="center"/>
      </w:pPr>
      <w:r>
        <w:rPr>
          <w:rFonts w:ascii="Arial" w:cs="Arial" w:eastAsia="Arial" w:hAnsi="Arial"/>
          <w:b/>
          <w:bCs/>
          <w:color w:val="0D1B2A"/>
          <w:sz w:val="64"/>
          <w:szCs w:val="64"/>
        </w:rPr>
        <w:t xml:space="preserve">DATABASE PER SERVICE</w:t>
      </w:r>
    </w:p>
    <w:p>
      <w:pPr>
        <w:spacing w:after="180"/>
        <w:jc w:val="center"/>
      </w:pPr>
      <w:r>
        <w:rPr>
          <w:rFonts w:ascii="Arial" w:cs="Arial" w:eastAsia="Arial" w:hAnsi="Arial"/>
          <w:color w:val="1A3A5C"/>
          <w:sz w:val="28"/>
          <w:szCs w:val="28"/>
        </w:rPr>
        <w:t xml:space="preserve">The Foundational Data Ownership Pattern in Microservices</w:t>
      </w:r>
    </w:p>
    <w:p>
      <w:pPr>
        <w:spacing w:after="120"/>
        <w:jc w:val="center"/>
      </w:pPr>
      <w:r>
        <w:rPr>
          <w:rFonts w:ascii="Arial" w:cs="Arial" w:eastAsia="Arial" w:hAnsi="Arial"/>
          <w:b/>
          <w:bCs/>
          <w:color w:val="0D1B2A"/>
          <w:sz w:val="40"/>
          <w:szCs w:val="40"/>
        </w:rPr>
        <w:t xml:space="preserve">Module 2: Implementation Strategies</w:t>
      </w:r>
    </w:p>
    <w:p>
      <w:pPr>
        <w:spacing w:after="360"/>
        <w:jc w:val="center"/>
      </w:pPr>
      <w:r>
        <w:rPr>
          <w:rFonts w:ascii="Arial" w:cs="Arial" w:eastAsia="Arial" w:hAnsi="Arial"/>
          <w:color w:val="666666"/>
          <w:sz w:val="28"/>
          <w:szCs w:val="28"/>
        </w:rPr>
        <w:t xml:space="preserve">Complete In-Depth Study Guide</w:t>
      </w:r>
    </w:p>
    <w:p>
      <w:pPr>
        <w:pBdr>
          <w:bottom w:val="single" w:color="1A3A5C" w:sz="12"/>
        </w:pBdr>
        <w:spacing w:after="280"/>
      </w:pPr>
    </w:p>
    <w:p>
      <w:pPr>
        <w:spacing w:after="70"/>
        <w:jc w:val="center"/>
      </w:pPr>
      <w:r>
        <w:rPr>
          <w:rFonts w:ascii="Arial" w:cs="Arial" w:eastAsia="Arial" w:hAnsi="Arial"/>
          <w:b/>
          <w:bCs/>
          <w:color w:val="0D1B2A"/>
          <w:sz w:val="22"/>
          <w:szCs w:val="22"/>
        </w:rPr>
        <w:t xml:space="preserve">1. </w:t>
      </w:r>
      <w:r>
        <w:rPr>
          <w:rFonts w:ascii="Arial" w:cs="Arial" w:eastAsia="Arial" w:hAnsi="Arial"/>
          <w:color w:val="555555"/>
          <w:sz w:val="22"/>
          <w:szCs w:val="22"/>
        </w:rPr>
        <w:t xml:space="preserve">Introduction — Three Strategies, One Principle</w:t>
      </w:r>
    </w:p>
    <w:p>
      <w:pPr>
        <w:spacing w:after="70"/>
        <w:jc w:val="center"/>
      </w:pPr>
      <w:r>
        <w:rPr>
          <w:rFonts w:ascii="Arial" w:cs="Arial" w:eastAsia="Arial" w:hAnsi="Arial"/>
          <w:b/>
          <w:bCs/>
          <w:color w:val="1565C0"/>
          <w:sz w:val="22"/>
          <w:szCs w:val="22"/>
        </w:rPr>
        <w:t xml:space="preserve">2. </w:t>
      </w:r>
      <w:r>
        <w:rPr>
          <w:rFonts w:ascii="Arial" w:cs="Arial" w:eastAsia="Arial" w:hAnsi="Arial"/>
          <w:color w:val="555555"/>
          <w:sz w:val="22"/>
          <w:szCs w:val="22"/>
        </w:rPr>
        <w:t xml:space="preserve">Strategy 1: Private Database per Service</w:t>
      </w:r>
    </w:p>
    <w:p>
      <w:pPr>
        <w:spacing w:after="70"/>
        <w:jc w:val="center"/>
      </w:pPr>
      <w:r>
        <w:rPr>
          <w:rFonts w:ascii="Arial" w:cs="Arial" w:eastAsia="Arial" w:hAnsi="Arial"/>
          <w:b/>
          <w:bCs/>
          <w:color w:val="2E7D32"/>
          <w:sz w:val="22"/>
          <w:szCs w:val="22"/>
        </w:rPr>
        <w:t xml:space="preserve">3. </w:t>
      </w:r>
      <w:r>
        <w:rPr>
          <w:rFonts w:ascii="Arial" w:cs="Arial" w:eastAsia="Arial" w:hAnsi="Arial"/>
          <w:color w:val="555555"/>
          <w:sz w:val="22"/>
          <w:szCs w:val="22"/>
        </w:rPr>
        <w:t xml:space="preserve">Strategy 2: Schema per Service</w:t>
      </w:r>
    </w:p>
    <w:p>
      <w:pPr>
        <w:spacing w:after="70"/>
        <w:jc w:val="center"/>
      </w:pPr>
      <w:r>
        <w:rPr>
          <w:rFonts w:ascii="Arial" w:cs="Arial" w:eastAsia="Arial" w:hAnsi="Arial"/>
          <w:b/>
          <w:bCs/>
          <w:color w:val="E65100"/>
          <w:sz w:val="22"/>
          <w:szCs w:val="22"/>
        </w:rPr>
        <w:t xml:space="preserve">4. </w:t>
      </w:r>
      <w:r>
        <w:rPr>
          <w:rFonts w:ascii="Arial" w:cs="Arial" w:eastAsia="Arial" w:hAnsi="Arial"/>
          <w:color w:val="555555"/>
          <w:sz w:val="22"/>
          <w:szCs w:val="22"/>
        </w:rPr>
        <w:t xml:space="preserve">Strategy 3: Table per Service</w:t>
      </w:r>
    </w:p>
    <w:p>
      <w:pPr>
        <w:spacing w:after="70"/>
        <w:jc w:val="center"/>
      </w:pPr>
      <w:r>
        <w:rPr>
          <w:rFonts w:ascii="Arial" w:cs="Arial" w:eastAsia="Arial" w:hAnsi="Arial"/>
          <w:b/>
          <w:bCs/>
          <w:color w:val="0D1B2A"/>
          <w:sz w:val="22"/>
          <w:szCs w:val="22"/>
        </w:rPr>
        <w:t xml:space="preserve">5. </w:t>
      </w:r>
      <w:r>
        <w:rPr>
          <w:rFonts w:ascii="Arial" w:cs="Arial" w:eastAsia="Arial" w:hAnsi="Arial"/>
          <w:color w:val="555555"/>
          <w:sz w:val="22"/>
          <w:szCs w:val="22"/>
        </w:rPr>
        <w:t xml:space="preserve">Side-by-Side Comparison — Full Feature Matrix</w:t>
      </w:r>
    </w:p>
    <w:p>
      <w:pPr>
        <w:spacing w:after="70"/>
        <w:jc w:val="center"/>
      </w:pPr>
      <w:r>
        <w:rPr>
          <w:rFonts w:ascii="Arial" w:cs="Arial" w:eastAsia="Arial" w:hAnsi="Arial"/>
          <w:b/>
          <w:bCs/>
          <w:color w:val="0D1B2A"/>
          <w:sz w:val="22"/>
          <w:szCs w:val="22"/>
        </w:rPr>
        <w:t xml:space="preserve">6. </w:t>
      </w:r>
      <w:r>
        <w:rPr>
          <w:rFonts w:ascii="Arial" w:cs="Arial" w:eastAsia="Arial" w:hAnsi="Arial"/>
          <w:color w:val="555555"/>
          <w:sz w:val="22"/>
          <w:szCs w:val="22"/>
        </w:rPr>
        <w:t xml:space="preserve">Choosing the Right Strategy</w:t>
      </w:r>
    </w:p>
    <w:p>
      <w:pPr>
        <w:spacing w:after="70"/>
        <w:jc w:val="center"/>
      </w:pPr>
      <w:r>
        <w:rPr>
          <w:rFonts w:ascii="Arial" w:cs="Arial" w:eastAsia="Arial" w:hAnsi="Arial"/>
          <w:b/>
          <w:bCs/>
          <w:color w:val="0D1B2A"/>
          <w:sz w:val="22"/>
          <w:szCs w:val="22"/>
        </w:rPr>
        <w:t xml:space="preserve">7. </w:t>
      </w:r>
      <w:r>
        <w:rPr>
          <w:rFonts w:ascii="Arial" w:cs="Arial" w:eastAsia="Arial" w:hAnsi="Arial"/>
          <w:color w:val="555555"/>
          <w:sz w:val="22"/>
          <w:szCs w:val="22"/>
        </w:rPr>
        <w:t xml:space="preserve">Enforcing the Boundary — Technical Controls</w:t>
      </w:r>
    </w:p>
    <w:p>
      <w:pPr>
        <w:spacing w:after="70"/>
        <w:jc w:val="center"/>
      </w:pPr>
      <w:r>
        <w:rPr>
          <w:rFonts w:ascii="Arial" w:cs="Arial" w:eastAsia="Arial" w:hAnsi="Arial"/>
          <w:b/>
          <w:bCs/>
          <w:color w:val="4A148C"/>
          <w:sz w:val="22"/>
          <w:szCs w:val="22"/>
        </w:rPr>
        <w:t xml:space="preserve">8. </w:t>
      </w:r>
      <w:r>
        <w:rPr>
          <w:rFonts w:ascii="Arial" w:cs="Arial" w:eastAsia="Arial" w:hAnsi="Arial"/>
          <w:color w:val="555555"/>
          <w:sz w:val="22"/>
          <w:szCs w:val="22"/>
        </w:rPr>
        <w:t xml:space="preserve">Migration Path — From Monolith to Database per Service</w:t>
      </w:r>
    </w:p>
    <w:p>
      <w:pPr>
        <w:spacing w:after="70"/>
        <w:jc w:val="center"/>
      </w:pPr>
      <w:r>
        <w:rPr>
          <w:rFonts w:ascii="Arial" w:cs="Arial" w:eastAsia="Arial" w:hAnsi="Arial"/>
          <w:b/>
          <w:bCs/>
          <w:color w:val="0D1B2A"/>
          <w:sz w:val="22"/>
          <w:szCs w:val="22"/>
        </w:rPr>
        <w:t xml:space="preserve">9. </w:t>
      </w:r>
      <w:r>
        <w:rPr>
          <w:rFonts w:ascii="Arial" w:cs="Arial" w:eastAsia="Arial" w:hAnsi="Arial"/>
          <w:color w:val="555555"/>
          <w:sz w:val="22"/>
          <w:szCs w:val="22"/>
        </w:rPr>
        <w:t xml:space="preserve">Study Review &amp; Practice Questions</w:t>
      </w:r>
    </w:p>
    <w:p>
      <w:pPr>
        <w:spacing w:after="70"/>
        <w:jc w:val="center"/>
      </w:pPr>
      <w:r>
        <w:rPr>
          <w:rFonts w:ascii="Arial" w:cs="Arial" w:eastAsia="Arial" w:hAnsi="Arial"/>
          <w:b/>
          <w:bCs/>
          <w:color w:val="0D1B2A"/>
          <w:sz w:val="22"/>
          <w:szCs w:val="22"/>
        </w:rPr>
        <w:t xml:space="preserve">10. </w:t>
      </w:r>
      <w:r>
        <w:rPr>
          <w:rFonts w:ascii="Arial" w:cs="Arial" w:eastAsia="Arial" w:hAnsi="Arial"/>
          <w:color w:val="555555"/>
          <w:sz w:val="22"/>
          <w:szCs w:val="22"/>
        </w:rPr>
        <w:t xml:space="preserve">Glossary</w:t>
      </w:r>
    </w:p>
    <w:p>
      <w:r>
        <w:br w:type="page"/>
      </w:r>
    </w:p>
    <w:p>
      <w:pPr>
        <w:pStyle w:val="Heading1"/>
        <w:spacing w:after="120" w:before="360"/>
      </w:pPr>
      <w:r>
        <w:rPr>
          <w:rFonts w:ascii="Arial" w:cs="Arial" w:eastAsia="Arial" w:hAnsi="Arial"/>
          <w:b/>
          <w:bCs/>
          <w:color w:val="0D1B2A"/>
          <w:sz w:val="40"/>
          <w:szCs w:val="40"/>
        </w:rPr>
        <w:t xml:space="preserve">Table of Contents</w:t>
      </w:r>
    </w:p>
    <w:sdt>
      <w:sdtPr>
        <w:alias w:val="TOC"/>
      </w:sdtPr>
      <w:sdtContent>
        <w:p>
          <w:r>
            <w:fldChar w:fldCharType="begin" w:dirty="true"/>
            <w:instrText xml:space="preserve">TOC \h \o "1-4"</w:instrText>
            <w:fldChar w:fldCharType="separate"/>
          </w:r>
        </w:p>
        <w:p>
          <w:r>
            <w:fldChar w:fldCharType="end"/>
          </w:r>
        </w:p>
      </w:sdtContent>
    </w:sdt>
    <w:p>
      <w:r>
        <w:br w:type="page"/>
      </w:r>
    </w:p>
    <w:p>
      <w:pPr>
        <w:pStyle w:val="Heading1"/>
        <w:spacing w:after="120" w:before="360"/>
      </w:pPr>
      <w:r>
        <w:rPr>
          <w:rFonts w:ascii="Arial" w:cs="Arial" w:eastAsia="Arial" w:hAnsi="Arial"/>
          <w:b/>
          <w:bCs/>
          <w:color w:val="0D1B2A"/>
          <w:sz w:val="40"/>
          <w:szCs w:val="40"/>
        </w:rPr>
        <w:t xml:space="preserve">1. Introduction — Three Strategies, One Principle</w:t>
      </w:r>
    </w:p>
    <w:p>
      <w:pPr>
        <w:pBdr>
          <w:bottom w:val="single" w:color="1A3A5C" w:sz="8" w:space="1"/>
        </w:pBdr>
        <w:spacing w:after="160"/>
      </w:pPr>
    </w:p>
    <w:p>
      <w:pPr>
        <w:spacing w:after="160"/>
      </w:pPr>
      <w:r>
        <w:rPr>
          <w:rFonts w:ascii="Arial" w:cs="Arial" w:eastAsia="Arial" w:hAnsi="Arial"/>
          <w:b w:val="false"/>
          <w:bCs w:val="false"/>
          <w:color w:val="333333"/>
          <w:sz w:val="22"/>
          <w:szCs w:val="22"/>
        </w:rPr>
        <w:t xml:space="preserve">Module 1 established the principle: each service owns its data, and no other service accesses it directly. Module 2 examines the three ways this principle is implemented in practice — three strategies that vary in isolation strength, cost, and operational complexity. All three can technically implement database-per-service, but they offer different trade-offs that make each appropriate for different contexts.</w:t>
      </w:r>
    </w:p>
    <w:p>
      <w:pPr>
        <w:spacing w:after="160"/>
      </w:pPr>
      <w:r>
        <w:rPr>
          <w:rFonts w:ascii="Arial" w:cs="Arial" w:eastAsia="Arial" w:hAnsi="Arial"/>
          <w:b w:val="false"/>
          <w:bCs w:val="false"/>
          <w:color w:val="333333"/>
          <w:sz w:val="22"/>
          <w:szCs w:val="22"/>
        </w:rPr>
        <w:t xml:space="preserve">The three strategies sit on a spectrum from strongest isolation (highest cost, highest independence) to weakest isolation (lowest cost, greatest discipline required). Understanding this spectrum — and the specific risks and trade-offs at each point — enables teams to make deliberate implementation decisions rather than defaulting to whatever is cheapest or most familiar.</w:t>
      </w:r>
    </w:p>
    <w:p>
      <w:pPr>
        <w:pStyle w:val="Heading2"/>
        <w:spacing w:after="100" w:before="280"/>
      </w:pPr>
      <w:r>
        <w:rPr>
          <w:rFonts w:ascii="Arial" w:cs="Arial" w:eastAsia="Arial" w:hAnsi="Arial"/>
          <w:b/>
          <w:bCs/>
          <w:color w:val="1A3A5C"/>
          <w:sz w:val="28"/>
          <w:szCs w:val="28"/>
        </w:rPr>
        <w:t xml:space="preserve">1.1 The Three Strategies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560"/>
        <w:gridCol w:w="2200"/>
        <w:gridCol w:w="1800"/>
      </w:tblGrid>
      <w:tr>
        <w:trPr>
          <w:tblHeader/>
        </w:trPr>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Strategy</w:t>
            </w:r>
          </w:p>
        </w:tc>
        <w:tc>
          <w:tcPr>
            <w:tcW w:type="dxa" w:w="25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What It Means</w:t>
            </w:r>
          </w:p>
        </w:tc>
        <w:tc>
          <w:tcPr>
            <w:tcW w:type="dxa" w:w="2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Cost</w:t>
            </w:r>
          </w:p>
        </w:tc>
        <w:tc>
          <w:tcPr>
            <w:tcW w:type="dxa" w:w="1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Isolation Strength</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Each service has its own database server/instance</w:t>
            </w:r>
          </w:p>
        </w:tc>
        <w:tc>
          <w:tcPr>
            <w:tcW w:type="dxa" w:w="2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Complete isolation at every level</w:t>
            </w:r>
          </w:p>
        </w:tc>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Highest — separate instances, backups, licenses</w:t>
            </w:r>
          </w:p>
        </w:tc>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Highest — no shared blast radius</w:t>
            </w:r>
          </w:p>
        </w:tc>
      </w:tr>
      <w:t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Services share a DB server; each has its own named schema</w:t>
            </w:r>
          </w:p>
        </w:tc>
        <w:tc>
          <w:tcPr>
            <w:tcW w:type="dxa" w:w="2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Logical isolation enforced by DB permissions</w:t>
            </w:r>
          </w:p>
        </w:tc>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Medium — one server, separate schemas</w:t>
            </w:r>
          </w:p>
        </w:tc>
        <w:tc>
          <w:tcPr>
            <w:tcW w:type="dxa" w:w="1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Medium — shared CPU/memory, isolated data</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Services share a schema; each has dedicated tables</w:t>
            </w:r>
          </w:p>
        </w:tc>
        <w:tc>
          <w:tcPr>
            <w:tcW w:type="dxa" w:w="2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 infrastructure isolation — discipline only</w:t>
            </w:r>
          </w:p>
        </w:tc>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Lowest — one server, one schema</w:t>
            </w:r>
          </w:p>
        </w:tc>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Lowest — easily broken by JOINs</w:t>
            </w:r>
          </w:p>
        </w:tc>
      </w:tr>
    </w:tbl>
    <w:p>
      <w:pPr>
        <w:spacing w:after="0" w:before="80"/>
      </w:pPr>
      <w:r>
        <w:t xml:space="preserve"/>
      </w:r>
    </w:p>
    <w:p>
      <w:pPr>
        <w:pStyle w:val="Heading2"/>
        <w:spacing w:after="100" w:before="280"/>
      </w:pPr>
      <w:r>
        <w:rPr>
          <w:rFonts w:ascii="Arial" w:cs="Arial" w:eastAsia="Arial" w:hAnsi="Arial"/>
          <w:b/>
          <w:bCs/>
          <w:color w:val="1A3A5C"/>
          <w:sz w:val="28"/>
          <w:szCs w:val="28"/>
        </w:rPr>
        <w:t xml:space="preserve">1.2 The Isolation Spectrum — A Visual Overview</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Isolation Spectrum:</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STRONGEST                                              WEAKEST</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Strategy 1          Strategy 2          Strategy 3</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Private DB          Schema per Svc      Table per Svc</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per Service</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DB_A     │        │  DB Server     │  │  DB Server + Schema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(Svc A   │        │  ┌──────────┐  │  │  ┌───────────────┐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only)   │        │  │schema_A  │  │  │  │ svc_a_orders  │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  └──────────┘  │  │  │ svc_b_payments│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  ┌──────────┐  │  │  │ svc_c_users   │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DB_B     │        │  │schema_B  │  │  │  └───────────────┘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(Svc B   │        │  └──────────┘  │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only)   │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Different servers   Same server,        Same server,</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Different engines   separate schemas    same schema</w:t>
      </w:r>
    </w:p>
    <w:p>
      <w:pPr>
        <w:pBdr>
          <w:left w:val="single" w:color="1A3A5C" w:sz="14"/>
        </w:pBdr>
        <w:shd w:fill="F5F5F5" w:val="clear"/>
        <w:spacing w:after="160"/>
        <w:ind w:left="360"/>
      </w:pPr>
      <w:r>
        <w:rPr>
          <w:rFonts w:ascii="Courier New" w:cs="Courier New" w:eastAsia="Courier New" w:hAnsi="Courier New"/>
          <w:color w:val="1A1A1A"/>
          <w:sz w:val="18"/>
          <w:szCs w:val="18"/>
        </w:rPr>
        <w:t xml:space="preserve">  possible            Permission-enforced No enforcement</w:t>
      </w:r>
    </w:p>
    <w:p>
      <w:r>
        <w:br w:type="page"/>
      </w:r>
    </w:p>
    <w:p>
      <w:r>
        <w:br w:type="page"/>
      </w:r>
    </w:p>
    <w:p>
      <w:pPr>
        <w:pStyle w:val="Heading1"/>
        <w:shd w:fill="1565C0" w:val="clear"/>
        <w:spacing w:after="60" w:before="300"/>
        <w:ind w:left="240" w:right="240"/>
      </w:pPr>
      <w:r>
        <w:rPr>
          <w:rFonts w:ascii="Arial" w:cs="Arial" w:eastAsia="Arial" w:hAnsi="Arial"/>
          <w:b w:val="false"/>
          <w:bCs w:val="false"/>
          <w:color w:val="FFFFFF"/>
          <w:sz w:val="36"/>
          <w:szCs w:val="36"/>
        </w:rPr>
        <w:t xml:space="preserve">Strategy 1: </w:t>
      </w:r>
      <w:r>
        <w:rPr>
          <w:rFonts w:ascii="Arial" w:cs="Arial" w:eastAsia="Arial" w:hAnsi="Arial"/>
          <w:b/>
          <w:bCs/>
          <w:color w:val="FFFFFF"/>
          <w:sz w:val="44"/>
          <w:szCs w:val="44"/>
        </w:rPr>
        <w:t xml:space="preserve">Private Database per Service</w:t>
      </w:r>
    </w:p>
    <w:p>
      <w:pPr>
        <w:shd w:fill="E3F2FD" w:val="clear"/>
        <w:spacing w:after="200"/>
        <w:ind w:left="240" w:right="240"/>
      </w:pPr>
      <w:r>
        <w:rPr>
          <w:rFonts w:ascii="Arial" w:cs="Arial" w:eastAsia="Arial" w:hAnsi="Arial"/>
          <w:color w:val="1565C0"/>
          <w:sz w:val="24"/>
          <w:szCs w:val="24"/>
        </w:rPr>
        <w:t xml:space="preserve">Isolation Level: Maximum — Complete Infrastructure Isolation</w:t>
      </w:r>
    </w:p>
    <w:p>
      <w:pPr>
        <w:pBdr>
          <w:bottom w:val="single" w:color="1565C0" w:sz="8" w:space="1"/>
        </w:pBdr>
        <w:spacing w:after="160"/>
      </w:pPr>
    </w:p>
    <w:p>
      <w:pPr>
        <w:pStyle w:val="Heading2"/>
        <w:spacing w:after="100" w:before="280"/>
      </w:pPr>
      <w:r>
        <w:rPr>
          <w:rFonts w:ascii="Arial" w:cs="Arial" w:eastAsia="Arial" w:hAnsi="Arial"/>
          <w:b/>
          <w:bCs/>
          <w:color w:val="1565C0"/>
          <w:sz w:val="28"/>
          <w:szCs w:val="28"/>
        </w:rPr>
        <w:t xml:space="preserve">2.1 What It Means</w:t>
      </w:r>
    </w:p>
    <w:p>
      <w:pPr>
        <w:spacing w:after="160"/>
      </w:pPr>
      <w:r>
        <w:rPr>
          <w:rFonts w:ascii="Arial" w:cs="Arial" w:eastAsia="Arial" w:hAnsi="Arial"/>
          <w:b w:val="false"/>
          <w:bCs w:val="false"/>
          <w:color w:val="333333"/>
          <w:sz w:val="22"/>
          <w:szCs w:val="22"/>
        </w:rPr>
        <w:t xml:space="preserve">In this strategy, each service has its own dedicated database instance — a completely separate database server (or managed cloud database). Service A's data lives on a PostgreSQL instance that only Service A's code connects to. Service B might have its own PostgreSQL instance, or a MongoDB instance, or a Redis cluster — entirely separate infrastructure. There is no shared database server.</w:t>
      </w:r>
    </w:p>
    <w:p>
      <w:pPr>
        <w:spacing w:after="160"/>
      </w:pPr>
      <w:r>
        <w:rPr>
          <w:rFonts w:ascii="Arial" w:cs="Arial" w:eastAsia="Arial" w:hAnsi="Arial"/>
          <w:b w:val="false"/>
          <w:bCs w:val="false"/>
          <w:color w:val="333333"/>
          <w:sz w:val="22"/>
          <w:szCs w:val="22"/>
        </w:rPr>
        <w:t xml:space="preserve">This is the 'gold standard' implementation of database-per-service and what most architects mean when they say the pattern without qualification. It provides true infrastructure isolation: a failure in Service B's database cannot cause connection exhaustion on Service A's database, a runaway query in Service B cannot starve Service A's CPU, and Service A can be entirely removed from the system without any database infrastructure changes affecting other services.</w:t>
      </w:r>
    </w:p>
    <w:p>
      <w:pPr>
        <w:pStyle w:val="Heading2"/>
        <w:spacing w:after="100" w:before="280"/>
      </w:pPr>
      <w:r>
        <w:rPr>
          <w:rFonts w:ascii="Arial" w:cs="Arial" w:eastAsia="Arial" w:hAnsi="Arial"/>
          <w:b/>
          <w:bCs/>
          <w:color w:val="1565C0"/>
          <w:sz w:val="28"/>
          <w:szCs w:val="28"/>
        </w:rPr>
        <w:t xml:space="preserve">2.2 Architecture Diagram</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Private Database per Service Architecture: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ORDER SERVICE  │    │ PAYMENT SERVICE │    │INVENTORY SERVICE│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(Kubernetes)   │    │  (Kubernetes)   │    │  (Kubernetes)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owns                 │ owns                 │ owns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orders_db     │   │  payments_db     │   │  inventory_db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PostgreSQL    │   │  PostgreSQL      │   │  PostgreSQL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t3.medium RDS │   │  t3.large  RDS   │   │  t3.small  RDS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  (more powerful  │   │  (can scale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Reads: high   │   │  for financial   │   │  independently)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Writes: medium│   │  transactions)   │   │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Each DB instance:                OR (polyglot):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Separate credentials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Separate backups               │  search_db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Separate monitoring            │  Elasticsearch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Separate scaling               │  (Search Svc)  │</w:t>
      </w:r>
    </w:p>
    <w:p>
      <w:pPr>
        <w:pBdr>
          <w:left w:val="single" w:color="1565C0" w:sz="14"/>
        </w:pBdr>
        <w:shd w:fill="F5F5F5" w:val="clear"/>
        <w:spacing w:after="160"/>
        <w:ind w:left="360"/>
      </w:pPr>
      <w:r>
        <w:rPr>
          <w:rFonts w:ascii="Courier New" w:cs="Courier New" w:eastAsia="Courier New" w:hAnsi="Courier New"/>
          <w:color w:val="1A1A1A"/>
          <w:sz w:val="18"/>
          <w:szCs w:val="18"/>
        </w:rPr>
        <w:t xml:space="preserve">  - Can be different technologies  └────────────────┘</w:t>
      </w:r>
    </w:p>
    <w:p>
      <w:pPr>
        <w:pStyle w:val="Heading2"/>
        <w:spacing w:after="100" w:before="280"/>
      </w:pPr>
      <w:r>
        <w:rPr>
          <w:rFonts w:ascii="Arial" w:cs="Arial" w:eastAsia="Arial" w:hAnsi="Arial"/>
          <w:b/>
          <w:bCs/>
          <w:color w:val="1565C0"/>
          <w:sz w:val="28"/>
          <w:szCs w:val="28"/>
        </w:rPr>
        <w:t xml:space="preserve">2.3 Advantages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Advantage</w:t>
            </w:r>
          </w:p>
        </w:tc>
        <w:tc>
          <w:tcPr>
            <w:tcW w:type="dxa" w:w="3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Detail</w:t>
            </w:r>
          </w:p>
        </w:tc>
        <w:tc>
          <w:tcPr>
            <w:tcW w:type="dxa" w:w="37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Real-World Impact</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Complete infrastructure isolation</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 crash, OOM kill, or connection exhaustion in DB_B cannot affect DB_A</w:t>
            </w:r>
          </w:p>
        </w:tc>
        <w:tc>
          <w:tcPr>
            <w:tcW w:type="dxa" w:w="3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Service A remains fully available when Service B's database fails</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Independent scaling</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Scale DB_A vertically (larger instance) or horizontally (read replicas) without touching DB_B</w:t>
            </w:r>
          </w:p>
        </w:tc>
        <w:tc>
          <w:tcPr>
            <w:tcW w:type="dxa" w:w="3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Payment DB scaled to t3.xlarge for holiday load; Catalog DB unchanged</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Technology freedom (polyglot)</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Each service chooses the database technology that fits its data model and access patterns</w:t>
            </w:r>
          </w:p>
        </w:tc>
        <w:tc>
          <w:tcPr>
            <w:tcW w:type="dxa" w:w="3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Catalog: MongoDB; Orders: PostgreSQL; Sessions: Redis; Search: Elasticsearch</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Independent backup and recovery</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Each DB has its own backup schedule, retention policy, and point-in-time recovery</w:t>
            </w:r>
          </w:p>
        </w:tc>
        <w:tc>
          <w:tcPr>
            <w:tcW w:type="dxa" w:w="3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Payment DB: hourly snapshots, 90-day retention (PCI); Catalog DB: daily, 30-day</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Independent security and compliance</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Payment DB can have PCI-DSS controls without applying them to all databases</w:t>
            </w:r>
          </w:p>
        </w:tc>
        <w:tc>
          <w:tcPr>
            <w:tcW w:type="dxa" w:w="3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Encryption at rest for financial data; different audit logging requirements per DB</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Clean blast radius</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 database breach exposes only one service's data</w:t>
            </w:r>
          </w:p>
        </w:tc>
        <w:tc>
          <w:tcPr>
            <w:tcW w:type="dxa" w:w="3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Compromised Catalog DB does not expose payment card data</w:t>
            </w:r>
          </w:p>
        </w:tc>
      </w:tr>
    </w:tbl>
    <w:p>
      <w:pPr>
        <w:spacing w:after="0" w:before="80"/>
      </w:pPr>
      <w:r>
        <w:t xml:space="preserve"/>
      </w:r>
    </w:p>
    <w:p>
      <w:pPr>
        <w:pStyle w:val="Heading2"/>
        <w:spacing w:after="100" w:before="280"/>
      </w:pPr>
      <w:r>
        <w:rPr>
          <w:rFonts w:ascii="Arial" w:cs="Arial" w:eastAsia="Arial" w:hAnsi="Arial"/>
          <w:b/>
          <w:bCs/>
          <w:color w:val="1565C0"/>
          <w:sz w:val="28"/>
          <w:szCs w:val="28"/>
        </w:rPr>
        <w:t xml:space="preserve">2.4 Disadvantages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Disadvantage</w:t>
            </w:r>
          </w:p>
        </w:tc>
        <w:tc>
          <w:tcPr>
            <w:tcW w:type="dxa" w:w="30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Detail</w:t>
            </w:r>
          </w:p>
        </w:tc>
        <w:tc>
          <w:tcPr>
            <w:tcW w:type="dxa" w:w="39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Mitigation</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Highest infrastructure cost</w:t>
            </w:r>
          </w:p>
        </w:tc>
        <w:tc>
          <w:tcPr>
            <w:tcW w:type="dxa" w:w="3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Each service pays: DB instance cost + backup storage + monitoring + DBA operational overhead</w:t>
            </w:r>
          </w:p>
        </w:tc>
        <w:tc>
          <w:tcPr>
            <w:tcW w:type="dxa" w:w="39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Managed cloud services (RDS, Cloud SQL) reduce DBA overhead; start small, scale per service</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Many connection pools to manage</w:t>
            </w:r>
          </w:p>
        </w:tc>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Each service maintains its own connection pool; N services = N pools</w:t>
            </w:r>
          </w:p>
        </w:tc>
        <w:tc>
          <w:tcPr>
            <w:tcW w:type="dxa" w:w="3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Service mesh or sidecar proxy can manage connection pooling centrally</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Network complexity</w:t>
            </w:r>
          </w:p>
        </w:tc>
        <w:tc>
          <w:tcPr>
            <w:tcW w:type="dxa" w:w="3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Each service needs connectivity to its own DB instance; more security group / network policy rules</w:t>
            </w:r>
          </w:p>
        </w:tc>
        <w:tc>
          <w:tcPr>
            <w:tcW w:type="dxa" w:w="39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Infrastructure-as-code (Terraform) manages rules systematically</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Cross-service queries impossible</w:t>
            </w:r>
          </w:p>
        </w:tc>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Cannot JOIN across service databases (by design — but some teams find this surprising)</w:t>
            </w:r>
          </w:p>
        </w:tc>
        <w:tc>
          <w:tcPr>
            <w:tcW w:type="dxa" w:w="3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Design around the limitation: API composition, event-driven data sync, denormalise for read</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Operational overhead per DB</w:t>
            </w:r>
          </w:p>
        </w:tc>
        <w:tc>
          <w:tcPr>
            <w:tcW w:type="dxa" w:w="3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Patching, upgrades, monitoring, alerting must be managed per instance</w:t>
            </w:r>
          </w:p>
        </w:tc>
        <w:tc>
          <w:tcPr>
            <w:tcW w:type="dxa" w:w="39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Managed services + centralised observability (Prometheus, Grafana) reduce per-instance burden</w:t>
            </w:r>
          </w:p>
        </w:tc>
      </w:tr>
    </w:tbl>
    <w:p>
      <w:pPr>
        <w:spacing w:after="0" w:before="80"/>
      </w:pPr>
      <w:r>
        <w:t xml:space="preserve"/>
      </w:r>
    </w:p>
    <w:p>
      <w:pPr>
        <w:pBdr>
          <w:top w:val="single" w:color="1B5E20" w:sz="2"/>
          <w:bottom w:val="single" w:color="1B5E20" w:sz="2"/>
          <w:left w:val="single" w:color="1B5E20" w:sz="20"/>
          <w:right w:val="single" w:color="1B5E20" w:sz="2"/>
        </w:pBdr>
        <w:shd w:fill="E8F5E9" w:val="clear"/>
        <w:spacing w:after="160"/>
        <w:ind w:left="360" w:right="360"/>
      </w:pPr>
      <w:r>
        <w:rPr>
          <w:rFonts w:ascii="Arial" w:cs="Arial" w:eastAsia="Arial" w:hAnsi="Arial"/>
          <w:b/>
          <w:bCs/>
          <w:color w:val="1B5E20"/>
          <w:sz w:val="22"/>
          <w:szCs w:val="22"/>
        </w:rPr>
        <w:t xml:space="preserve">ADVANTAGE  </w:t>
      </w:r>
      <w:r>
        <w:rPr>
          <w:rFonts w:ascii="Arial" w:cs="Arial" w:eastAsia="Arial" w:hAnsi="Arial"/>
          <w:color w:val="333333"/>
          <w:sz w:val="22"/>
          <w:szCs w:val="22"/>
        </w:rPr>
        <w:t xml:space="preserve">Private DB per Service is the target architecture for mature microservices. It provides the strongest possible isolation — matching the principle of a service being fully independent. The cost is real but manageable with modern managed database services. Teams should aim for this as the end-state even if they start with a cheaper strategy.</w:t>
      </w:r>
    </w:p>
    <w:p>
      <w:r>
        <w:br w:type="page"/>
      </w:r>
    </w:p>
    <w:p>
      <w:r>
        <w:br w:type="page"/>
      </w:r>
    </w:p>
    <w:p>
      <w:pPr>
        <w:pStyle w:val="Heading1"/>
        <w:shd w:fill="2E7D32" w:val="clear"/>
        <w:spacing w:after="60" w:before="300"/>
        <w:ind w:left="240" w:right="240"/>
      </w:pPr>
      <w:r>
        <w:rPr>
          <w:rFonts w:ascii="Arial" w:cs="Arial" w:eastAsia="Arial" w:hAnsi="Arial"/>
          <w:b w:val="false"/>
          <w:bCs w:val="false"/>
          <w:color w:val="FFFFFF"/>
          <w:sz w:val="36"/>
          <w:szCs w:val="36"/>
        </w:rPr>
        <w:t xml:space="preserve">Strategy 2: </w:t>
      </w:r>
      <w:r>
        <w:rPr>
          <w:rFonts w:ascii="Arial" w:cs="Arial" w:eastAsia="Arial" w:hAnsi="Arial"/>
          <w:b/>
          <w:bCs/>
          <w:color w:val="FFFFFF"/>
          <w:sz w:val="44"/>
          <w:szCs w:val="44"/>
        </w:rPr>
        <w:t xml:space="preserve">Schema per Service</w:t>
      </w:r>
    </w:p>
    <w:p>
      <w:pPr>
        <w:shd w:fill="E8F5E9" w:val="clear"/>
        <w:spacing w:after="200"/>
        <w:ind w:left="240" w:right="240"/>
      </w:pPr>
      <w:r>
        <w:rPr>
          <w:rFonts w:ascii="Arial" w:cs="Arial" w:eastAsia="Arial" w:hAnsi="Arial"/>
          <w:color w:val="2E7D32"/>
          <w:sz w:val="24"/>
          <w:szCs w:val="24"/>
        </w:rPr>
        <w:t xml:space="preserve">Isolation Level: Medium — Logical Isolation with Shared Infrastructure</w:t>
      </w:r>
    </w:p>
    <w:p>
      <w:pPr>
        <w:pBdr>
          <w:bottom w:val="single" w:color="2E7D32" w:sz="8" w:space="1"/>
        </w:pBdr>
        <w:spacing w:after="160"/>
      </w:pPr>
    </w:p>
    <w:p>
      <w:pPr>
        <w:pStyle w:val="Heading2"/>
        <w:spacing w:after="100" w:before="280"/>
      </w:pPr>
      <w:r>
        <w:rPr>
          <w:rFonts w:ascii="Arial" w:cs="Arial" w:eastAsia="Arial" w:hAnsi="Arial"/>
          <w:b/>
          <w:bCs/>
          <w:color w:val="2E7D32"/>
          <w:sz w:val="28"/>
          <w:szCs w:val="28"/>
        </w:rPr>
        <w:t xml:space="preserve">3.1 What It Means</w:t>
      </w:r>
    </w:p>
    <w:p>
      <w:pPr>
        <w:spacing w:after="160"/>
      </w:pPr>
      <w:r>
        <w:rPr>
          <w:rFonts w:ascii="Arial" w:cs="Arial" w:eastAsia="Arial" w:hAnsi="Arial"/>
          <w:b w:val="false"/>
          <w:bCs w:val="false"/>
          <w:color w:val="333333"/>
          <w:sz w:val="22"/>
          <w:szCs w:val="22"/>
        </w:rPr>
        <w:t xml:space="preserve">In this strategy, all services share a single database server but each service has its own named schema within that server. A schema is a namespace within the database: tables, views, functions, and sequences can be created in a named schema, and database permissions can be granted or revoked at the schema level.</w:t>
      </w:r>
    </w:p>
    <w:p>
      <w:pPr>
        <w:spacing w:after="160"/>
      </w:pPr>
      <w:r>
        <w:rPr>
          <w:rFonts w:ascii="Arial" w:cs="Arial" w:eastAsia="Arial" w:hAnsi="Arial"/>
          <w:b w:val="false"/>
          <w:bCs w:val="false"/>
          <w:color w:val="333333"/>
          <w:sz w:val="22"/>
          <w:szCs w:val="22"/>
        </w:rPr>
        <w:t xml:space="preserve">The isolation is logical rather than physical: Service A's tables live in the 'order_svc' schema and Service B's tables live in the 'payment_svc' schema. Database permissions ensure that Service A's user can only connect to 'order_svc' and Service B's user can only connect to 'payment_svc'. The data is isolated by permissions, not by infrastructure.</w:t>
      </w:r>
    </w:p>
    <w:p>
      <w:pPr>
        <w:pStyle w:val="Heading2"/>
        <w:spacing w:after="100" w:before="280"/>
      </w:pPr>
      <w:r>
        <w:rPr>
          <w:rFonts w:ascii="Arial" w:cs="Arial" w:eastAsia="Arial" w:hAnsi="Arial"/>
          <w:b/>
          <w:bCs/>
          <w:color w:val="2E7D32"/>
          <w:sz w:val="28"/>
          <w:szCs w:val="28"/>
        </w:rPr>
        <w:t xml:space="preserve">3.2 Architecture Diagram</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Schema per Service Architecture:</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    ┌─────────────────┐</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ORDER SERVICE  │    │ PAYMENT SERVICE │    │INVENTORY SERVICE│</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user: ord_app  │    │  user: pay_app  │    │  user: inv_app  │</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    └────────┬────────┘</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                      │                      │</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 all connect to same DB server</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         SHARED DATABASE SERVER              │</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         PostgreSQL (single instance)        │</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                                             │</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  ┌──────────────────┐                      │</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  │  schema: ord_svc │  ← ord_app user:     │</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  │  orders          │    CONNECT only here  │</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  │  order_items     │                      │</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  └──────────────────┘                      │</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  ┌──────────────────┐                      │</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  │  schema: pay_svc │  ← pay_app user:     │</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  │  payments        │    CONNECT only here  │</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  │  refunds         │                      │</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  └──────────────────┘                      │</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  ┌──────────────────┐                      │</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  │  schema: inv_svc │  ← inv_app user:     │</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  │  inventory       │    CONNECT only here  │</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  │  reservations    │                      │</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  └──────────────────┘                      │</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One DB server, three isolated logical namespaces.</w:t>
      </w:r>
    </w:p>
    <w:p>
      <w:pPr>
        <w:pBdr>
          <w:left w:val="single" w:color="2E7D32" w:sz="14"/>
        </w:pBdr>
        <w:shd w:fill="F5F5F5" w:val="clear"/>
        <w:spacing w:after="160"/>
        <w:ind w:left="360"/>
      </w:pPr>
      <w:r>
        <w:rPr>
          <w:rFonts w:ascii="Courier New" w:cs="Courier New" w:eastAsia="Courier New" w:hAnsi="Courier New"/>
          <w:color w:val="1A1A1A"/>
          <w:sz w:val="18"/>
          <w:szCs w:val="18"/>
        </w:rPr>
        <w:t xml:space="preserve">  Permissions enforce the boundary.</w:t>
      </w:r>
    </w:p>
    <w:p>
      <w:pPr>
        <w:pStyle w:val="Heading2"/>
        <w:spacing w:after="100" w:before="280"/>
      </w:pPr>
      <w:r>
        <w:rPr>
          <w:rFonts w:ascii="Arial" w:cs="Arial" w:eastAsia="Arial" w:hAnsi="Arial"/>
          <w:b/>
          <w:bCs/>
          <w:color w:val="2E7D32"/>
          <w:sz w:val="28"/>
          <w:szCs w:val="28"/>
        </w:rPr>
        <w:t xml:space="preserve">3.3 Setting Up Schema Isolation — PostgreSQL Example</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Create schemas (namespaces) for each service</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CREATE SCHEMA ord_svc;</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CREATE SCHEMA pay_svc;</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CREATE SCHEMA inv_svc;</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Create dedicated database users for each service</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CREATE USER ord_app WITH PASSWORD 'secure-password-orders';</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CREATE USER pay_app WITH PASSWORD 'secure-password-payments';</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CREATE USER inv_app WITH PASSWORD 'secure-password-inventory';</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Grant each user full access to ONLY their own schema</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GRANT ALL PRIVILEGES ON SCHEMA ord_svc TO ord_app;</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GRANT ALL PRIVILEGES ON ALL TABLES IN SCHEMA ord_svc TO ord_app;</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ALTER DEFAULT PRIVILEGES IN SCHEMA ord_svc</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GRANT ALL ON TABLES TO ord_app;</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GRANT ALL PRIVILEGES ON SCHEMA pay_svc TO pay_app;</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GRANT ALL PRIVILEGES ON ALL TABLES IN SCHEMA pay_svc TO pay_app;</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ALTER DEFAULT PRIVILEGES IN SCHEMA pay_svc</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GRANT ALL ON TABLES TO pay_app;</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REVOKE public schema access (default in PostgreSQL — important!)</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REVOKE ALL ON SCHEMA public FROM PUBLIC;</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REVOKE ALL ON SCHEMA ord_svc FROM PUBLIC;</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REVOKE ALL ON SCHEMA pay_svc FROM PUBLIC;</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Test isolation:</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CONNECT AS ord_app:</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SELECT * FROM pay_svc.payments;  -- ERROR: permission denied</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SELECT * FROM ord_svc.orders;    -- OK</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Set default search path so service code doesn't need schema prefix:</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ALTER USER ord_app SET search_path TO ord_svc;</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ALTER USER pay_app SET search_path TO pay_svc;</w:t>
      </w:r>
    </w:p>
    <w:p>
      <w:pPr>
        <w:pBdr>
          <w:left w:val="single" w:color="2E7D32" w:sz="14"/>
        </w:pBdr>
        <w:shd w:fill="F5F5F5" w:val="clear"/>
        <w:spacing w:after="160"/>
        <w:ind w:left="360"/>
      </w:pPr>
      <w:r>
        <w:rPr>
          <w:rFonts w:ascii="Courier New" w:cs="Courier New" w:eastAsia="Courier New" w:hAnsi="Courier New"/>
          <w:color w:val="1A1A1A"/>
          <w:sz w:val="18"/>
          <w:szCs w:val="18"/>
        </w:rPr>
        <w:t xml:space="preserve">-- Now: SELECT * FROM orders  (resolved as ord_svc.orders by ord_app user)</w:t>
      </w:r>
    </w:p>
    <w:p>
      <w:pPr>
        <w:pStyle w:val="Heading2"/>
        <w:spacing w:after="100" w:before="280"/>
      </w:pPr>
      <w:r>
        <w:rPr>
          <w:rFonts w:ascii="Arial" w:cs="Arial" w:eastAsia="Arial" w:hAnsi="Arial"/>
          <w:b/>
          <w:bCs/>
          <w:color w:val="2E7D32"/>
          <w:sz w:val="28"/>
          <w:szCs w:val="28"/>
        </w:rPr>
        <w:t xml:space="preserve">3.4 Advantages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Advantage</w:t>
            </w:r>
          </w:p>
        </w:tc>
        <w:tc>
          <w:tcPr>
            <w:tcW w:type="dxa" w:w="65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Detail</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Lower infrastructure cost</w:t>
            </w:r>
          </w:p>
        </w:tc>
        <w:tc>
          <w:tcPr>
            <w:tcW w:type="dxa" w:w="6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One database server instead of N. Single license, single instance, single backup, single monitoring setup.</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Simpler operations</w:t>
            </w:r>
          </w:p>
        </w:tc>
        <w:tc>
          <w:tcPr>
            <w:tcW w:type="dxa" w:w="6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One database server to patch, upgrade, monitor, and back up — regardless of service count.</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Logical isolation enforced by DB permissions</w:t>
            </w:r>
          </w:p>
        </w:tc>
        <w:tc>
          <w:tcPr>
            <w:tcW w:type="dxa" w:w="6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Service A's user literally cannot query Service B's tables — database engine rejects the query.</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Easier to adopt in existing systems</w:t>
            </w:r>
          </w:p>
        </w:tc>
        <w:tc>
          <w:tcPr>
            <w:tcW w:type="dxa" w:w="6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Adding a new schema to an existing database is low friction compared to provisioning a new database instance.</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Shared connection infrastructure</w:t>
            </w:r>
          </w:p>
        </w:tc>
        <w:tc>
          <w:tcPr>
            <w:tcW w:type="dxa" w:w="6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One PgBouncer / connection pooler serves all services — simpler than one per service.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Migration stepping stone</w:t>
            </w:r>
          </w:p>
        </w:tc>
        <w:tc>
          <w:tcPr>
            <w:tcW w:type="dxa" w:w="6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 clear path from shared database (everything in 'public') to schema-per-service to eventually private DB per service.</w:t>
            </w:r>
          </w:p>
        </w:tc>
      </w:tr>
    </w:tbl>
    <w:p>
      <w:pPr>
        <w:spacing w:after="0" w:before="80"/>
      </w:pPr>
      <w:r>
        <w:t xml:space="preserve"/>
      </w:r>
    </w:p>
    <w:p>
      <w:pPr>
        <w:pStyle w:val="Heading2"/>
        <w:spacing w:after="100" w:before="280"/>
      </w:pPr>
      <w:r>
        <w:rPr>
          <w:rFonts w:ascii="Arial" w:cs="Arial" w:eastAsia="Arial" w:hAnsi="Arial"/>
          <w:b/>
          <w:bCs/>
          <w:color w:val="2E7D32"/>
          <w:sz w:val="28"/>
          <w:szCs w:val="28"/>
        </w:rPr>
        <w:t xml:space="preserve">3.5 Disadvantages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2560"/>
      </w:tblGrid>
      <w:tr>
        <w:trPr>
          <w:tblHeader/>
        </w:trPr>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Disadvantage</w:t>
            </w:r>
          </w:p>
        </w:tc>
        <w:tc>
          <w:tcPr>
            <w:tcW w:type="dxa" w:w="3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Detail</w:t>
            </w:r>
          </w:p>
        </w:tc>
        <w:tc>
          <w:tcPr>
            <w:tcW w:type="dxa" w:w="25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Risk Level</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Shared CPU and memory</w:t>
            </w:r>
          </w:p>
        </w:tc>
        <w:tc>
          <w:tcPr>
            <w:tcW w:type="dxa" w:w="3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 heavy query in Service B's schema can consume all CPU, slowing Service A's queries</w:t>
            </w:r>
          </w:p>
        </w:tc>
        <w:tc>
          <w:tcPr>
            <w:tcW w:type="dxa" w:w="2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High — competing workloads on the same server</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Shared connection limits</w:t>
            </w:r>
          </w:p>
        </w:tc>
        <w:tc>
          <w:tcPr>
            <w:tcW w:type="dxa" w:w="3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Database server has a maximum connection count. Service A and B compete for the same pool.</w:t>
            </w:r>
          </w:p>
        </w:tc>
        <w:tc>
          <w:tcPr>
            <w:tcW w:type="dxa" w:w="2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Medium — mitigated by PgBouncer connection pooling</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Shared storage I/O</w:t>
            </w:r>
          </w:p>
        </w:tc>
        <w:tc>
          <w:tcPr>
            <w:tcW w:type="dxa" w:w="3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Disk I/O contention between services if on the same storage device</w:t>
            </w:r>
          </w:p>
        </w:tc>
        <w:tc>
          <w:tcPr>
            <w:tcW w:type="dxa" w:w="2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Medium — mitigated by SSD, separate storage volumes</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 technology freedom</w:t>
            </w:r>
          </w:p>
        </w:tc>
        <w:tc>
          <w:tcPr>
            <w:tcW w:type="dxa" w:w="3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All services must use the same database engine (PostgreSQL, MySQL, etc.)</w:t>
            </w:r>
          </w:p>
        </w:tc>
        <w:tc>
          <w:tcPr>
            <w:tcW w:type="dxa" w:w="2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High for polyglot use cases</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Shared failure blast radius</w:t>
            </w:r>
          </w:p>
        </w:tc>
        <w:tc>
          <w:tcPr>
            <w:tcW w:type="dxa" w:w="3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Database server failure brings down all services, not just one</w:t>
            </w:r>
          </w:p>
        </w:tc>
        <w:tc>
          <w:tcPr>
            <w:tcW w:type="dxa" w:w="2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High — single point of failure for all data</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Permissions are bypassable by DBAs</w:t>
            </w:r>
          </w:p>
        </w:tc>
        <w:tc>
          <w:tcPr>
            <w:tcW w:type="dxa" w:w="3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 DBA with SUPERUSER privileges can query any schema — permissions stop apps, not admins</w:t>
            </w:r>
          </w:p>
        </w:tc>
        <w:tc>
          <w:tcPr>
            <w:tcW w:type="dxa" w:w="2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Low — mitigated by DBA access controls and audit logging</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Cross-schema JOINs are possible (and tempting)</w:t>
            </w:r>
          </w:p>
        </w:tc>
        <w:tc>
          <w:tcPr>
            <w:tcW w:type="dxa" w:w="3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 developer with access to both schemas can JOIN across them — boundary requires discipline</w:t>
            </w:r>
          </w:p>
        </w:tc>
        <w:tc>
          <w:tcPr>
            <w:tcW w:type="dxa" w:w="2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Medium — the most common violation in this strategy</w:t>
            </w:r>
          </w:p>
        </w:tc>
      </w:tr>
    </w:tbl>
    <w:p>
      <w:pPr>
        <w:spacing w:after="0" w:before="80"/>
      </w:pPr>
      <w:r>
        <w:t xml:space="preserve"/>
      </w:r>
    </w:p>
    <w:p>
      <w:pPr>
        <w:pStyle w:val="Heading2"/>
        <w:spacing w:after="100" w:before="280"/>
      </w:pPr>
      <w:r>
        <w:rPr>
          <w:rFonts w:ascii="Arial" w:cs="Arial" w:eastAsia="Arial" w:hAnsi="Arial"/>
          <w:b/>
          <w:bCs/>
          <w:color w:val="2E7D32"/>
          <w:sz w:val="28"/>
          <w:szCs w:val="28"/>
        </w:rPr>
        <w:t xml:space="preserve">3.6 The Cross-Schema JOIN Temptation — The Critical Failure Mode</w:t>
      </w:r>
    </w:p>
    <w:p>
      <w:pPr>
        <w:spacing w:after="160"/>
      </w:pPr>
      <w:r>
        <w:rPr>
          <w:rFonts w:ascii="Arial" w:cs="Arial" w:eastAsia="Arial" w:hAnsi="Arial"/>
          <w:b w:val="false"/>
          <w:bCs w:val="false"/>
          <w:color w:val="333333"/>
          <w:sz w:val="22"/>
          <w:szCs w:val="22"/>
        </w:rPr>
        <w:t xml:space="preserve">The most common violation in schema-per-service is a developer deciding to write a cross-schema JOIN. It works at the database level (if the query runs as a superuser or DBA), it is fast (no network call), and it solves an immediate problem. But it creates the same coupling as sharing a table — the query now depends on both schemas' structures.</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THE TEMPTATION: cross-schema JOIN (violation):</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A DBA or developer with elevated privileges writes:</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SELECT o.id, o.total, p.status AS payment_status</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FROM ord_svc.orders o</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JOIN pay_svc.payments p ON p.order_id = o.id</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WHERE o.user_id = 1234;</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This query:</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-- 1. Couples ord_svc.orders schema to pay_svc.payments schema</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-- 2. Means payment_status cannot be renamed without updating this query</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-- 3. Means orders cannot be moved to a separate DB without rewriting</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-- 4. Creates an undocumented, invisible dependency between services</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WHY IT HAPPENS: reporting dashboards, analytics queries, debugging</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DETECTION: pg_stat_statements with cross-schema query analysis</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audit log monitoring for cross-schema access</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CORRECT APPROACH: API composition in application code</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Application code (not a single DB query):</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const order  = await orderService.getOrder(orderId);</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const payment = await paymentService.getPaymentByOrderId(orderId);</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Compose the result in application layer</w:t>
      </w:r>
    </w:p>
    <w:p>
      <w:pPr>
        <w:pBdr>
          <w:left w:val="single" w:color="2E7D32" w:sz="14"/>
        </w:pBdr>
        <w:shd w:fill="F5F5F5" w:val="clear"/>
        <w:spacing w:after="160"/>
        <w:ind w:left="360"/>
      </w:pPr>
      <w:r>
        <w:rPr>
          <w:rFonts w:ascii="Courier New" w:cs="Courier New" w:eastAsia="Courier New" w:hAnsi="Courier New"/>
          <w:color w:val="1A1A1A"/>
          <w:sz w:val="18"/>
          <w:szCs w:val="18"/>
        </w:rPr>
        <w:t xml:space="preserve">const result = { ...order, paymentStatus: payment.status };</w:t>
      </w:r>
    </w:p>
    <w:p>
      <w:pPr>
        <w:pBdr>
          <w:top w:val="single" w:color="F57F17" w:sz="2"/>
          <w:bottom w:val="single" w:color="F57F17" w:sz="2"/>
          <w:left w:val="single" w:color="F57F17" w:sz="20"/>
          <w:right w:val="single" w:color="F57F17" w:sz="2"/>
        </w:pBdr>
        <w:shd w:fill="FFF8E1" w:val="clear"/>
        <w:spacing w:after="160"/>
        <w:ind w:left="360" w:right="360"/>
      </w:pPr>
      <w:r>
        <w:rPr>
          <w:rFonts w:ascii="Arial" w:cs="Arial" w:eastAsia="Arial" w:hAnsi="Arial"/>
          <w:b/>
          <w:bCs/>
          <w:color w:val="F57F17"/>
          <w:sz w:val="22"/>
          <w:szCs w:val="22"/>
        </w:rPr>
        <w:t xml:space="preserve">WARNING  </w:t>
      </w:r>
      <w:r>
        <w:rPr>
          <w:rFonts w:ascii="Arial" w:cs="Arial" w:eastAsia="Arial" w:hAnsi="Arial"/>
          <w:color w:val="333333"/>
          <w:sz w:val="22"/>
          <w:szCs w:val="22"/>
        </w:rPr>
        <w:t xml:space="preserve">Schema-per-service provides permission-enforced isolation for application code but cannot prevent cross-schema queries run by DBAs, analytics tools, or developers with elevated privileges. Establish a policy: no cross-schema queries, ever, for any reason. Log all cross-schema access attempts. Treat violations as architecture debt requiring remediation.</w:t>
      </w:r>
    </w:p>
    <w:p>
      <w:r>
        <w:br w:type="page"/>
      </w:r>
    </w:p>
    <w:p>
      <w:r>
        <w:br w:type="page"/>
      </w:r>
    </w:p>
    <w:p>
      <w:pPr>
        <w:pStyle w:val="Heading1"/>
        <w:shd w:fill="E65100" w:val="clear"/>
        <w:spacing w:after="60" w:before="300"/>
        <w:ind w:left="240" w:right="240"/>
      </w:pPr>
      <w:r>
        <w:rPr>
          <w:rFonts w:ascii="Arial" w:cs="Arial" w:eastAsia="Arial" w:hAnsi="Arial"/>
          <w:b w:val="false"/>
          <w:bCs w:val="false"/>
          <w:color w:val="FFFFFF"/>
          <w:sz w:val="36"/>
          <w:szCs w:val="36"/>
        </w:rPr>
        <w:t xml:space="preserve">Strategy 3: </w:t>
      </w:r>
      <w:r>
        <w:rPr>
          <w:rFonts w:ascii="Arial" w:cs="Arial" w:eastAsia="Arial" w:hAnsi="Arial"/>
          <w:b/>
          <w:bCs/>
          <w:color w:val="FFFFFF"/>
          <w:sz w:val="44"/>
          <w:szCs w:val="44"/>
        </w:rPr>
        <w:t xml:space="preserve">Table per Service</w:t>
      </w:r>
    </w:p>
    <w:p>
      <w:pPr>
        <w:shd w:fill="FBE9E7" w:val="clear"/>
        <w:spacing w:after="200"/>
        <w:ind w:left="240" w:right="240"/>
      </w:pPr>
      <w:r>
        <w:rPr>
          <w:rFonts w:ascii="Arial" w:cs="Arial" w:eastAsia="Arial" w:hAnsi="Arial"/>
          <w:color w:val="E65100"/>
          <w:sz w:val="24"/>
          <w:szCs w:val="24"/>
        </w:rPr>
        <w:t xml:space="preserve">Isolation Level: Weak — Naming Convention Only, No Technical Enforcement</w:t>
      </w:r>
    </w:p>
    <w:p>
      <w:pPr>
        <w:pBdr>
          <w:bottom w:val="single" w:color="E65100" w:sz="8" w:space="1"/>
        </w:pBdr>
        <w:spacing w:after="160"/>
      </w:pPr>
    </w:p>
    <w:p>
      <w:pPr>
        <w:pStyle w:val="Heading2"/>
        <w:spacing w:after="100" w:before="280"/>
      </w:pPr>
      <w:r>
        <w:rPr>
          <w:rFonts w:ascii="Arial" w:cs="Arial" w:eastAsia="Arial" w:hAnsi="Arial"/>
          <w:b/>
          <w:bCs/>
          <w:color w:val="E65100"/>
          <w:sz w:val="28"/>
          <w:szCs w:val="28"/>
        </w:rPr>
        <w:t xml:space="preserve">4.1 What It Means</w:t>
      </w:r>
    </w:p>
    <w:p>
      <w:pPr>
        <w:spacing w:after="160"/>
      </w:pPr>
      <w:r>
        <w:rPr>
          <w:rFonts w:ascii="Arial" w:cs="Arial" w:eastAsia="Arial" w:hAnsi="Arial"/>
          <w:b w:val="false"/>
          <w:bCs w:val="false"/>
          <w:color w:val="333333"/>
          <w:sz w:val="22"/>
          <w:szCs w:val="22"/>
        </w:rPr>
        <w:t xml:space="preserve">In this strategy, all services share a single database server AND a single schema. Service ownership is indicated only by a naming convention: each service's tables are prefixed with the service name (e.g., order_svc_orders, payment_svc_payments). There is no technical enforcement of boundaries — any service user with access to the schema can query any table.</w:t>
      </w:r>
    </w:p>
    <w:p>
      <w:pPr>
        <w:spacing w:after="160"/>
      </w:pPr>
      <w:r>
        <w:rPr>
          <w:rFonts w:ascii="Arial" w:cs="Arial" w:eastAsia="Arial" w:hAnsi="Arial"/>
          <w:b w:val="false"/>
          <w:bCs w:val="false"/>
          <w:color w:val="333333"/>
          <w:sz w:val="22"/>
          <w:szCs w:val="22"/>
        </w:rPr>
        <w:t xml:space="preserve">This strategy provides the weakest isolation of the three. It is not a true implementation of database-per-service in the full sense — it is a convention, not an enforced boundary. It is almost exclusively appropriate as a temporary stepping stone during migration from a monolith.</w:t>
      </w:r>
    </w:p>
    <w:p>
      <w:pPr>
        <w:pStyle w:val="Heading2"/>
        <w:spacing w:after="100" w:before="280"/>
      </w:pPr>
      <w:r>
        <w:rPr>
          <w:rFonts w:ascii="Arial" w:cs="Arial" w:eastAsia="Arial" w:hAnsi="Arial"/>
          <w:b/>
          <w:bCs/>
          <w:color w:val="E65100"/>
          <w:sz w:val="28"/>
          <w:szCs w:val="28"/>
        </w:rPr>
        <w:t xml:space="preserve">4.2 Architecture Diagram</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Table per Service Architecture:</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    ┌─────────────────┐</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ORDER SERVICE  │    │ PAYMENT SERVICE │    │INVENTORY SERVICE│</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user: app_user │    │  user: app_user │    │  user: app_user │</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    └────────┬────────┘</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                      │                      │</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  SHARED DB + SHARED SCHEMA │</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  database: ecommerce_db    │</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  schema:   public           │</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                             │</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  order_svc_orders           │</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  order_svc_items            │</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  payment_svc_payments       │</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  payment_svc_refunds        │</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  inventory_svc_stock        │</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  inventory_svc_reservations │</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All three services: same DB server, same schema, same user.</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'Isolation' = naming convention only.</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Any service can JOIN any table at any time.</w:t>
      </w:r>
    </w:p>
    <w:p>
      <w:pPr>
        <w:pBdr>
          <w:left w:val="single" w:color="E65100" w:sz="14"/>
        </w:pBdr>
        <w:shd w:fill="F5F5F5" w:val="clear"/>
        <w:spacing w:after="160"/>
        <w:ind w:left="360"/>
      </w:pPr>
      <w:r>
        <w:rPr>
          <w:rFonts w:ascii="Courier New" w:cs="Courier New" w:eastAsia="Courier New" w:hAnsi="Courier New"/>
          <w:color w:val="1A1A1A"/>
          <w:sz w:val="18"/>
          <w:szCs w:val="18"/>
        </w:rPr>
        <w:t xml:space="preserve">  There is NOTHING preventing it technically.</w:t>
      </w:r>
    </w:p>
    <w:p>
      <w:pPr>
        <w:pStyle w:val="Heading2"/>
        <w:spacing w:after="100" w:before="280"/>
      </w:pPr>
      <w:r>
        <w:rPr>
          <w:rFonts w:ascii="Arial" w:cs="Arial" w:eastAsia="Arial" w:hAnsi="Arial"/>
          <w:b/>
          <w:bCs/>
          <w:color w:val="E65100"/>
          <w:sz w:val="28"/>
          <w:szCs w:val="28"/>
        </w:rPr>
        <w:t xml:space="preserve">4.3 The Fatal Weakness: JOINs Are Trivially Easy</w:t>
      </w:r>
    </w:p>
    <w:p>
      <w:pPr>
        <w:spacing w:after="160"/>
      </w:pPr>
      <w:r>
        <w:rPr>
          <w:rFonts w:ascii="Arial" w:cs="Arial" w:eastAsia="Arial" w:hAnsi="Arial"/>
          <w:b w:val="false"/>
          <w:bCs w:val="false"/>
          <w:color w:val="333333"/>
          <w:sz w:val="22"/>
          <w:szCs w:val="22"/>
        </w:rPr>
        <w:t xml:space="preserve">With table-per-service, the boundary between services is entirely social — it exists only as a team agreement. The database offers no technical enforcement. Any developer under time pressure who wants to avoid a network call can write a JOIN across 'service boundaries' and it will work perfectly. The boundary erodes by default.</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ALL of these 'violations' work perfectly with table-per-service:</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Order Service 'accidentally' checking payment status:</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SELECT o.*, p.status</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FROM order_svc_orders o</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JOIN payment_svc_payments p ON p.order_id = o.id;  -- WORKS, no error</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Inventory Service reading order data directly:</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SELECT i.quantity, o.user_id</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FROM inventory_svc_stock i</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JOIN order_svc_orders o ON o.item_id = i.id;  -- WORKS</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'Optimised' reporting query joining three 'services':</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SELECT o.id, p.amount, i.quantity</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FROM order_svc_orders o</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JOIN payment_svc_payments p ON p.order_id = o.id</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JOIN inventory_svc_stock i ON i.item_id = o.item_id</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WHERE o.created_at &gt; NOW() - INTERVAL '7 days';</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Works great in development. Creates tight coupling.</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Now you cannot move any of these tables to a separate DB.</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There is no technical barrier. Only a social norm.</w:t>
      </w:r>
    </w:p>
    <w:p>
      <w:pPr>
        <w:pBdr>
          <w:left w:val="single" w:color="E65100" w:sz="14"/>
        </w:pBdr>
        <w:shd w:fill="F5F5F5" w:val="clear"/>
        <w:spacing w:after="160"/>
        <w:ind w:left="360"/>
      </w:pPr>
      <w:r>
        <w:rPr>
          <w:rFonts w:ascii="Courier New" w:cs="Courier New" w:eastAsia="Courier New" w:hAnsi="Courier New"/>
          <w:color w:val="1A1A1A"/>
          <w:sz w:val="18"/>
          <w:szCs w:val="18"/>
        </w:rPr>
        <w:t xml:space="preserve">-- Social norms erode under deadline pressure.</w:t>
      </w:r>
    </w:p>
    <w:p>
      <w:pPr>
        <w:pStyle w:val="Heading2"/>
        <w:spacing w:after="100" w:before="280"/>
      </w:pPr>
      <w:r>
        <w:rPr>
          <w:rFonts w:ascii="Arial" w:cs="Arial" w:eastAsia="Arial" w:hAnsi="Arial"/>
          <w:b/>
          <w:bCs/>
          <w:color w:val="E65100"/>
          <w:sz w:val="28"/>
          <w:szCs w:val="28"/>
        </w:rPr>
        <w:t xml:space="preserve">4.4 When Table per Service Is Acceptable</w:t>
      </w:r>
    </w:p>
    <w:p>
      <w:pPr>
        <w:spacing w:after="160"/>
      </w:pPr>
      <w:r>
        <w:rPr>
          <w:rFonts w:ascii="Arial" w:cs="Arial" w:eastAsia="Arial" w:hAnsi="Arial"/>
          <w:b w:val="false"/>
          <w:bCs w:val="false"/>
          <w:color w:val="333333"/>
          <w:sz w:val="22"/>
          <w:szCs w:val="22"/>
        </w:rPr>
        <w:t xml:space="preserve">Table-per-service is acceptable only as a stepping stone during a migration from a monolith to a proper database-per-service architecture. It is the first step: rename existing tables to include the owning service's prefix, establish the ownership convention, and identify which services own which tables. This creates clarity without requiring infrastructure changes.</w:t>
      </w:r>
    </w:p>
    <w:p>
      <w:pPr>
        <w:pBdr>
          <w:top w:val="single" w:color="4A148C" w:sz="2"/>
          <w:bottom w:val="single" w:color="4A148C" w:sz="2"/>
          <w:left w:val="single" w:color="4A148C" w:sz="20"/>
          <w:right w:val="single" w:color="4A148C" w:sz="2"/>
        </w:pBdr>
        <w:shd w:fill="F3E5F5" w:val="clear"/>
        <w:spacing w:after="160"/>
        <w:ind w:left="360" w:right="360"/>
      </w:pPr>
      <w:r>
        <w:rPr>
          <w:rFonts w:ascii="Arial" w:cs="Arial" w:eastAsia="Arial" w:hAnsi="Arial"/>
          <w:b/>
          <w:bCs/>
          <w:color w:val="4A148C"/>
          <w:sz w:val="22"/>
          <w:szCs w:val="22"/>
        </w:rPr>
        <w:t xml:space="preserve">MIGRATION  </w:t>
      </w:r>
      <w:r>
        <w:rPr>
          <w:rFonts w:ascii="Arial" w:cs="Arial" w:eastAsia="Arial" w:hAnsi="Arial"/>
          <w:color w:val="333333"/>
          <w:sz w:val="22"/>
          <w:szCs w:val="22"/>
        </w:rPr>
        <w:t xml:space="preserve">Acceptable migration use: Step 1 of monolith-to-microservices migration. Rename tables to service-prefixed naming convention. This creates clarity of ownership without requiring infrastructure changes. The explicit goal is to progress to schema-per-service or private-DB-per-service. Table-per-service is never a permanent architecture.</w:t>
      </w:r>
    </w:p>
    <w:p>
      <w:pPr>
        <w:pStyle w:val="Heading2"/>
        <w:spacing w:after="100" w:before="280"/>
      </w:pPr>
      <w:r>
        <w:rPr>
          <w:rFonts w:ascii="Arial" w:cs="Arial" w:eastAsia="Arial" w:hAnsi="Arial"/>
          <w:b/>
          <w:bCs/>
          <w:color w:val="E65100"/>
          <w:sz w:val="28"/>
          <w:szCs w:val="28"/>
        </w:rPr>
        <w:t xml:space="preserve">4.5 Disadvantages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760"/>
        <w:gridCol w:w="4600"/>
      </w:tblGrid>
      <w:tr>
        <w:trPr>
          <w:tblHeader/>
        </w:trPr>
        <w:tc>
          <w:tcPr>
            <w:tcW w:type="dxa" w:w="47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Disadvantage</w:t>
            </w:r>
          </w:p>
        </w:tc>
        <w:tc>
          <w:tcPr>
            <w:tcW w:type="dxa" w:w="46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Severity</w:t>
            </w:r>
          </w:p>
        </w:tc>
      </w:tr>
      <w:tr>
        <w:trPr>
          <w:tblHeader w:val="false"/>
        </w:trPr>
        <w:tc>
          <w:tcPr>
            <w:tcW w:type="dxa" w:w="4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 technical boundary enforcement — JOINs work across 'boundaries'</w:t>
            </w:r>
          </w:p>
        </w:tc>
        <w:tc>
          <w:tcPr>
            <w:tcW w:type="dxa" w:w="4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Critical — the boundary exists only in documentation and social norms</w:t>
            </w:r>
          </w:p>
        </w:tc>
      </w:tr>
      <w:tr>
        <w:trPr>
          <w:tblHeader w:val="false"/>
        </w:trPr>
        <w:tc>
          <w:tcPr>
            <w:tcW w:type="dxa" w:w="4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Cross-table JOINs are trivial to write and will be written under pressure</w:t>
            </w:r>
          </w:p>
        </w:tc>
        <w:tc>
          <w:tcPr>
            <w:tcW w:type="dxa" w:w="4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Critical — deadline pressure always defeats social norms</w:t>
            </w:r>
          </w:p>
        </w:tc>
      </w:tr>
      <w:tr>
        <w:trPr>
          <w:tblHeader w:val="false"/>
        </w:trPr>
        <w:tc>
          <w:tcPr>
            <w:tcW w:type="dxa" w:w="4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Shared DB server = shared failure domain for all services</w:t>
            </w:r>
          </w:p>
        </w:tc>
        <w:tc>
          <w:tcPr>
            <w:tcW w:type="dxa" w:w="4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High — one DB outage takes down all services</w:t>
            </w:r>
          </w:p>
        </w:tc>
      </w:tr>
      <w:tr>
        <w:trPr>
          <w:tblHeader w:val="false"/>
        </w:trPr>
        <w:tc>
          <w:tcPr>
            <w:tcW w:type="dxa" w:w="4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Cannot use different database technologies per service</w:t>
            </w:r>
          </w:p>
        </w:tc>
        <w:tc>
          <w:tcPr>
            <w:tcW w:type="dxa" w:w="4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High — all services locked to the same engine</w:t>
            </w:r>
          </w:p>
        </w:tc>
      </w:tr>
      <w:tr>
        <w:trPr>
          <w:tblHeader w:val="false"/>
        </w:trPr>
        <w:tc>
          <w:tcPr>
            <w:tcW w:type="dxa" w:w="4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Cannot independently scale individual service's storage</w:t>
            </w:r>
          </w:p>
        </w:tc>
        <w:tc>
          <w:tcPr>
            <w:tcW w:type="dxa" w:w="4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High — scaling affects all tables on the server</w:t>
            </w:r>
          </w:p>
        </w:tc>
      </w:tr>
      <w:tr>
        <w:trPr>
          <w:tblHeader w:val="false"/>
        </w:trPr>
        <w:tc>
          <w:tcPr>
            <w:tcW w:type="dxa" w:w="4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 permission-enforced isolation — any user can query any table</w:t>
            </w:r>
          </w:p>
        </w:tc>
        <w:tc>
          <w:tcPr>
            <w:tcW w:type="dxa" w:w="4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High — any code error or malicious query can access any service's data</w:t>
            </w:r>
          </w:p>
        </w:tc>
      </w:tr>
      <w:tr>
        <w:trPr>
          <w:tblHeader w:val="false"/>
        </w:trPr>
        <w:tc>
          <w:tcPr>
            <w:tcW w:type="dxa" w:w="4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Migrations for different services compete in the same schema</w:t>
            </w:r>
          </w:p>
        </w:tc>
        <w:tc>
          <w:tcPr>
            <w:tcW w:type="dxa" w:w="4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Medium — migration coordination still required across teams</w:t>
            </w:r>
          </w:p>
        </w:tc>
      </w:tr>
    </w:tbl>
    <w:p>
      <w:pPr>
        <w:spacing w:after="0" w:before="80"/>
      </w:pPr>
      <w:r>
        <w:t xml:space="preserve"/>
      </w:r>
    </w:p>
    <w:p>
      <w:pPr>
        <w:pBdr>
          <w:top w:val="single" w:color="B71C1C" w:sz="2"/>
          <w:bottom w:val="single" w:color="B71C1C" w:sz="2"/>
          <w:left w:val="single" w:color="B71C1C" w:sz="20"/>
          <w:right w:val="single" w:color="B71C1C" w:sz="2"/>
        </w:pBdr>
        <w:shd w:fill="FFEBEE" w:val="clear"/>
        <w:spacing w:after="160"/>
        <w:ind w:left="360" w:right="360"/>
      </w:pPr>
      <w:r>
        <w:rPr>
          <w:rFonts w:ascii="Arial" w:cs="Arial" w:eastAsia="Arial" w:hAnsi="Arial"/>
          <w:b/>
          <w:bCs/>
          <w:color w:val="B71C1C"/>
          <w:sz w:val="22"/>
          <w:szCs w:val="22"/>
        </w:rPr>
        <w:t xml:space="preserve">ANTI-PATTERN  </w:t>
      </w:r>
      <w:r>
        <w:rPr>
          <w:rFonts w:ascii="Arial" w:cs="Arial" w:eastAsia="Arial" w:hAnsi="Arial"/>
          <w:color w:val="333333"/>
          <w:sz w:val="22"/>
          <w:szCs w:val="22"/>
        </w:rPr>
        <w:t xml:space="preserve">Table per Service is NOT a valid long-term implementation of database-per-service. It provides no technical isolation and is trivially easy to violate. Any team that considers this a 'good enough' permanent architecture has not fully adopted the database-per-service pattern — they have only adopted the naming convention. The only acceptable use is as a temporary stepping stone with a committed timeline to upgrade.</w:t>
      </w:r>
    </w:p>
    <w:p>
      <w:r>
        <w:br w:type="page"/>
      </w:r>
    </w:p>
    <w:p>
      <w:pPr>
        <w:pStyle w:val="Heading1"/>
        <w:spacing w:after="120" w:before="360"/>
      </w:pPr>
      <w:r>
        <w:rPr>
          <w:rFonts w:ascii="Arial" w:cs="Arial" w:eastAsia="Arial" w:hAnsi="Arial"/>
          <w:b/>
          <w:bCs/>
          <w:color w:val="0D1B2A"/>
          <w:sz w:val="40"/>
          <w:szCs w:val="40"/>
        </w:rPr>
        <w:t xml:space="preserve">5. Side-by-Side Comparison — Full Feature Matrix</w:t>
      </w:r>
    </w:p>
    <w:p>
      <w:pPr>
        <w:pBdr>
          <w:bottom w:val="single" w:color="1A3A5C" w:sz="8" w:space="1"/>
        </w:pBd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280"/>
        <w:gridCol w:w="2280"/>
      </w:tblGrid>
      <w:tr>
        <w:trPr>
          <w:tblHeader/>
        </w:trPr>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Isolation</w:t>
            </w:r>
          </w:p>
        </w:tc>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Complete — different servers</w:t>
            </w:r>
          </w:p>
        </w:tc>
        <w:tc>
          <w:tcPr>
            <w:tcW w:type="dxa" w:w="228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Logical — DB permissions</w:t>
            </w:r>
          </w:p>
        </w:tc>
        <w:tc>
          <w:tcPr>
            <w:tcW w:type="dxa" w:w="228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Naming convention only</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Isolation Strength</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Maximum — no shared infrastructure</w:t>
            </w:r>
          </w:p>
        </w:tc>
        <w:tc>
          <w:tcPr>
            <w:tcW w:type="dxa" w:w="22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Medium — shared CPU/memory/connections</w:t>
            </w:r>
          </w:p>
        </w:tc>
        <w:tc>
          <w:tcPr>
            <w:tcW w:type="dxa" w:w="22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Minimal — same schema, same user</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Operational Cost</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Highest — separate instances + backups</w:t>
            </w:r>
          </w:p>
        </w:tc>
        <w:tc>
          <w:tcPr>
            <w:tcW w:type="dxa" w:w="22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Medium — one server to manage</w:t>
            </w:r>
          </w:p>
        </w:tc>
        <w:tc>
          <w:tcPr>
            <w:tcW w:type="dxa" w:w="22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Lowest — tables on shared schema</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Technology Freedom</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 different DB per service</w:t>
            </w:r>
          </w:p>
        </w:tc>
        <w:tc>
          <w:tcPr>
            <w:tcW w:type="dxa" w:w="22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 — same DB engine for all</w:t>
            </w:r>
          </w:p>
        </w:tc>
        <w:tc>
          <w:tcPr>
            <w:tcW w:type="dxa" w:w="22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 — same DB engine for all</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Independent Scaling</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 scale each DB independently</w:t>
            </w:r>
          </w:p>
        </w:tc>
        <w:tc>
          <w:tcPr>
            <w:tcW w:type="dxa" w:w="22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Partial — scale whole server, not per-service</w:t>
            </w:r>
          </w:p>
        </w:tc>
        <w:tc>
          <w:tcPr>
            <w:tcW w:type="dxa" w:w="22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 — scale whole server</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Single Point of Failure</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 — isolated; one DB failure is contained</w:t>
            </w:r>
          </w:p>
        </w:tc>
        <w:tc>
          <w:tcPr>
            <w:tcW w:type="dxa" w:w="22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 one DB failure takes all services down</w:t>
            </w:r>
          </w:p>
        </w:tc>
        <w:tc>
          <w:tcPr>
            <w:tcW w:type="dxa" w:w="22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 same shared server</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Boundary Enforcement</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Strong — physical separation</w:t>
            </w:r>
          </w:p>
        </w:tc>
        <w:tc>
          <w:tcPr>
            <w:tcW w:type="dxa" w:w="22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Medium — enforced by DB permissions</w:t>
            </w:r>
          </w:p>
        </w:tc>
        <w:tc>
          <w:tcPr>
            <w:tcW w:type="dxa" w:w="22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None — social convention only</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Infrastructure Cost</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Very High — many instances</w:t>
            </w:r>
          </w:p>
        </w:tc>
        <w:tc>
          <w:tcPr>
            <w:tcW w:type="dxa" w:w="22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Medium — one server + multiple schemas</w:t>
            </w:r>
          </w:p>
        </w:tc>
        <w:tc>
          <w:tcPr>
            <w:tcW w:type="dxa" w:w="22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Low — one server, one schema</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Ops Overhead</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High — each DB needs its own backup/monitor</w:t>
            </w:r>
          </w:p>
        </w:tc>
        <w:tc>
          <w:tcPr>
            <w:tcW w:type="dxa" w:w="22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Medium — one server's backup/monitor</w:t>
            </w:r>
          </w:p>
        </w:tc>
        <w:tc>
          <w:tcPr>
            <w:tcW w:type="dxa" w:w="22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Low — one server</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Cross-Service Query</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Prevented by network/infrastructure</w:t>
            </w:r>
          </w:p>
        </w:tc>
        <w:tc>
          <w:tcPr>
            <w:tcW w:type="dxa" w:w="22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Prevented by DB permissions</w:t>
            </w:r>
          </w:p>
        </w:tc>
        <w:tc>
          <w:tcPr>
            <w:tcW w:type="dxa" w:w="22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Technically possible — easily violated</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Cross-Service Data</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Hard — need API composition or events</w:t>
            </w:r>
          </w:p>
        </w:tc>
        <w:tc>
          <w:tcPr>
            <w:tcW w:type="dxa" w:w="22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Hard — cross-schema JOIN violates pattern</w:t>
            </w:r>
          </w:p>
        </w:tc>
        <w:tc>
          <w:tcPr>
            <w:tcW w:type="dxa" w:w="22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Easy (and tempting) — direct JOIN works</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Status</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Target state for production</w:t>
            </w:r>
          </w:p>
        </w:tc>
        <w:tc>
          <w:tcPr>
            <w:tcW w:type="dxa" w:w="22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Good medium-term state</w:t>
            </w:r>
          </w:p>
        </w:tc>
        <w:tc>
          <w:tcPr>
            <w:tcW w:type="dxa" w:w="22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Migration stepping stone only; never permanent</w:t>
            </w:r>
          </w:p>
        </w:tc>
      </w:tr>
    </w:tbl>
    <w:p>
      <w:pPr>
        <w:spacing w:after="0" w:before="80"/>
      </w:pPr>
      <w:r>
        <w:t xml:space="preserve"/>
      </w:r>
    </w:p>
    <w:p>
      <w:r>
        <w:br w:type="page"/>
      </w:r>
    </w:p>
    <w:p>
      <w:pPr>
        <w:pStyle w:val="Heading1"/>
        <w:spacing w:after="120" w:before="360"/>
      </w:pPr>
      <w:r>
        <w:rPr>
          <w:rFonts w:ascii="Arial" w:cs="Arial" w:eastAsia="Arial" w:hAnsi="Arial"/>
          <w:b/>
          <w:bCs/>
          <w:color w:val="0D1B2A"/>
          <w:sz w:val="40"/>
          <w:szCs w:val="40"/>
        </w:rPr>
        <w:t xml:space="preserve">6. Choosing the Right Strategy</w:t>
      </w:r>
    </w:p>
    <w:p>
      <w:pPr>
        <w:pBdr>
          <w:bottom w:val="single" w:color="1A3A5C" w:sz="8" w:space="1"/>
        </w:pBdr>
        <w:spacing w:after="160"/>
      </w:pPr>
    </w:p>
    <w:p>
      <w:pPr>
        <w:pStyle w:val="Heading2"/>
        <w:spacing w:after="100" w:before="280"/>
      </w:pPr>
      <w:r>
        <w:rPr>
          <w:rFonts w:ascii="Arial" w:cs="Arial" w:eastAsia="Arial" w:hAnsi="Arial"/>
          <w:b/>
          <w:bCs/>
          <w:color w:val="1A3A5C"/>
          <w:sz w:val="28"/>
          <w:szCs w:val="28"/>
        </w:rPr>
        <w:t xml:space="preserve">6.1 Decision Factors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600"/>
        <w:gridCol w:w="2160"/>
      </w:tblGrid>
      <w:tr>
        <w:trPr>
          <w:tblHeader/>
        </w:trPr>
        <w:tc>
          <w:tcPr>
            <w:tcW w:type="dxa" w:w="20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Factor</w:t>
            </w:r>
          </w:p>
        </w:tc>
        <w:tc>
          <w:tcPr>
            <w:tcW w:type="dxa" w:w="26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Choose Strategy 1 (Private DB)</w:t>
            </w:r>
          </w:p>
        </w:tc>
        <w:tc>
          <w:tcPr>
            <w:tcW w:type="dxa" w:w="26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Choose Strategy 2 (Schema)</w:t>
            </w:r>
          </w:p>
        </w:tc>
        <w:tc>
          <w:tcPr>
            <w:tcW w:type="dxa" w:w="21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Choose Strategy 3 (Tables)</w:t>
            </w:r>
          </w:p>
        </w:tc>
      </w:tr>
      <w:tr>
        <w:trPr>
          <w:tblHeader w:val="false"/>
        </w:trPr>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Team maturity</w:t>
            </w:r>
          </w:p>
        </w:tc>
        <w:tc>
          <w:tcPr>
            <w:tcW w:type="dxa" w:w="2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Mature microservices team with platform engineering</w:t>
            </w:r>
          </w:p>
        </w:tc>
        <w:tc>
          <w:tcPr>
            <w:tcW w:type="dxa" w:w="2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Transitioning team with limited DB ops capacity</w:t>
            </w:r>
          </w:p>
        </w:tc>
        <w:tc>
          <w:tcPr>
            <w:tcW w:type="dxa" w:w="2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Team just starting microservices migration</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Database operations capacity</w:t>
            </w:r>
          </w:p>
        </w:tc>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Platform team can manage N database instances</w:t>
            </w:r>
          </w:p>
        </w:tc>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Small ops team — minimise DB instance count</w:t>
            </w:r>
          </w:p>
        </w:tc>
        <w:tc>
          <w:tcPr>
            <w:tcW w:type="dxa" w:w="2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 dedicated DBA — cannot manage multiple instances</w:t>
            </w:r>
          </w:p>
        </w:tc>
      </w:tr>
      <w:tr>
        <w:trPr>
          <w:tblHeader w:val="false"/>
        </w:trPr>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Regulatory / compliance needs</w:t>
            </w:r>
          </w:p>
        </w:tc>
        <w:tc>
          <w:tcPr>
            <w:tcW w:type="dxa" w:w="2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PCI-DSS, HIPAA: data must be physically isolated</w:t>
            </w:r>
          </w:p>
        </w:tc>
        <w:tc>
          <w:tcPr>
            <w:tcW w:type="dxa" w:w="2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SOC 2, GDPR: logical isolation with access controls sufficient</w:t>
            </w:r>
          </w:p>
        </w:tc>
        <w:tc>
          <w:tcPr>
            <w:tcW w:type="dxa" w:w="2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 specific compliance requirement</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Performance requirements</w:t>
            </w:r>
          </w:p>
        </w:tc>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Services have very different load profiles requiring independent scaling</w:t>
            </w:r>
          </w:p>
        </w:tc>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Services have similar load profiles; shared resources acceptable</w:t>
            </w:r>
          </w:p>
        </w:tc>
        <w:tc>
          <w:tcPr>
            <w:tcW w:type="dxa" w:w="2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Purely a migration concern — not a permanent performance decision</w:t>
            </w:r>
          </w:p>
        </w:tc>
      </w:tr>
      <w:tr>
        <w:trPr>
          <w:tblHeader w:val="false"/>
        </w:trPr>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Technology diversity needs</w:t>
            </w:r>
          </w:p>
        </w:tc>
        <w:tc>
          <w:tcPr>
            <w:tcW w:type="dxa" w:w="2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Services need different database technologies (Elasticsearch, Redis, PostgreSQL)</w:t>
            </w:r>
          </w:p>
        </w:tc>
        <w:tc>
          <w:tcPr>
            <w:tcW w:type="dxa" w:w="2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All services are OK with the same technology</w:t>
            </w:r>
          </w:p>
        </w:tc>
        <w:tc>
          <w:tcPr>
            <w:tcW w:type="dxa" w:w="2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All services use the same technology; migration in progress</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Cost constraints</w:t>
            </w:r>
          </w:p>
        </w:tc>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Production system; cost of proper isolation is justified</w:t>
            </w:r>
          </w:p>
        </w:tc>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Cost-sensitive; shared infrastructure acceptable with risk</w:t>
            </w:r>
          </w:p>
        </w:tc>
        <w:tc>
          <w:tcPr>
            <w:tcW w:type="dxa" w:w="2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Development/staging; or early-stage startup minimising costs</w:t>
            </w:r>
          </w:p>
        </w:tc>
      </w:tr>
      <w:tr>
        <w:trPr>
          <w:tblHeader w:val="false"/>
        </w:trPr>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Existing architecture</w:t>
            </w:r>
          </w:p>
        </w:tc>
        <w:tc>
          <w:tcPr>
            <w:tcW w:type="dxa" w:w="2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Greenfield or well-advanced microservices</w:t>
            </w:r>
          </w:p>
        </w:tc>
        <w:tc>
          <w:tcPr>
            <w:tcW w:type="dxa" w:w="2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Partially migrated from monolith; moving toward full isolation</w:t>
            </w:r>
          </w:p>
        </w:tc>
        <w:tc>
          <w:tcPr>
            <w:tcW w:type="dxa" w:w="2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Just starting to extract services from a monolith</w:t>
            </w:r>
          </w:p>
        </w:tc>
      </w:tr>
    </w:tbl>
    <w:p>
      <w:pPr>
        <w:spacing w:after="0" w:before="80"/>
      </w:pPr>
      <w:r>
        <w:t xml:space="preserve"/>
      </w:r>
    </w:p>
    <w:p>
      <w:pPr>
        <w:pStyle w:val="Heading2"/>
        <w:spacing w:after="100" w:before="280"/>
      </w:pPr>
      <w:r>
        <w:rPr>
          <w:rFonts w:ascii="Arial" w:cs="Arial" w:eastAsia="Arial" w:hAnsi="Arial"/>
          <w:b/>
          <w:bCs/>
          <w:color w:val="1A3A5C"/>
          <w:sz w:val="28"/>
          <w:szCs w:val="28"/>
        </w:rPr>
        <w:t xml:space="preserve">6.2 The Recommended Progression</w:t>
      </w:r>
    </w:p>
    <w:p>
      <w:pPr>
        <w:spacing w:after="160"/>
      </w:pPr>
      <w:r>
        <w:rPr>
          <w:rFonts w:ascii="Arial" w:cs="Arial" w:eastAsia="Arial" w:hAnsi="Arial"/>
          <w:b w:val="false"/>
          <w:bCs w:val="false"/>
          <w:color w:val="333333"/>
          <w:sz w:val="22"/>
          <w:szCs w:val="22"/>
        </w:rPr>
        <w:t xml:space="preserve">For teams migrating from a monolith to microservices, the recommended progression moves from weakest to strongest isolation as the system matures and confidence grows: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Recommended migration progression:</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Phase 1: Table per Service (stepping stone, maximum 6 months)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Rename tables to service-prefixed naming convention</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Document which tables belong to which service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Identify and catalogue all cross-table JOIN dependencies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Eliminate JOINs across service boundaries (API calls instead)</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Goal: zero cross-service JOINs remaining</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Phase 2: Schema per Service (medium-term state)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Create separate schemas for each service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Move tables into their service's schema</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Set up dedicated DB users per service with restricted permissions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Validate: confirm no service can query another's schema</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Run in this state until: team capacity grows, or scaling needs emerge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Phase 3: Private DB per Service (target state)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Provision dedicated database instances per service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Migrate data from schema partitions to separate instances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Enable polyglot persistence where beneficial</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Achieve true infrastructure isolation</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Timeline guideline: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Phase 1 → Phase 2: as soon as all cross-service JOINs are eliminated</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Phase 2 → Phase 3: when independent scaling or technology needs arise,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or when the team has platform DB capacity</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Both phases can be per-service: Service A might be at Phase 3</w:t>
      </w:r>
    </w:p>
    <w:p>
      <w:pPr>
        <w:pBdr>
          <w:left w:val="single" w:color="4A148C" w:sz="14"/>
        </w:pBdr>
        <w:shd w:fill="F5F5F5" w:val="clear"/>
        <w:spacing w:after="160"/>
        <w:ind w:left="360"/>
      </w:pPr>
      <w:r>
        <w:rPr>
          <w:rFonts w:ascii="Courier New" w:cs="Courier New" w:eastAsia="Courier New" w:hAnsi="Courier New"/>
          <w:color w:val="1A1A1A"/>
          <w:sz w:val="18"/>
          <w:szCs w:val="18"/>
        </w:rPr>
        <w:t xml:space="preserve">  while Service B is still at Phase 2.</w:t>
      </w:r>
    </w:p>
    <w:p>
      <w:r>
        <w:br w:type="page"/>
      </w:r>
    </w:p>
    <w:p>
      <w:pPr>
        <w:pStyle w:val="Heading1"/>
        <w:spacing w:after="120" w:before="360"/>
      </w:pPr>
      <w:r>
        <w:rPr>
          <w:rFonts w:ascii="Arial" w:cs="Arial" w:eastAsia="Arial" w:hAnsi="Arial"/>
          <w:b/>
          <w:bCs/>
          <w:color w:val="0D1B2A"/>
          <w:sz w:val="40"/>
          <w:szCs w:val="40"/>
        </w:rPr>
        <w:t xml:space="preserve">7. Enforcing the Boundary — Technical Controls</w:t>
      </w:r>
    </w:p>
    <w:p>
      <w:pPr>
        <w:pBdr>
          <w:bottom w:val="single" w:color="1A3A5C" w:sz="8" w:space="1"/>
        </w:pBdr>
        <w:spacing w:after="160"/>
      </w:pPr>
    </w:p>
    <w:p>
      <w:pPr>
        <w:spacing w:after="160"/>
      </w:pPr>
      <w:r>
        <w:rPr>
          <w:rFonts w:ascii="Arial" w:cs="Arial" w:eastAsia="Arial" w:hAnsi="Arial"/>
          <w:b w:val="false"/>
          <w:bCs w:val="false"/>
          <w:color w:val="333333"/>
          <w:sz w:val="22"/>
          <w:szCs w:val="22"/>
        </w:rPr>
        <w:t xml:space="preserve">The strongest boundaries are enforced technically, not socially. The following controls, applied per strategy, prevent violations from occurring rather than detecting them after the fact.</w:t>
      </w:r>
    </w:p>
    <w:p>
      <w:pPr>
        <w:pStyle w:val="Heading2"/>
        <w:spacing w:after="100" w:before="280"/>
      </w:pPr>
      <w:r>
        <w:rPr>
          <w:rFonts w:ascii="Arial" w:cs="Arial" w:eastAsia="Arial" w:hAnsi="Arial"/>
          <w:b/>
          <w:bCs/>
          <w:color w:val="1A3A5C"/>
          <w:sz w:val="28"/>
          <w:szCs w:val="28"/>
        </w:rPr>
        <w:t xml:space="preserve">7.1 Strategy 1: Private DB Enforcement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rPr>
          <w:tblHeader/>
        </w:trPr>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Control</w:t>
            </w:r>
          </w:p>
        </w:tc>
        <w:tc>
          <w:tcPr>
            <w:tcW w:type="dxa" w:w="40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Mechanism</w:t>
            </w:r>
          </w:p>
        </w:tc>
        <w:tc>
          <w:tcPr>
            <w:tcW w:type="dxa" w:w="29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Strength</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Kubernetes NetworkPolicy</w:t>
            </w:r>
          </w:p>
        </w:tc>
        <w:tc>
          <w:tcPr>
            <w:tcW w:type="dxa" w:w="4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Allows database pods to only receive connections from their owning service's pods. Other services get connection refused.</w:t>
            </w:r>
          </w:p>
        </w:tc>
        <w:tc>
          <w:tcPr>
            <w:tcW w:type="dxa" w:w="29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STRONG — infrastructure-level enforcement</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Separate credentials</w:t>
            </w:r>
          </w:p>
        </w:tc>
        <w:tc>
          <w:tcPr>
            <w:tcW w:type="dxa" w:w="4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Each service has unique DB credentials. No service can use another's credentials.</w:t>
            </w:r>
          </w:p>
        </w:tc>
        <w:tc>
          <w:tcPr>
            <w:tcW w:type="dxa" w:w="2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STRONG — prevents accidental cross-service access</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Network segmentation</w:t>
            </w:r>
          </w:p>
        </w:tc>
        <w:tc>
          <w:tcPr>
            <w:tcW w:type="dxa" w:w="4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Database instances in separate VPCs or subnets; routing only allows owning service to reach DB.</w:t>
            </w:r>
          </w:p>
        </w:tc>
        <w:tc>
          <w:tcPr>
            <w:tcW w:type="dxa" w:w="29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STRONG — network-level enforcement</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IAM/Cloud IAM (AWS RDS)</w:t>
            </w:r>
          </w:p>
        </w:tc>
        <w:tc>
          <w:tcPr>
            <w:tcW w:type="dxa" w:w="4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IAM authentication ensures only the correct IAM role can connect to each RDS instance.</w:t>
            </w:r>
          </w:p>
        </w:tc>
        <w:tc>
          <w:tcPr>
            <w:tcW w:type="dxa" w:w="2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STRONG — cloud-enforced identity</w:t>
            </w:r>
          </w:p>
        </w:tc>
      </w:tr>
    </w:tbl>
    <w:p>
      <w:pPr>
        <w:spacing w:after="0" w:before="80"/>
      </w:pPr>
      <w:r>
        <w:t xml:space="preserve"/>
      </w:r>
    </w:p>
    <w:p>
      <w:pPr>
        <w:pStyle w:val="Heading2"/>
        <w:spacing w:after="100" w:before="280"/>
      </w:pPr>
      <w:r>
        <w:rPr>
          <w:rFonts w:ascii="Arial" w:cs="Arial" w:eastAsia="Arial" w:hAnsi="Arial"/>
          <w:b/>
          <w:bCs/>
          <w:color w:val="1A3A5C"/>
          <w:sz w:val="28"/>
          <w:szCs w:val="28"/>
        </w:rPr>
        <w:t xml:space="preserve">7.2 Strategy 2: Schema per Service Enforcement</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Complete permission setup for schema-per-service isolation:</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-- 1. Each service gets a dedicated DB user (never share users)</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CREATE USER ord_app  WITH PASSWORD :ord_password  NOSUPERUSER;</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CREATE USER pay_app  WITH PASSWORD :pay_password  NOSUPERUSER;</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CREATE USER inv_app  WITH PASSWORD :inv_password  NOSUPERUSER;</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-- 2. Revoke default public access</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REVOKE ALL ON DATABASE ecommerce_db FROM PUBLIC;</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REVOKE ALL ON SCHEMA public FROM PUBLIC;</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-- 3. Grant each user ONLY their schema — no cross-schema grants</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GRANT CONNECT ON DATABASE ecommerce_db TO ord_app;</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GRANT USAGE  ON SCHEMA ord_svc TO ord_app;</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GRANT ALL    ON ALL TABLES IN SCHEMA ord_svc TO ord_app;</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ALTER DEFAULT PRIVILEGES IN SCHEMA ord_svc GRANT ALL ON TABLES TO ord_app;</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-- 4. Explicitly DENY cross-schema access (defensive)</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REVOKE ALL ON SCHEMA pay_svc FROM ord_app;</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REVOKE ALL ON SCHEMA inv_svc FROM ord_app;</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-- 5. Set search_path so service code works without schema prefix</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ALTER USER ord_app SET search_path TO ord_svc;</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-- 6. Monitor for privilege escalation attempts:</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pg_audit extension logs: attempted accesses to denied schemas</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Alert on: permission denied errors for cross-schema access</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Verification query (run as DBA):</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SELECT grantee, table_schema, privilege_type</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FROM information_schema.role_table_grants</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WHERE grantee IN ('ord_app', 'pay_app', 'inv_app')</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ORDER BY grantee, table_schema;</w:t>
      </w:r>
    </w:p>
    <w:p>
      <w:pPr>
        <w:pBdr>
          <w:left w:val="single" w:color="2E7D32" w:sz="14"/>
        </w:pBdr>
        <w:shd w:fill="F5F5F5" w:val="clear"/>
        <w:spacing w:after="160"/>
        <w:ind w:left="360"/>
      </w:pPr>
      <w:r>
        <w:rPr>
          <w:rFonts w:ascii="Courier New" w:cs="Courier New" w:eastAsia="Courier New" w:hAnsi="Courier New"/>
          <w:color w:val="1A1A1A"/>
          <w:sz w:val="18"/>
          <w:szCs w:val="18"/>
        </w:rPr>
        <w:t xml:space="preserve">-- Expected: each user only has grants for their own schema</w:t>
      </w:r>
    </w:p>
    <w:p>
      <w:pPr>
        <w:pStyle w:val="Heading2"/>
        <w:spacing w:after="100" w:before="280"/>
      </w:pPr>
      <w:r>
        <w:rPr>
          <w:rFonts w:ascii="Arial" w:cs="Arial" w:eastAsia="Arial" w:hAnsi="Arial"/>
          <w:b/>
          <w:bCs/>
          <w:color w:val="1A3A5C"/>
          <w:sz w:val="28"/>
          <w:szCs w:val="28"/>
        </w:rPr>
        <w:t xml:space="preserve">7.3 CI/CD Enforcement — Architecture Fitness Functions</w:t>
      </w:r>
    </w:p>
    <w:p>
      <w:pPr>
        <w:spacing w:after="160"/>
      </w:pPr>
      <w:r>
        <w:rPr>
          <w:rFonts w:ascii="Arial" w:cs="Arial" w:eastAsia="Arial" w:hAnsi="Arial"/>
          <w:b w:val="false"/>
          <w:bCs w:val="false"/>
          <w:color w:val="333333"/>
          <w:sz w:val="22"/>
          <w:szCs w:val="22"/>
        </w:rPr>
        <w:t xml:space="preserve">Automated checks in the CI pipeline prevent violations from being merged. These 'architecture fitness functions' scan the codebase for policy violations and fail the build.</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CI check: scan for cross-service database references</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(bash example — run in CI before merge)</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#!/bin/bash</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Check Order Service code does not reference Payment DB</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VIOLATIONS=$(grep -r 'pay_svc\|payment_svc\|payments_db\|pay_app'</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services/order-service/src/ --include='*.py' --include='*.java'</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--include='*.ts' --include='*.go'</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 grep -v '#' | grep -v '//')</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if [ -n "$VIOLATIONS" ]; then</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echo 'ERROR: Cross-service database references detected in order-service:'</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echo "$VIOLATIONS"</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echo 'Order Service must not directly reference Payment Service database.'</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echo 'Use the Payment Service API instead.'</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exit 1</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fi</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echo 'OK: No cross-service database references found.'</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Also check: connection string environment variables</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CROSS_DB=$(grep -r 'PAYMENT_DB_\|INVENTORY_DB_'</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services/order-service/.env* services/order-service/config/</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2&gt;/dev/null)</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if [ -n "$CROSS_DB" ]; then</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echo 'ERROR: Cross-service database credentials in order-service config'</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exit 1</w:t>
      </w:r>
    </w:p>
    <w:p>
      <w:pPr>
        <w:pBdr>
          <w:left w:val="single" w:color="2E7D32" w:sz="14"/>
        </w:pBdr>
        <w:shd w:fill="F5F5F5" w:val="clear"/>
        <w:spacing w:after="160"/>
        <w:ind w:left="360"/>
      </w:pPr>
      <w:r>
        <w:rPr>
          <w:rFonts w:ascii="Courier New" w:cs="Courier New" w:eastAsia="Courier New" w:hAnsi="Courier New"/>
          <w:color w:val="1A1A1A"/>
          <w:sz w:val="18"/>
          <w:szCs w:val="18"/>
        </w:rPr>
        <w:t xml:space="preserve">fi</w:t>
      </w:r>
    </w:p>
    <w:p>
      <w:r>
        <w:br w:type="page"/>
      </w:r>
    </w:p>
    <w:p>
      <w:pPr>
        <w:pStyle w:val="Heading1"/>
        <w:spacing w:after="120" w:before="360"/>
      </w:pPr>
      <w:r>
        <w:rPr>
          <w:rFonts w:ascii="Arial" w:cs="Arial" w:eastAsia="Arial" w:hAnsi="Arial"/>
          <w:b/>
          <w:bCs/>
          <w:color w:val="0D1B2A"/>
          <w:sz w:val="40"/>
          <w:szCs w:val="40"/>
        </w:rPr>
        <w:t xml:space="preserve">8. Migration Path — From Monolith to Database per Service</w:t>
      </w:r>
    </w:p>
    <w:p>
      <w:pPr>
        <w:pBdr>
          <w:bottom w:val="single" w:color="4A148C" w:sz="8" w:space="1"/>
        </w:pBdr>
        <w:spacing w:after="160"/>
      </w:pPr>
    </w:p>
    <w:p>
      <w:pPr>
        <w:spacing w:after="160"/>
      </w:pPr>
      <w:r>
        <w:rPr>
          <w:rFonts w:ascii="Arial" w:cs="Arial" w:eastAsia="Arial" w:hAnsi="Arial"/>
          <w:b w:val="false"/>
          <w:bCs w:val="false"/>
          <w:color w:val="333333"/>
          <w:sz w:val="22"/>
          <w:szCs w:val="22"/>
        </w:rPr>
        <w:t xml:space="preserve">The most common real-world scenario: an existing monolith with a single shared database is being decomposed into microservices. The migration must be done incrementally — breaking the entire system at once is not viable. This section shows the step-by-step progression through the three strategies.</w:t>
      </w:r>
    </w:p>
    <w:p>
      <w:pPr>
        <w:pStyle w:val="Heading2"/>
        <w:spacing w:after="100" w:before="280"/>
      </w:pPr>
      <w:r>
        <w:rPr>
          <w:rFonts w:ascii="Arial" w:cs="Arial" w:eastAsia="Arial" w:hAnsi="Arial"/>
          <w:b/>
          <w:bCs/>
          <w:color w:val="1A3A5C"/>
          <w:sz w:val="28"/>
          <w:szCs w:val="28"/>
        </w:rPr>
        <w:t xml:space="preserve">8.1 Starting Point: The Monolith Database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Starting state: monolith with shared database (everything in 'public' schema):</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ecommerce_db.public:</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users, addresses, orders, order_items, payments, refunds,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inventory, reservations, products, categories, notifications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All tables: connected by foreign keys, JOINed freely in application code.</w:t>
      </w:r>
    </w:p>
    <w:p>
      <w:pPr>
        <w:pBdr>
          <w:left w:val="single" w:color="4A148C" w:sz="14"/>
        </w:pBdr>
        <w:shd w:fill="F5F5F5" w:val="clear"/>
        <w:spacing w:after="160"/>
        <w:ind w:left="360"/>
      </w:pPr>
      <w:r>
        <w:rPr>
          <w:rFonts w:ascii="Courier New" w:cs="Courier New" w:eastAsia="Courier New" w:hAnsi="Courier New"/>
          <w:color w:val="1A1A1A"/>
          <w:sz w:val="18"/>
          <w:szCs w:val="18"/>
        </w:rPr>
        <w:t xml:space="preserve">  Every feature uses every table. Nothing is isolated.</w:t>
      </w:r>
    </w:p>
    <w:p>
      <w:pPr>
        <w:pStyle w:val="Heading2"/>
        <w:spacing w:after="100" w:before="280"/>
      </w:pPr>
      <w:r>
        <w:rPr>
          <w:rFonts w:ascii="Arial" w:cs="Arial" w:eastAsia="Arial" w:hAnsi="Arial"/>
          <w:b/>
          <w:bCs/>
          <w:color w:val="1A3A5C"/>
          <w:sz w:val="28"/>
          <w:szCs w:val="28"/>
        </w:rPr>
        <w:t xml:space="preserve">8.2 Step 1: Identify Domain Boundaries (No DB Changes Yet)</w:t>
      </w:r>
    </w:p>
    <w:p>
      <w:pPr>
        <w:spacing w:after="160"/>
      </w:pPr>
      <w:r>
        <w:rPr>
          <w:rFonts w:ascii="Arial" w:cs="Arial" w:eastAsia="Arial" w:hAnsi="Arial"/>
          <w:b w:val="false"/>
          <w:bCs w:val="false"/>
          <w:color w:val="333333"/>
          <w:sz w:val="22"/>
          <w:szCs w:val="22"/>
        </w:rPr>
        <w:t xml:space="preserve">Before touching the database, map which tables belong to which domain (future service). This is domain analysis, not a code change.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Domain boundary analysis (documentation step):</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Order Service owns:       orders, order_items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Payment Service owns:     payments, refunds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Inventory Service owns:   inventory, reservations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User Service owns:        users, addresses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Catalog Service owns:     products, categories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Notification Service owns: notifications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Foreign keys that cross domain boundaries (coupling to break later):</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orders.user_id → users.id (Order → User coupling)</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order_items.product_id → products.id (Order → Catalog coupling)</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payments.order_id → orders.id (Payment → Order coupling)</w:t>
      </w:r>
    </w:p>
    <w:p>
      <w:pPr>
        <w:pBdr>
          <w:left w:val="single" w:color="4A148C" w:sz="14"/>
        </w:pBdr>
        <w:shd w:fill="F5F5F5" w:val="clear"/>
        <w:spacing w:after="160"/>
        <w:ind w:left="360"/>
      </w:pPr>
      <w:r>
        <w:rPr>
          <w:rFonts w:ascii="Courier New" w:cs="Courier New" w:eastAsia="Courier New" w:hAnsi="Courier New"/>
          <w:color w:val="1A1A1A"/>
          <w:sz w:val="18"/>
          <w:szCs w:val="18"/>
        </w:rPr>
        <w:t xml:space="preserve">    reservations.order_id → orders.id (Inventory → Order coupling)</w:t>
      </w:r>
    </w:p>
    <w:p>
      <w:pPr>
        <w:pStyle w:val="Heading2"/>
        <w:spacing w:after="100" w:before="280"/>
      </w:pPr>
      <w:r>
        <w:rPr>
          <w:rFonts w:ascii="Arial" w:cs="Arial" w:eastAsia="Arial" w:hAnsi="Arial"/>
          <w:b/>
          <w:bCs/>
          <w:color w:val="1A3A5C"/>
          <w:sz w:val="28"/>
          <w:szCs w:val="28"/>
        </w:rPr>
        <w:t xml:space="preserve">8.3 Step 2: Rename Tables (Table per Service — Phase 1)</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Rename tables to service-prefixed convention (no data changes):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ALTER TABLE orders         RENAME TO order_svc_orders;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ALTER TABLE order_items    RENAME TO order_svc_items;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ALTER TABLE payments       RENAME TO payment_svc_payments;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ALTER TABLE refunds        RENAME TO payment_svc_refunds;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ALTER TABLE inventory      RENAME TO inventory_svc_stock;</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ALTER TABLE reservations   RENAME TO inventory_svc_reservations;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Update the monolith application code to use new table names.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This is a low-risk change — same DB, same queries, just new names.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Goal: make ownership visible in the code and database.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Track and eliminate cross-service JOINs: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Audit: SELECT * FROM pg_stat_statements WHERE query LIKE '%order_svc%payment_svc%'</w:t>
      </w:r>
    </w:p>
    <w:p>
      <w:pPr>
        <w:pBdr>
          <w:left w:val="single" w:color="4A148C" w:sz="14"/>
        </w:pBdr>
        <w:shd w:fill="F5F5F5" w:val="clear"/>
        <w:spacing w:after="160"/>
        <w:ind w:left="360"/>
      </w:pPr>
      <w:r>
        <w:rPr>
          <w:rFonts w:ascii="Courier New" w:cs="Courier New" w:eastAsia="Courier New" w:hAnsi="Courier New"/>
          <w:color w:val="1A1A1A"/>
          <w:sz w:val="18"/>
          <w:szCs w:val="18"/>
        </w:rPr>
        <w:t xml:space="preserve">-- Each cross-service JOIN must be replaced with an API call before Phase 2.</w:t>
      </w:r>
    </w:p>
    <w:p>
      <w:pPr>
        <w:pStyle w:val="Heading2"/>
        <w:spacing w:after="100" w:before="280"/>
      </w:pPr>
      <w:r>
        <w:rPr>
          <w:rFonts w:ascii="Arial" w:cs="Arial" w:eastAsia="Arial" w:hAnsi="Arial"/>
          <w:b/>
          <w:bCs/>
          <w:color w:val="1A3A5C"/>
          <w:sz w:val="28"/>
          <w:szCs w:val="28"/>
        </w:rPr>
        <w:t xml:space="preserve">8.4 Step 3: Separate into Schemas (Schema per Service — Phase 2)</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Create schemas for each service: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CREATE SCHEMA order_svc;</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CREATE SCHEMA payment_svc;</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CREATE SCHEMA inventory_svc;</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Move tables to their schemas: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ALTER TABLE public.order_svc_orders   SET SCHEMA order_svc;</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ALTER TABLE public.order_svc_items    SET SCHEMA order_svc;</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ALTER TABLE public.payment_svc_payments SET SCHEMA payment_svc;</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ALTER TABLE public.payment_svc_refunds  SET SCHEMA payment_svc;</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ALTER TABLE public.inventory_svc_stock  SET SCHEMA inventory_svc;</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Rename tables (remove service prefix now that schema provides context):</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ALTER TABLE order_svc.order_svc_orders  RENAME TO orders;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ALTER TABLE payment_svc.payment_svc_payments RENAME TO payments;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Create dedicated users and set permissions (see Section 7.2)</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CREATE USER ord_app WITH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GRANT ... ON SCHEMA order_svc TO ord_app;</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Update service connection strings to use dedicated users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ORDER_SERVICE: connect as ord_app → can only see order_svc schema</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PAYMENT_SERVICE: connect as pay_app → can only see payment_svc schema</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160"/>
        <w:ind w:left="360"/>
      </w:pPr>
      <w:r>
        <w:rPr>
          <w:rFonts w:ascii="Courier New" w:cs="Courier New" w:eastAsia="Courier New" w:hAnsi="Courier New"/>
          <w:color w:val="1A1A1A"/>
          <w:sz w:val="18"/>
          <w:szCs w:val="18"/>
        </w:rPr>
        <w:t xml:space="preserve">-- Validation: verify ord_app cannot access pay_svc.payments</w:t>
      </w:r>
    </w:p>
    <w:p>
      <w:pPr>
        <w:pStyle w:val="Heading2"/>
        <w:spacing w:after="100" w:before="280"/>
      </w:pPr>
      <w:r>
        <w:rPr>
          <w:rFonts w:ascii="Arial" w:cs="Arial" w:eastAsia="Arial" w:hAnsi="Arial"/>
          <w:b/>
          <w:bCs/>
          <w:color w:val="1A3A5C"/>
          <w:sz w:val="28"/>
          <w:szCs w:val="28"/>
        </w:rPr>
        <w:t xml:space="preserve">8.5 Step 4: Extract to Private Databases (Phase 3)</w:t>
      </w:r>
    </w:p>
    <w:p>
      <w:pPr>
        <w:spacing w:after="160"/>
      </w:pPr>
      <w:r>
        <w:rPr>
          <w:rFonts w:ascii="Arial" w:cs="Arial" w:eastAsia="Arial" w:hAnsi="Arial"/>
          <w:b w:val="false"/>
          <w:bCs w:val="false"/>
          <w:color w:val="333333"/>
          <w:sz w:val="22"/>
          <w:szCs w:val="22"/>
        </w:rPr>
        <w:t xml:space="preserve">When a service is ready for full isolation — typically when it has scaling needs that differ from other services, or when it wants to adopt a different database technology — extract it to its own database instance.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Migration of Payment Service to its own PostgreSQL instance: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1. Provision new PostgreSQL instance for Payment Service: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AWS RDS PostgreSQL t3.medium with encryption at rest</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VPC security group: only allows connections from payment-service pods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2. Set up Payment Service schema on new instance: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pg_dump --schema payment_svc old_db | psql new_payments_db</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3. Enable logical replication for zero-downtime migration:</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On old DB: create publication</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CREATE PUBLICATION payment_migration FOR TABLES IN SCHEMA payment_svc;</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On new DB: create subscription (syncs all data, then keeps in sync)</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CREATE SUBSCRIPTION payment_migration_sub</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CONNECTION 'host=old_db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PUBLICATION payment_migration;</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4. Cutover:</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Update Payment Service environment variable: DATABASE_URL → new DB</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Deploy Payment Service (rolling restart — uses new DB)</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Remove subscription on new DB (no longer replicating from old)</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Drop payment_svc schema from old DB</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5. Repeat for each service as needed.</w:t>
      </w:r>
    </w:p>
    <w:p>
      <w:pPr>
        <w:pBdr>
          <w:left w:val="single" w:color="4A148C" w:sz="14"/>
        </w:pBdr>
        <w:shd w:fill="F5F5F5" w:val="clear"/>
        <w:spacing w:after="160"/>
        <w:ind w:left="360"/>
      </w:pPr>
      <w:r>
        <w:rPr>
          <w:rFonts w:ascii="Courier New" w:cs="Courier New" w:eastAsia="Courier New" w:hAnsi="Courier New"/>
          <w:color w:val="1A1A1A"/>
          <w:sz w:val="18"/>
          <w:szCs w:val="18"/>
        </w:rPr>
        <w:t xml:space="preserve">   Services not yet migrated continue using the schema-per-service DB.</w:t>
      </w:r>
    </w:p>
    <w:p>
      <w:r>
        <w:br w:type="page"/>
      </w:r>
    </w:p>
    <w:p>
      <w:pPr>
        <w:pStyle w:val="Heading1"/>
        <w:spacing w:after="120" w:before="360"/>
      </w:pPr>
      <w:r>
        <w:rPr>
          <w:rFonts w:ascii="Arial" w:cs="Arial" w:eastAsia="Arial" w:hAnsi="Arial"/>
          <w:b/>
          <w:bCs/>
          <w:color w:val="0D1B2A"/>
          <w:sz w:val="40"/>
          <w:szCs w:val="40"/>
        </w:rPr>
        <w:t xml:space="preserve">9. Module 2 Study Review</w:t>
      </w:r>
    </w:p>
    <w:p>
      <w:pPr>
        <w:pBdr>
          <w:bottom w:val="single" w:color="1A3A5C" w:sz="8" w:space="1"/>
        </w:pBdr>
        <w:spacing w:after="160"/>
      </w:pPr>
    </w:p>
    <w:p>
      <w:pPr>
        <w:pStyle w:val="Heading2"/>
        <w:spacing w:after="100" w:before="280"/>
      </w:pPr>
      <w:r>
        <w:rPr>
          <w:rFonts w:ascii="Arial" w:cs="Arial" w:eastAsia="Arial" w:hAnsi="Arial"/>
          <w:b/>
          <w:bCs/>
          <w:color w:val="1A3A5C"/>
          <w:sz w:val="28"/>
          <w:szCs w:val="28"/>
        </w:rPr>
        <w:t xml:space="preserve">9.1 Quick Reference</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400"/>
        <w:gridCol w:w="1600"/>
        <w:gridCol w:w="2400"/>
        <w:gridCol w:w="3160"/>
      </w:tblGrid>
      <w:tr>
        <w:trPr>
          <w:tblHeader/>
        </w:trPr>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Strategy</w:t>
            </w:r>
          </w:p>
        </w:tc>
        <w:tc>
          <w:tcPr>
            <w:tcW w:type="dxa" w:w="20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Isolation</w:t>
            </w:r>
          </w:p>
        </w:tc>
        <w:tc>
          <w:tcPr>
            <w:tcW w:type="dxa" w:w="1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Cost</w:t>
            </w:r>
          </w:p>
        </w:tc>
        <w:tc>
          <w:tcPr>
            <w:tcW w:type="dxa" w:w="16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Tech Freedom</w:t>
            </w:r>
          </w:p>
        </w:tc>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Cross-Service Queries</w:t>
            </w:r>
          </w:p>
        </w:tc>
        <w:tc>
          <w:tcPr>
            <w:tcW w:type="dxa" w:w="31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Right For</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1. Private DB</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Maximum — infrastructure</w:t>
            </w:r>
          </w:p>
        </w:tc>
        <w:tc>
          <w:tcPr>
            <w:tcW w:type="dxa" w:w="1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Highest</w:t>
            </w:r>
          </w:p>
        </w:tc>
        <w:tc>
          <w:tcPr>
            <w:tcW w:type="dxa" w:w="1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 polyglot</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Impossible (different servers)</w:t>
            </w:r>
          </w:p>
        </w:tc>
        <w:tc>
          <w:tcPr>
            <w:tcW w:type="dxa" w:w="3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Production microservices; target state</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2. Schema per Svc</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Medium — DB permissions</w:t>
            </w:r>
          </w:p>
        </w:tc>
        <w:tc>
          <w:tcPr>
            <w:tcW w:type="dxa" w:w="1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Medium</w:t>
            </w:r>
          </w:p>
        </w:tc>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 — same engine</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Prevented (permission denied)</w:t>
            </w:r>
          </w:p>
        </w:tc>
        <w:tc>
          <w:tcPr>
            <w:tcW w:type="dxa" w:w="3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Cost-constrained teams; good medium-term state</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3. Table per Svc</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None — naming only</w:t>
            </w:r>
          </w:p>
        </w:tc>
        <w:tc>
          <w:tcPr>
            <w:tcW w:type="dxa" w:w="1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Lowest</w:t>
            </w:r>
          </w:p>
        </w:tc>
        <w:tc>
          <w:tcPr>
            <w:tcW w:type="dxa" w:w="1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 — same engine</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Trivially easy (same schema)</w:t>
            </w:r>
          </w:p>
        </w:tc>
        <w:tc>
          <w:tcPr>
            <w:tcW w:type="dxa" w:w="3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Migration stepping stone ONLY; never permanent</w:t>
            </w:r>
          </w:p>
        </w:tc>
      </w:tr>
    </w:tbl>
    <w:p>
      <w:pPr>
        <w:spacing w:after="0" w:before="80"/>
      </w:pPr>
      <w:r>
        <w:t xml:space="preserve"/>
      </w:r>
    </w:p>
    <w:p>
      <w:pPr>
        <w:pStyle w:val="Heading2"/>
        <w:spacing w:after="100" w:before="280"/>
      </w:pPr>
      <w:r>
        <w:rPr>
          <w:rFonts w:ascii="Arial" w:cs="Arial" w:eastAsia="Arial" w:hAnsi="Arial"/>
          <w:b/>
          <w:bCs/>
          <w:color w:val="1A3A5C"/>
          <w:sz w:val="28"/>
          <w:szCs w:val="28"/>
        </w:rPr>
        <w:t xml:space="preserve">9.2 Practice Questions</w:t>
      </w:r>
    </w:p>
    <w:p>
      <w:pPr>
        <w:spacing w:after="80"/>
      </w:pPr>
      <w:r>
        <w:rPr>
          <w:rFonts w:ascii="Arial" w:cs="Arial" w:eastAsia="Arial" w:hAnsi="Arial"/>
          <w:b/>
          <w:bCs/>
          <w:color w:val="1A3A5C"/>
          <w:sz w:val="22"/>
          <w:szCs w:val="22"/>
        </w:rPr>
        <w:t xml:space="preserve">Q1: </w:t>
      </w:r>
      <w:r>
        <w:rPr>
          <w:rFonts w:ascii="Arial" w:cs="Arial" w:eastAsia="Arial" w:hAnsi="Arial"/>
          <w:b/>
          <w:bCs/>
          <w:color w:val="222222"/>
          <w:sz w:val="22"/>
          <w:szCs w:val="22"/>
        </w:rPr>
        <w:t xml:space="preserve">Describe the three database-per-service implementation strategies. What is the isolation mechanism for each, and what is the main risk?</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Strategy 1 (Private Database per Service): each service has a dedicated database instance — a completely separate server. Isolation mechanism: physical infrastructure separation. No shared CPU, memory, connections, or storage. A failure in one database cannot affect another. The main risk is cost: running N database instances is significantly more expensive than one, and each requires its own operational overhead (backups, monitoring, patching, credentials management). Strategy 2 (Schema per Service): all services share a single database server, but each service has its own named schema within that server. Isolation mechanism: database permissions — each service has a dedicated database user with GRANT access only to its own schema. Attempting to query another service's schema returns a permission denied error. The main risk is the cross-schema JOIN temptation: a developer with elevated privileges (DBA, migration user, or a misconfigured application user) can write a JOIN across schemas. This works at the database level and creates schema coupling without any technical error. Strategy 3 (Table per Service): all services share a single database server and a single schema. Service ownership is indicated only by a table naming convention (order_svc_orders, payment_svc_payments). Isolation mechanism: none — social convention only. The main risk is that cross-service JOINs are trivially easy to write and will always be written under deadline pressure. This strategy erodes to a distributed monolith without deliberate effort to prevent it.</w:t>
      </w:r>
    </w:p>
    <w:p>
      <w:pPr>
        <w:spacing w:after="0" w:before="80"/>
      </w:pPr>
      <w:r>
        <w:t xml:space="preserve"/>
      </w:r>
    </w:p>
    <w:p>
      <w:pPr>
        <w:spacing w:after="80"/>
      </w:pPr>
      <w:r>
        <w:rPr>
          <w:rFonts w:ascii="Arial" w:cs="Arial" w:eastAsia="Arial" w:hAnsi="Arial"/>
          <w:b/>
          <w:bCs/>
          <w:color w:val="1A3A5C"/>
          <w:sz w:val="22"/>
          <w:szCs w:val="22"/>
        </w:rPr>
        <w:t xml:space="preserve">Q2: </w:t>
      </w:r>
      <w:r>
        <w:rPr>
          <w:rFonts w:ascii="Arial" w:cs="Arial" w:eastAsia="Arial" w:hAnsi="Arial"/>
          <w:b/>
          <w:bCs/>
          <w:color w:val="222222"/>
          <w:sz w:val="22"/>
          <w:szCs w:val="22"/>
        </w:rPr>
        <w:t xml:space="preserve">What is the 'cross-schema JOIN temptation' in schema-per-service? Why is it so dangerous even though it technically works?</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The cross-schema JOIN temptation occurs when a developer writes a SQL query that JOINs tables from two different service schemas — for example, joining ord_svc.orders with pay_svc.payments to get payment status alongside order data. It is tempting because it is fast (one database query, no network call), it solves an immediate problem (need both datasets together), and it works without any error. It is dangerous for four reasons: (1) It creates schema coupling: the query now embeds column names from both schemas. If Payment Service renames the status column, the query breaks. This is the same coupling problem that database-per-service was designed to prevent. (2) It blocks migration to private databases: once a cross-schema JOIN exists, you cannot move either service to its own database without first finding and rewriting the query. The services are now de facto coupled at the database level. (3) It is invisible: unlike an API contract (which has a URL, a documented schema, and potentially a version), the cross-schema JOIN is just SQL inside application code or a reporting script. It will not appear in any service dependency map. It is discovered only when someone tries to separate the databases and the query breaks. (4) It compounds: one cross-schema JOIN establishes a precedent. Other developers follow the pattern. Over time, dozens of cross-schema JOINs exist across multiple services, and the system has become a distributed monolith despite technically having schema-per-service.</w:t>
      </w:r>
    </w:p>
    <w:p>
      <w:pPr>
        <w:spacing w:after="0" w:before="80"/>
      </w:pPr>
      <w:r>
        <w:t xml:space="preserve"/>
      </w:r>
    </w:p>
    <w:p>
      <w:pPr>
        <w:spacing w:after="80"/>
      </w:pPr>
      <w:r>
        <w:rPr>
          <w:rFonts w:ascii="Arial" w:cs="Arial" w:eastAsia="Arial" w:hAnsi="Arial"/>
          <w:b/>
          <w:bCs/>
          <w:color w:val="1A3A5C"/>
          <w:sz w:val="22"/>
          <w:szCs w:val="22"/>
        </w:rPr>
        <w:t xml:space="preserve">Q3: </w:t>
      </w:r>
      <w:r>
        <w:rPr>
          <w:rFonts w:ascii="Arial" w:cs="Arial" w:eastAsia="Arial" w:hAnsi="Arial"/>
          <w:b/>
          <w:bCs/>
          <w:color w:val="222222"/>
          <w:sz w:val="22"/>
          <w:szCs w:val="22"/>
        </w:rPr>
        <w:t xml:space="preserve">Why is table-per-service called a 'stepping stone' rather than a valid permanent implementation? What is it good for and what must you do before moving to the next phase?</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Table-per-service is called a stepping stone because it provides no technical isolation — it is a naming convention, not an enforced boundary. Any developer with access to the shared schema can write a JOIN across any tables at any time, and it will work perfectly. The boundary exists only in documentation and team agreement, and social norms erode under deadline pressure. It is not a valid permanent implementation because: it has the same blast radius as a fully shared database (one outage takes down all services), it cannot support polyglot persistence (all services must use the same DB technology), and it cannot support independent scaling. What table-per-service IS good for: it is the first step of a monolith migration. Before any infrastructure changes, rename existing tables to include the owning service prefix (order_svc_orders, payment_svc_payments). This makes ownership visible in the codebase and database, enables domain analysis, and creates a clear map of which tables belong to which future service — all without any data migration risk. What you must do before moving to the next phase: identify and eliminate all cross-service JOINs. Every JOIN that spans two services' tables must be replaced with an API call. This is the prerequisite for moving to schema-per-service — if cross-service JOINs remain, moving to separate schemas will break those queries and cannot be done safely.</w:t>
      </w:r>
    </w:p>
    <w:p>
      <w:pPr>
        <w:spacing w:after="0" w:before="80"/>
      </w:pPr>
      <w:r>
        <w:t xml:space="preserve"/>
      </w:r>
    </w:p>
    <w:p>
      <w:pPr>
        <w:spacing w:after="80"/>
      </w:pPr>
      <w:r>
        <w:rPr>
          <w:rFonts w:ascii="Arial" w:cs="Arial" w:eastAsia="Arial" w:hAnsi="Arial"/>
          <w:b/>
          <w:bCs/>
          <w:color w:val="1A3A5C"/>
          <w:sz w:val="22"/>
          <w:szCs w:val="22"/>
        </w:rPr>
        <w:t xml:space="preserve">Q4: </w:t>
      </w:r>
      <w:r>
        <w:rPr>
          <w:rFonts w:ascii="Arial" w:cs="Arial" w:eastAsia="Arial" w:hAnsi="Arial"/>
          <w:b/>
          <w:bCs/>
          <w:color w:val="222222"/>
          <w:sz w:val="22"/>
          <w:szCs w:val="22"/>
        </w:rPr>
        <w:t xml:space="preserve">Describe the recommended migration path from a shared monolith database to private database per service. What happens at each phase?</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The recommended migration has four steps: (1) Domain boundary analysis (no DB changes): map which tables belong to which future service. Document cross-table foreign key dependencies that cross domain boundaries. This is purely intellectual work — no code or database changes. It creates the migration plan. (2) Table-per-service (rename tables): rename existing tables to include the owning service's prefix (ALTER TABLE orders RENAME TO order_svc_orders). Update application code to use new names. Begin identifying and eliminating cross-service JOINs, replacing each with an API call. This phase can be done with zero downtime and minimal risk — same database, same queries, just new names. Do not advance until all cross-service JOINs are eliminated. (3) Schema-per-service (logical separation): create a schema per service (CREATE SCHEMA order_svc), move tables into their schemas (ALTER TABLE SET SCHEMA), create dedicated database users per service with permissions only to their own schema, and update service connection strings. This enforces the boundary at the database permission level. Most teams stay here for months or years. (4) Private DB per service (infrastructure isolation): provision a dedicated database instance per service. Use logical replication for zero-downtime data migration. Update the service's DATABASE_URL to point to its new dedicated instance. Drop the service's schema from the shared server. This can be done one service at a time — each service migrates on its own schedule, independently of others.</w:t>
      </w:r>
    </w:p>
    <w:p>
      <w:pPr>
        <w:spacing w:after="0" w:before="80"/>
      </w:pPr>
      <w:r>
        <w:t xml:space="preserve"/>
      </w:r>
    </w:p>
    <w:p>
      <w:pPr>
        <w:spacing w:after="80"/>
      </w:pPr>
      <w:r>
        <w:rPr>
          <w:rFonts w:ascii="Arial" w:cs="Arial" w:eastAsia="Arial" w:hAnsi="Arial"/>
          <w:b/>
          <w:bCs/>
          <w:color w:val="1A3A5C"/>
          <w:sz w:val="22"/>
          <w:szCs w:val="22"/>
        </w:rPr>
        <w:t xml:space="preserve">Q5: </w:t>
      </w:r>
      <w:r>
        <w:rPr>
          <w:rFonts w:ascii="Arial" w:cs="Arial" w:eastAsia="Arial" w:hAnsi="Arial"/>
          <w:b/>
          <w:bCs/>
          <w:color w:val="222222"/>
          <w:sz w:val="22"/>
          <w:szCs w:val="22"/>
        </w:rPr>
        <w:t xml:space="preserve">For a startup with 5 engineers building an e-commerce platform, which strategy should they start with and why? What would trigger them to move to a different strategy?</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A startup with 5 engineers should start with schema-per-service rather than private database per service. Reasoning: private-DB-per-service is the ideal end state but its operational overhead — managing N database instances, separate backups, separate monitoring, separate credentials rotation — exceeds the capacity of a 5-person team. Schema-per-service provides genuinely enforced permission-based isolation (service A's code literally cannot query service B's tables) while requiring only one database server to operate. Table-per-service is not recommended even for a small team as a starting point unless they are actively migrating from a monolith — it provides no technical enforcement and is almost guaranteed to become a distributed monolith. What would trigger a move to private-DB-per-service: (1) A service develops a load profile that is dramatically different from others — e.g., the Product Catalog gets 10x more reads than other services during a sale; adding read replicas to the shared server is expensive and inefficient. (2) A service has regulatory requirements that mandate physical data isolation — e.g., a payments service needing PCI-DSS compliance that requires isolated database infrastructure. (3) A service wants to adopt a different database technology — e.g., moving to Elasticsearch for search or Redis for session management. (4) The team grows to have a platform engineering function capable of managing multiple database instances. Any individual service can be migrated to private-DB while others remain on schema-per-service — the migration is per-service, not all-or-nothing.</w:t>
      </w:r>
    </w:p>
    <w:p>
      <w:pPr>
        <w:spacing w:after="0" w:before="80"/>
      </w:pPr>
      <w:r>
        <w:t xml:space="preserve"/>
      </w:r>
    </w:p>
    <w:p>
      <w:r>
        <w:br w:type="page"/>
      </w:r>
    </w:p>
    <w:p>
      <w:pPr>
        <w:pStyle w:val="Heading1"/>
        <w:spacing w:after="120" w:before="360"/>
      </w:pPr>
      <w:r>
        <w:rPr>
          <w:rFonts w:ascii="Arial" w:cs="Arial" w:eastAsia="Arial" w:hAnsi="Arial"/>
          <w:b/>
          <w:bCs/>
          <w:color w:val="0D1B2A"/>
          <w:sz w:val="40"/>
          <w:szCs w:val="40"/>
        </w:rPr>
        <w:t xml:space="preserve">10. Glossary — Module 2 Terms</w:t>
      </w:r>
    </w:p>
    <w:p>
      <w:pPr>
        <w:pBdr>
          <w:bottom w:val="single" w:color="1A3A5C" w:sz="8" w:space="1"/>
        </w:pBdr>
        <w:spacing w:after="160"/>
      </w:pPr>
    </w:p>
    <w:p>
      <w:pPr>
        <w:spacing w:after="100"/>
      </w:pPr>
      <w:r>
        <w:rPr>
          <w:rFonts w:ascii="Arial" w:cs="Arial" w:eastAsia="Arial" w:hAnsi="Arial"/>
          <w:b/>
          <w:bCs/>
          <w:color w:val="0D1B2A"/>
          <w:sz w:val="22"/>
          <w:szCs w:val="22"/>
        </w:rPr>
        <w:t xml:space="preserve">Private Database per Service: </w:t>
      </w:r>
      <w:r>
        <w:rPr>
          <w:rFonts w:ascii="Arial" w:cs="Arial" w:eastAsia="Arial" w:hAnsi="Arial"/>
          <w:b w:val="false"/>
          <w:bCs w:val="false"/>
          <w:color w:val="333333"/>
          <w:sz w:val="22"/>
          <w:szCs w:val="22"/>
        </w:rPr>
        <w:t xml:space="preserve">Implementation Strategy 1: each service has its own dedicated database instance. Strongest isolation; highest cost; enables polyglot persistence.</w:t>
      </w:r>
    </w:p>
    <w:p>
      <w:pPr>
        <w:spacing w:after="100"/>
      </w:pPr>
      <w:r>
        <w:rPr>
          <w:rFonts w:ascii="Arial" w:cs="Arial" w:eastAsia="Arial" w:hAnsi="Arial"/>
          <w:b/>
          <w:bCs/>
          <w:color w:val="0D1B2A"/>
          <w:sz w:val="22"/>
          <w:szCs w:val="22"/>
        </w:rPr>
        <w:t xml:space="preserve">Schema per Service: </w:t>
      </w:r>
      <w:r>
        <w:rPr>
          <w:rFonts w:ascii="Arial" w:cs="Arial" w:eastAsia="Arial" w:hAnsi="Arial"/>
          <w:b w:val="false"/>
          <w:bCs w:val="false"/>
          <w:color w:val="333333"/>
          <w:sz w:val="22"/>
          <w:szCs w:val="22"/>
        </w:rPr>
        <w:t xml:space="preserve">Implementation Strategy 2: services share a database server but each has its own named schema. Logical isolation enforced by database permissions.</w:t>
      </w:r>
    </w:p>
    <w:p>
      <w:pPr>
        <w:spacing w:after="100"/>
      </w:pPr>
      <w:r>
        <w:rPr>
          <w:rFonts w:ascii="Arial" w:cs="Arial" w:eastAsia="Arial" w:hAnsi="Arial"/>
          <w:b/>
          <w:bCs/>
          <w:color w:val="0D1B2A"/>
          <w:sz w:val="22"/>
          <w:szCs w:val="22"/>
        </w:rPr>
        <w:t xml:space="preserve">Table per Service: </w:t>
      </w:r>
      <w:r>
        <w:rPr>
          <w:rFonts w:ascii="Arial" w:cs="Arial" w:eastAsia="Arial" w:hAnsi="Arial"/>
          <w:b w:val="false"/>
          <w:bCs w:val="false"/>
          <w:color w:val="333333"/>
          <w:sz w:val="22"/>
          <w:szCs w:val="22"/>
        </w:rPr>
        <w:t xml:space="preserve">Implementation Strategy 3: services share a database server and schema; ownership indicated only by table naming convention. Weakest isolation; stepping stone only.</w:t>
      </w:r>
    </w:p>
    <w:p>
      <w:pPr>
        <w:spacing w:after="100"/>
      </w:pPr>
      <w:r>
        <w:rPr>
          <w:rFonts w:ascii="Arial" w:cs="Arial" w:eastAsia="Arial" w:hAnsi="Arial"/>
          <w:b/>
          <w:bCs/>
          <w:color w:val="0D1B2A"/>
          <w:sz w:val="22"/>
          <w:szCs w:val="22"/>
        </w:rPr>
        <w:t xml:space="preserve">Database schema: </w:t>
      </w:r>
      <w:r>
        <w:rPr>
          <w:rFonts w:ascii="Arial" w:cs="Arial" w:eastAsia="Arial" w:hAnsi="Arial"/>
          <w:b w:val="false"/>
          <w:bCs w:val="false"/>
          <w:color w:val="333333"/>
          <w:sz w:val="22"/>
          <w:szCs w:val="22"/>
        </w:rPr>
        <w:t xml:space="preserve">A named namespace within a database that groups related tables, views, and functions. In PostgreSQL: CREATE SCHEMA schema_name.</w:t>
      </w:r>
    </w:p>
    <w:p>
      <w:pPr>
        <w:spacing w:after="100"/>
      </w:pPr>
      <w:r>
        <w:rPr>
          <w:rFonts w:ascii="Arial" w:cs="Arial" w:eastAsia="Arial" w:hAnsi="Arial"/>
          <w:b/>
          <w:bCs/>
          <w:color w:val="0D1B2A"/>
          <w:sz w:val="22"/>
          <w:szCs w:val="22"/>
        </w:rPr>
        <w:t xml:space="preserve">Schema isolation: </w:t>
      </w:r>
      <w:r>
        <w:rPr>
          <w:rFonts w:ascii="Arial" w:cs="Arial" w:eastAsia="Arial" w:hAnsi="Arial"/>
          <w:b w:val="false"/>
          <w:bCs w:val="false"/>
          <w:color w:val="333333"/>
          <w:sz w:val="22"/>
          <w:szCs w:val="22"/>
        </w:rPr>
        <w:t xml:space="preserve">Using database schemas and permissions to logically separate one service's data from another's within the same database server.</w:t>
      </w:r>
    </w:p>
    <w:p>
      <w:pPr>
        <w:spacing w:after="100"/>
      </w:pPr>
      <w:r>
        <w:rPr>
          <w:rFonts w:ascii="Arial" w:cs="Arial" w:eastAsia="Arial" w:hAnsi="Arial"/>
          <w:b/>
          <w:bCs/>
          <w:color w:val="0D1B2A"/>
          <w:sz w:val="22"/>
          <w:szCs w:val="22"/>
        </w:rPr>
        <w:t xml:space="preserve">GRANT / REVOKE: </w:t>
      </w:r>
      <w:r>
        <w:rPr>
          <w:rFonts w:ascii="Arial" w:cs="Arial" w:eastAsia="Arial" w:hAnsi="Arial"/>
          <w:b w:val="false"/>
          <w:bCs w:val="false"/>
          <w:color w:val="333333"/>
          <w:sz w:val="22"/>
          <w:szCs w:val="22"/>
        </w:rPr>
        <w:t xml:space="preserve">SQL commands for managing database permissions. GRANT gives a user access to a schema or table; REVOKE removes it.</w:t>
      </w:r>
    </w:p>
    <w:p>
      <w:pPr>
        <w:spacing w:after="100"/>
      </w:pPr>
      <w:r>
        <w:rPr>
          <w:rFonts w:ascii="Arial" w:cs="Arial" w:eastAsia="Arial" w:hAnsi="Arial"/>
          <w:b/>
          <w:bCs/>
          <w:color w:val="0D1B2A"/>
          <w:sz w:val="22"/>
          <w:szCs w:val="22"/>
        </w:rPr>
        <w:t xml:space="preserve">search_path: </w:t>
      </w:r>
      <w:r>
        <w:rPr>
          <w:rFonts w:ascii="Arial" w:cs="Arial" w:eastAsia="Arial" w:hAnsi="Arial"/>
          <w:b w:val="false"/>
          <w:bCs w:val="false"/>
          <w:color w:val="333333"/>
          <w:sz w:val="22"/>
          <w:szCs w:val="22"/>
        </w:rPr>
        <w:t xml:space="preserve">PostgreSQL setting that determines the default schema for unqualified table references. Set per user to ensure service code resolves tables to its own schema.</w:t>
      </w:r>
    </w:p>
    <w:p>
      <w:pPr>
        <w:spacing w:after="100"/>
      </w:pPr>
      <w:r>
        <w:rPr>
          <w:rFonts w:ascii="Arial" w:cs="Arial" w:eastAsia="Arial" w:hAnsi="Arial"/>
          <w:b/>
          <w:bCs/>
          <w:color w:val="0D1B2A"/>
          <w:sz w:val="22"/>
          <w:szCs w:val="22"/>
        </w:rPr>
        <w:t xml:space="preserve">pg_audit: </w:t>
      </w:r>
      <w:r>
        <w:rPr>
          <w:rFonts w:ascii="Arial" w:cs="Arial" w:eastAsia="Arial" w:hAnsi="Arial"/>
          <w:b w:val="false"/>
          <w:bCs w:val="false"/>
          <w:color w:val="333333"/>
          <w:sz w:val="22"/>
          <w:szCs w:val="22"/>
        </w:rPr>
        <w:t xml:space="preserve">PostgreSQL extension for comprehensive audit logging. Used to detect cross-schema access attempts in schema-per-service deployments.</w:t>
      </w:r>
    </w:p>
    <w:p>
      <w:pPr>
        <w:spacing w:after="100"/>
      </w:pPr>
      <w:r>
        <w:rPr>
          <w:rFonts w:ascii="Arial" w:cs="Arial" w:eastAsia="Arial" w:hAnsi="Arial"/>
          <w:b/>
          <w:bCs/>
          <w:color w:val="0D1B2A"/>
          <w:sz w:val="22"/>
          <w:szCs w:val="22"/>
        </w:rPr>
        <w:t xml:space="preserve">Cross-schema JOIN: </w:t>
      </w:r>
      <w:r>
        <w:rPr>
          <w:rFonts w:ascii="Arial" w:cs="Arial" w:eastAsia="Arial" w:hAnsi="Arial"/>
          <w:b w:val="false"/>
          <w:bCs w:val="false"/>
          <w:color w:val="333333"/>
          <w:sz w:val="22"/>
          <w:szCs w:val="22"/>
        </w:rPr>
        <w:t xml:space="preserve">A SQL query that JOINs tables from two different schemas. Represents a boundary violation in schema-per-service architecture.</w:t>
      </w:r>
    </w:p>
    <w:p>
      <w:pPr>
        <w:spacing w:after="100"/>
      </w:pPr>
      <w:r>
        <w:rPr>
          <w:rFonts w:ascii="Arial" w:cs="Arial" w:eastAsia="Arial" w:hAnsi="Arial"/>
          <w:b/>
          <w:bCs/>
          <w:color w:val="0D1B2A"/>
          <w:sz w:val="22"/>
          <w:szCs w:val="22"/>
        </w:rPr>
        <w:t xml:space="preserve">Polyglot persistence: </w:t>
      </w:r>
      <w:r>
        <w:rPr>
          <w:rFonts w:ascii="Arial" w:cs="Arial" w:eastAsia="Arial" w:hAnsi="Arial"/>
          <w:b w:val="false"/>
          <w:bCs w:val="false"/>
          <w:color w:val="333333"/>
          <w:sz w:val="22"/>
          <w:szCs w:val="22"/>
        </w:rPr>
        <w:t xml:space="preserve">Using different database technologies for different services, each chosen for its workload. Only possible with private DB per service.</w:t>
      </w:r>
    </w:p>
    <w:p>
      <w:pPr>
        <w:spacing w:after="100"/>
      </w:pPr>
      <w:r>
        <w:rPr>
          <w:rFonts w:ascii="Arial" w:cs="Arial" w:eastAsia="Arial" w:hAnsi="Arial"/>
          <w:b/>
          <w:bCs/>
          <w:color w:val="0D1B2A"/>
          <w:sz w:val="22"/>
          <w:szCs w:val="22"/>
        </w:rPr>
        <w:t xml:space="preserve">Blast radius: </w:t>
      </w:r>
      <w:r>
        <w:rPr>
          <w:rFonts w:ascii="Arial" w:cs="Arial" w:eastAsia="Arial" w:hAnsi="Arial"/>
          <w:b w:val="false"/>
          <w:bCs w:val="false"/>
          <w:color w:val="333333"/>
          <w:sz w:val="22"/>
          <w:szCs w:val="22"/>
        </w:rPr>
        <w:t xml:space="preserve">The scope of impact when a component fails. Private DB per service has the smallest blast radius; shared DB has the largest.</w:t>
      </w:r>
    </w:p>
    <w:p>
      <w:pPr>
        <w:spacing w:after="100"/>
      </w:pPr>
      <w:r>
        <w:rPr>
          <w:rFonts w:ascii="Arial" w:cs="Arial" w:eastAsia="Arial" w:hAnsi="Arial"/>
          <w:b/>
          <w:bCs/>
          <w:color w:val="0D1B2A"/>
          <w:sz w:val="22"/>
          <w:szCs w:val="22"/>
        </w:rPr>
        <w:t xml:space="preserve">SPOF (Single Point of Failure): </w:t>
      </w:r>
      <w:r>
        <w:rPr>
          <w:rFonts w:ascii="Arial" w:cs="Arial" w:eastAsia="Arial" w:hAnsi="Arial"/>
          <w:b w:val="false"/>
          <w:bCs w:val="false"/>
          <w:color w:val="333333"/>
          <w:sz w:val="22"/>
          <w:szCs w:val="22"/>
        </w:rPr>
        <w:t xml:space="preserve">A component whose failure brings down the entire system. A shared database server is a SPOF for all services using it.</w:t>
      </w:r>
    </w:p>
    <w:p>
      <w:pPr>
        <w:spacing w:after="100"/>
      </w:pPr>
      <w:r>
        <w:rPr>
          <w:rFonts w:ascii="Arial" w:cs="Arial" w:eastAsia="Arial" w:hAnsi="Arial"/>
          <w:b/>
          <w:bCs/>
          <w:color w:val="0D1B2A"/>
          <w:sz w:val="22"/>
          <w:szCs w:val="22"/>
        </w:rPr>
        <w:t xml:space="preserve">Kubernetes NetworkPolicy: </w:t>
      </w:r>
      <w:r>
        <w:rPr>
          <w:rFonts w:ascii="Arial" w:cs="Arial" w:eastAsia="Arial" w:hAnsi="Arial"/>
          <w:b w:val="false"/>
          <w:bCs w:val="false"/>
          <w:color w:val="333333"/>
          <w:sz w:val="22"/>
          <w:szCs w:val="22"/>
        </w:rPr>
        <w:t xml:space="preserve">A Kubernetes resource restricting pod-to-pod communication. Used to enforce private-DB isolation by allowing only the owning service's pods to reach its database.</w:t>
      </w:r>
    </w:p>
    <w:p>
      <w:pPr>
        <w:spacing w:after="100"/>
      </w:pPr>
      <w:r>
        <w:rPr>
          <w:rFonts w:ascii="Arial" w:cs="Arial" w:eastAsia="Arial" w:hAnsi="Arial"/>
          <w:b/>
          <w:bCs/>
          <w:color w:val="0D1B2A"/>
          <w:sz w:val="22"/>
          <w:szCs w:val="22"/>
        </w:rPr>
        <w:t xml:space="preserve">Logical replication (PostgreSQL): </w:t>
      </w:r>
      <w:r>
        <w:rPr>
          <w:rFonts w:ascii="Arial" w:cs="Arial" w:eastAsia="Arial" w:hAnsi="Arial"/>
          <w:b w:val="false"/>
          <w:bCs w:val="false"/>
          <w:color w:val="333333"/>
          <w:sz w:val="22"/>
          <w:szCs w:val="22"/>
        </w:rPr>
        <w:t xml:space="preserve">A mechanism for replicating specific tables or schemas between PostgreSQL instances, used for zero-downtime database migration.</w:t>
      </w:r>
    </w:p>
    <w:p>
      <w:pPr>
        <w:spacing w:after="100"/>
      </w:pPr>
      <w:r>
        <w:rPr>
          <w:rFonts w:ascii="Arial" w:cs="Arial" w:eastAsia="Arial" w:hAnsi="Arial"/>
          <w:b/>
          <w:bCs/>
          <w:color w:val="0D1B2A"/>
          <w:sz w:val="22"/>
          <w:szCs w:val="22"/>
        </w:rPr>
        <w:t xml:space="preserve">Expand/contract migration: </w:t>
      </w:r>
      <w:r>
        <w:rPr>
          <w:rFonts w:ascii="Arial" w:cs="Arial" w:eastAsia="Arial" w:hAnsi="Arial"/>
          <w:b w:val="false"/>
          <w:bCs w:val="false"/>
          <w:color w:val="333333"/>
          <w:sz w:val="22"/>
          <w:szCs w:val="22"/>
        </w:rPr>
        <w:t xml:space="preserve">A safe database migration pattern within a single service: add new schema shape, deploy code supporting both, then remove old shape.</w:t>
      </w:r>
    </w:p>
    <w:p>
      <w:pPr>
        <w:spacing w:after="100"/>
      </w:pPr>
      <w:r>
        <w:rPr>
          <w:rFonts w:ascii="Arial" w:cs="Arial" w:eastAsia="Arial" w:hAnsi="Arial"/>
          <w:b/>
          <w:bCs/>
          <w:color w:val="0D1B2A"/>
          <w:sz w:val="22"/>
          <w:szCs w:val="22"/>
        </w:rPr>
        <w:t xml:space="preserve">Architecture fitness function: </w:t>
      </w:r>
      <w:r>
        <w:rPr>
          <w:rFonts w:ascii="Arial" w:cs="Arial" w:eastAsia="Arial" w:hAnsi="Arial"/>
          <w:b w:val="false"/>
          <w:bCs w:val="false"/>
          <w:color w:val="333333"/>
          <w:sz w:val="22"/>
          <w:szCs w:val="22"/>
        </w:rPr>
        <w:t xml:space="preserve">An automated test in CI that enforces architectural rules — e.g., scanning for cross-service database references and failing the build if found.</w:t>
      </w:r>
    </w:p>
    <w:p>
      <w:pPr>
        <w:spacing w:after="100"/>
      </w:pPr>
      <w:r>
        <w:rPr>
          <w:rFonts w:ascii="Arial" w:cs="Arial" w:eastAsia="Arial" w:hAnsi="Arial"/>
          <w:b/>
          <w:bCs/>
          <w:color w:val="0D1B2A"/>
          <w:sz w:val="22"/>
          <w:szCs w:val="22"/>
        </w:rPr>
        <w:t xml:space="preserve">Domain boundary analysis: </w:t>
      </w:r>
      <w:r>
        <w:rPr>
          <w:rFonts w:ascii="Arial" w:cs="Arial" w:eastAsia="Arial" w:hAnsi="Arial"/>
          <w:b w:val="false"/>
          <w:bCs w:val="false"/>
          <w:color w:val="333333"/>
          <w:sz w:val="22"/>
          <w:szCs w:val="22"/>
        </w:rPr>
        <w:t xml:space="preserve">The process of mapping which tables in a monolith database belong to which future service's domain, before any code or database changes.</w:t>
      </w:r>
    </w:p>
    <w:p>
      <w:pPr>
        <w:spacing w:after="100"/>
      </w:pPr>
      <w:r>
        <w:rPr>
          <w:rFonts w:ascii="Arial" w:cs="Arial" w:eastAsia="Arial" w:hAnsi="Arial"/>
          <w:b/>
          <w:bCs/>
          <w:color w:val="0D1B2A"/>
          <w:sz w:val="22"/>
          <w:szCs w:val="22"/>
        </w:rPr>
        <w:t xml:space="preserve">Stepping stone: </w:t>
      </w:r>
      <w:r>
        <w:rPr>
          <w:rFonts w:ascii="Arial" w:cs="Arial" w:eastAsia="Arial" w:hAnsi="Arial"/>
          <w:b w:val="false"/>
          <w:bCs w:val="false"/>
          <w:color w:val="333333"/>
          <w:sz w:val="22"/>
          <w:szCs w:val="22"/>
        </w:rPr>
        <w:t xml:space="preserve">A temporary intermediate state in a migration, acceptable only if there is a committed plan and timeline to advance to the next state.</w:t>
      </w:r>
    </w:p>
    <w:p>
      <w:pPr>
        <w:spacing w:after="100"/>
      </w:pPr>
      <w:r>
        <w:rPr>
          <w:rFonts w:ascii="Arial" w:cs="Arial" w:eastAsia="Arial" w:hAnsi="Arial"/>
          <w:b/>
          <w:bCs/>
          <w:color w:val="0D1B2A"/>
          <w:sz w:val="22"/>
          <w:szCs w:val="22"/>
        </w:rPr>
        <w:t xml:space="preserve">PgBouncer: </w:t>
      </w:r>
      <w:r>
        <w:rPr>
          <w:rFonts w:ascii="Arial" w:cs="Arial" w:eastAsia="Arial" w:hAnsi="Arial"/>
          <w:b w:val="false"/>
          <w:bCs w:val="false"/>
          <w:color w:val="333333"/>
          <w:sz w:val="22"/>
          <w:szCs w:val="22"/>
        </w:rPr>
        <w:t xml:space="preserve">A PostgreSQL connection pooler that manages a pool of database connections, reducing the overhead of per-client connection creation.</w:t>
      </w:r>
    </w:p>
    <w:p>
      <w:pPr>
        <w:spacing w:after="100"/>
      </w:pPr>
      <w:r>
        <w:rPr>
          <w:rFonts w:ascii="Arial" w:cs="Arial" w:eastAsia="Arial" w:hAnsi="Arial"/>
          <w:b/>
          <w:bCs/>
          <w:color w:val="0D1B2A"/>
          <w:sz w:val="22"/>
          <w:szCs w:val="22"/>
        </w:rPr>
        <w:t xml:space="preserve">IAM authentication (RDS): </w:t>
      </w:r>
      <w:r>
        <w:rPr>
          <w:rFonts w:ascii="Arial" w:cs="Arial" w:eastAsia="Arial" w:hAnsi="Arial"/>
          <w:b w:val="false"/>
          <w:bCs w:val="false"/>
          <w:color w:val="333333"/>
          <w:sz w:val="22"/>
          <w:szCs w:val="22"/>
        </w:rPr>
        <w:t xml:space="preserve">AWS feature allowing database connections to be authenticated via IAM roles rather than passwords. Used to enforce private-DB isolation in AWS environments.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D1B2A"/>
      <w:sz w:val="40"/>
      <w:szCs w:val="40"/>
    </w:rPr>
  </w:style>
  <w:style w:type="paragraph" w:styleId="Heading2">
    <w:name w:val="Heading 2"/>
    <w:basedOn w:val="Normal"/>
    <w:next w:val="Normal"/>
    <w:qFormat/>
    <w:pPr>
      <w:spacing w:after="100" w:before="280"/>
      <w:outlineLvl w:val="1"/>
    </w:pPr>
    <w:rPr>
      <w:rFonts w:ascii="Arial" w:cs="Arial" w:eastAsia="Arial" w:hAnsi="Arial"/>
      <w:b/>
      <w:bCs/>
      <w:color w:val="1A3A5C"/>
      <w:sz w:val="28"/>
      <w:szCs w:val="28"/>
    </w:rPr>
  </w:style>
  <w:style w:type="paragraph" w:styleId="Heading3">
    <w:name w:val="Heading 3"/>
    <w:basedOn w:val="Normal"/>
    <w:next w:val="Normal"/>
    <w:qFormat/>
    <w:pPr>
      <w:spacing w:after="80" w:before="200"/>
      <w:outlineLvl w:val="2"/>
    </w:pPr>
    <w:rPr>
      <w:rFonts w:ascii="Arial" w:cs="Arial" w:eastAsia="Arial" w:hAnsi="Arial"/>
      <w:b/>
      <w:bCs/>
      <w:color w:val="E65100"/>
      <w:sz w:val="24"/>
      <w:szCs w:val="24"/>
    </w:rPr>
  </w:style>
  <w:style w:type="paragraph" w:styleId="Heading4">
    <w:name w:val="Heading 4"/>
    <w:basedOn w:val="Normal"/>
    <w:next w:val="Normal"/>
    <w:qFormat/>
    <w:pPr>
      <w:spacing w:after="60" w:before="160"/>
      <w:outlineLvl w:val="3"/>
    </w:pPr>
    <w:rPr>
      <w:rFonts w:ascii="Arial" w:cs="Arial" w:eastAsia="Arial" w:hAnsi="Arial"/>
      <w:b/>
      <w:bCs/>
      <w:color w:val="0069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2026-04-13T12:35:18.709Z</dcterms:created>
  <dcterms:modified xsi:type="dcterms:W3CDTF">2026-04-13T12:35:18.710Z</dcterms:modified>
</cp:coreProperties>
</file>

<file path=docProps/custom.xml><?xml version="1.0" encoding="utf-8"?>
<Properties xmlns="http://schemas.openxmlformats.org/officeDocument/2006/custom-properties" xmlns:vt="http://schemas.openxmlformats.org/officeDocument/2006/docPropsVTypes"/>
</file>