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CLINICAL WORKFLOWS</w:t>
      </w:r>
    </w:p>
    <w:p>
      <w:pPr>
        <w:spacing w:after="100"/>
        <w:jc w:val="center"/>
      </w:pPr>
      <w:r>
        <w:rPr>
          <w:rFonts w:ascii="Arial" w:cs="Arial" w:eastAsia="Arial" w:hAnsi="Arial"/>
          <w:b/>
          <w:bCs/>
          <w:color w:val="1B3A5C"/>
          <w:sz w:val="52"/>
          <w:szCs w:val="52"/>
        </w:rPr>
        <w:t xml:space="preserve">&amp; MEDICAL TERMINOLOGY</w:t>
      </w:r>
    </w:p>
    <w:p>
      <w:pPr>
        <w:pBdr>
          <w:bottom w:val="single" w:color="2E75B6" w:sz="8" w:space="1"/>
        </w:pBdr>
        <w:spacing w:after="400"/>
        <w:jc w:val="center"/>
      </w:pPr>
    </w:p>
    <w:p>
      <w:pPr>
        <w:spacing w:after="120"/>
        <w:jc w:val="center"/>
      </w:pPr>
      <w:r>
        <w:rPr>
          <w:rFonts w:ascii="Arial" w:cs="Arial" w:eastAsia="Arial" w:hAnsi="Arial"/>
          <w:i/>
          <w:iCs/>
          <w:color w:val="2E75B6"/>
          <w:sz w:val="28"/>
          <w:szCs w:val="28"/>
        </w:rPr>
        <w:t xml:space="preserve">A Comprehensive Reference for Healthcare IT Professionals</w:t>
      </w:r>
    </w:p>
    <w:p>
      <w:pPr>
        <w:spacing w:after="120"/>
        <w:jc w:val="center"/>
      </w:pPr>
      <w:r>
        <w:rPr>
          <w:rFonts w:ascii="Arial" w:cs="Arial" w:eastAsia="Arial" w:hAnsi="Arial"/>
          <w:color w:val="666666"/>
          <w:sz w:val="22"/>
          <w:szCs w:val="22"/>
        </w:rPr>
        <w:t xml:space="preserve">Section 1.2 — Healthcare Domain Mastery Learning Path</w:t>
      </w:r>
    </w:p>
    <w:p>
      <w:pPr>
        <w:spacing w:after="2000"/>
        <w:jc w:val="center"/>
      </w:pPr>
      <w:r>
        <w:rPr>
          <w:rFonts w:ascii="Arial" w:cs="Arial" w:eastAsia="Arial" w:hAnsi="Arial"/>
          <w:color w:val="666666"/>
          <w:sz w:val="20"/>
          <w:szCs w:val="20"/>
        </w:rPr>
        <w:t xml:space="preserve">Covering the Patient Journey, Inpatient &amp; Outpatient Workflows, Emergency Department Protocols, Surgical Workflows, Pharmacy &amp; Laboratory Operations, Radiology Systems, Nursing Documentation, and Essential Medical Terminology for IT Professionals</w:t>
      </w:r>
    </w:p>
    <w:p>
      <w:pPr>
        <w:spacing w:after="200"/>
        <w:jc w:val="center"/>
      </w:pPr>
      <w:r>
        <w:rPr>
          <w:rFonts w:ascii="Arial" w:cs="Arial" w:eastAsia="Arial" w:hAnsi="Arial"/>
          <w:color w:val="666666"/>
          <w:sz w:val="22"/>
          <w:szCs w:val="22"/>
        </w:rPr>
        <w:t xml:space="preserve">February 2026</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Introduction</w:t>
      </w:r>
    </w:p>
    <w:p>
      <w:pPr>
        <w:spacing w:after="160" w:line="276"/>
      </w:pPr>
      <w:r>
        <w:rPr>
          <w:rFonts w:ascii="Arial" w:cs="Arial" w:eastAsia="Arial" w:hAnsi="Arial"/>
          <w:color w:val="333333"/>
          <w:sz w:val="21"/>
          <w:szCs w:val="21"/>
        </w:rPr>
        <w:t xml:space="preserve">You cannot design, implement, or support healthcare IT systems without understanding what clinicians actually do. This is the knowledge gap that separates average health IT professionals from great ones. Technology in healthcare is not an end in itself — it exists to support clinical workflows, improve patient outcomes, reduce errors, and increase operational efficiency.</w:t>
      </w:r>
    </w:p>
    <w:p>
      <w:pPr>
        <w:spacing w:after="160" w:line="276"/>
      </w:pPr>
      <w:r>
        <w:rPr>
          <w:rFonts w:ascii="Arial" w:cs="Arial" w:eastAsia="Arial" w:hAnsi="Arial"/>
          <w:color w:val="333333"/>
          <w:sz w:val="21"/>
          <w:szCs w:val="21"/>
        </w:rPr>
        <w:t xml:space="preserve">This document provides an exhaustive exploration of clinical workflows and medical terminology from the perspective of an IT professional. It covers every major clinical setting — from the outpatient clinic to the operating room to the intensive care unit — and maps the technology systems, data flows, and integration points that support each workflow.</w:t>
      </w:r>
    </w:p>
    <w:p>
      <w:pPr>
        <w:spacing w:after="160" w:line="276"/>
      </w:pPr>
      <w:r>
        <w:rPr>
          <w:rFonts w:ascii="Arial" w:cs="Arial" w:eastAsia="Arial" w:hAnsi="Arial"/>
          <w:color w:val="333333"/>
          <w:sz w:val="21"/>
          <w:szCs w:val="21"/>
        </w:rPr>
        <w:t xml:space="preserve">Every EHR screen, every integration interface, every alert rule, and every analytics dashboard is designed to support a specific clinical workflow. Understanding those workflows — the sequence of events, the decisions clinicians make, the data they need and when they need it — is the foundation for building effective healthcare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Why This Matters</w:t>
            </w:r>
          </w:p>
          <w:p>
            <w:pPr>
              <w:spacing w:after="0" w:line="276"/>
            </w:pPr>
            <w:r>
              <w:rPr>
                <w:rFonts w:ascii="Arial" w:cs="Arial" w:eastAsia="Arial" w:hAnsi="Arial"/>
                <w:i/>
                <w:iCs/>
                <w:color w:val="333333"/>
                <w:sz w:val="20"/>
                <w:szCs w:val="20"/>
              </w:rPr>
              <w:t xml:space="preserve">When an IT professional understands that a nurse performing medication administration needs to scan both the patient wristband and the medication barcode within a specific workflow sequence, they can design systems that support that workflow rather than impede it. When they understand that a 5-minute delay in reporting a critical lab value can endanger a patient’s life, they build integration interfaces with appropriate urgency and failover mechanisms.</w:t>
            </w:r>
          </w:p>
        </w:tc>
      </w:tr>
    </w:tbl>
    <w:p>
      <w:r>
        <w:br w:type="page"/>
      </w:r>
    </w:p>
    <w:p>
      <w:pPr>
        <w:pStyle w:val="Heading1"/>
        <w:spacing w:before="360" w:after="200"/>
      </w:pPr>
      <w:r>
        <w:rPr>
          <w:rFonts w:ascii="Arial" w:cs="Arial" w:eastAsia="Arial" w:hAnsi="Arial"/>
          <w:b/>
          <w:bCs/>
          <w:color w:val="1B3A5C"/>
          <w:sz w:val="32"/>
          <w:szCs w:val="32"/>
        </w:rPr>
        <w:t xml:space="preserve">2. Medical Terminology for IT Professionals</w:t>
      </w:r>
    </w:p>
    <w:p>
      <w:pPr>
        <w:spacing w:after="160" w:line="276"/>
      </w:pPr>
      <w:r>
        <w:rPr>
          <w:rFonts w:ascii="Arial" w:cs="Arial" w:eastAsia="Arial" w:hAnsi="Arial"/>
          <w:color w:val="333333"/>
          <w:sz w:val="21"/>
          <w:szCs w:val="21"/>
        </w:rPr>
        <w:t xml:space="preserve">Healthcare has its own language. IT professionals working in this domain encounter thousands of specialized terms daily — in EHR configurations, interface specifications, clinical documentation, order entry systems, and communications with clinical stakeholders. A working knowledge of medical terminology is essential.</w:t>
      </w:r>
    </w:p>
    <w:p>
      <w:pPr>
        <w:pStyle w:val="Heading2"/>
        <w:spacing w:before="280" w:after="160"/>
      </w:pPr>
      <w:r>
        <w:rPr>
          <w:rFonts w:ascii="Arial" w:cs="Arial" w:eastAsia="Arial" w:hAnsi="Arial"/>
          <w:b/>
          <w:bCs/>
          <w:color w:val="2E75B6"/>
          <w:sz w:val="26"/>
          <w:szCs w:val="26"/>
        </w:rPr>
        <w:t xml:space="preserve">2.1 Anatomy &amp; Physiology Fundamentals</w:t>
      </w:r>
    </w:p>
    <w:p>
      <w:pPr>
        <w:spacing w:after="160" w:line="276"/>
      </w:pPr>
      <w:r>
        <w:rPr>
          <w:rFonts w:ascii="Arial" w:cs="Arial" w:eastAsia="Arial" w:hAnsi="Arial"/>
          <w:color w:val="333333"/>
          <w:sz w:val="21"/>
          <w:szCs w:val="21"/>
        </w:rPr>
        <w:t xml:space="preserve">Understanding basic anatomy and physiology helps IT professionals contextualize clinical workflows, interpret EHR data, and communicate effectively with clinicians.</w:t>
      </w:r>
    </w:p>
    <w:p>
      <w:pPr>
        <w:pStyle w:val="Heading3"/>
        <w:spacing w:before="200" w:after="120"/>
      </w:pPr>
      <w:r>
        <w:rPr>
          <w:rFonts w:ascii="Arial" w:cs="Arial" w:eastAsia="Arial" w:hAnsi="Arial"/>
          <w:b/>
          <w:bCs/>
          <w:color w:val="1B3A5C"/>
          <w:sz w:val="22"/>
          <w:szCs w:val="22"/>
        </w:rPr>
        <w:t xml:space="preserve">2.1.1 Body Systems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Body System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Organs/Structures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Common Conditions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Related IT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Cardiovascular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Heart, blood vessels, arteries, veins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 (heart attack), CHF, arrhythmias, hypertension, DVT, PE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ECG integration, cardiac monitoring, cath lab systems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Respiratory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Lungs, trachea, bronchi, alveoli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COPD, asthma, pneumonia, PE, ARDS, respiratory failure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Ventilator integration, ABG reporting, pulmonary 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Neurological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Brain, spinal cord, peripheral nerves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Stroke (CVA/TIA), seizures, MS, Parkinson’s, TBI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Neuro ICU monitoring, EEG integration, stroke alerts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Gastrointestinal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Esophagus, stomach, intestines, liver, pancreas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GERD, Crohn’s, cirrhosis, GI bleeding, pancreatitis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Endoscopy documentation, nutrition/dietary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Musculoskeletal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Bones, joints, muscles, tendons, ligaments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Fractures, osteoarthritis, osteoporosis, back pain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Orthopedic implant tracking, OR scheduling, PT documentation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Endocrine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Thyroid, pancreas (endocrine), adrenals, pituitary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Diabetes (Type 1/2), hypothyroidism, adrenal insufficiency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Glucose monitoring integration, insulin pump data, A1c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Renal/Urological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Kidneys, ureters, bladder, urethra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CKD, AKI, UTI, kidney stones, dialysis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Dialysis machine integration, nephrology flowsheets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Hematologic/Oncologic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Blood, bone marrow, lymph nodes, spleen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Anemia, leukemia, lymphoma, clotting disorders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Blood bank systems, chemotherapy protocols, tumor registries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Integumentary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Skin, hair, nails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Wounds, burns, melanoma, dermatitis, pressure injuries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Wound care documentation, dermatology imaging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Reproductive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Male/female reproductive organs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Pregnancy, infertility, cervical cancer, prostate conditions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OB/fetal monitoring, L&amp;D systems, mammography</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2.1.2 Anatomical Directional Terms</w:t>
      </w:r>
    </w:p>
    <w:p>
      <w:pPr>
        <w:spacing w:after="160" w:line="276"/>
      </w:pPr>
      <w:r>
        <w:rPr>
          <w:rFonts w:ascii="Arial" w:cs="Arial" w:eastAsia="Arial" w:hAnsi="Arial"/>
          <w:color w:val="333333"/>
          <w:sz w:val="21"/>
          <w:szCs w:val="21"/>
        </w:rPr>
        <w:t xml:space="preserve">These terms appear throughout clinical documentation and EHR configurations. IT professionals encounter them in radiology order configurations, wound care documentation templates, and surgical procedure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in Clinical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Anterior / Posterior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 / Back of the body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Anterior-posterior (AP) chest X-ray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Superior / Inferior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Above / Below (toward head / toward feet)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Superior vena cava (SVC) — major vein above the heart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Medial / Lateral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Toward midline / Away from midline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Lateral meniscus tear (outer side of knee)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Proximal / Distal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Closer to / Farther from point of attachment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Distal radius fracture (wrist area)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Supine / Prone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Lying face up / Lying face down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positioned prone for spinal surgery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Bilateral / Unilateral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Both sides / One side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Bilateral knee replacement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Contralateral / Ipsilateral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Opposite side / Same side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Contralateral stroke symptoms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2.2 Common Medical Abbreviations for IT Professionals</w:t>
      </w:r>
    </w:p>
    <w:p>
      <w:pPr>
        <w:spacing w:after="160" w:line="276"/>
      </w:pPr>
      <w:r>
        <w:rPr>
          <w:rFonts w:ascii="Arial" w:cs="Arial" w:eastAsia="Arial" w:hAnsi="Arial"/>
          <w:color w:val="333333"/>
          <w:sz w:val="21"/>
          <w:szCs w:val="21"/>
        </w:rPr>
        <w:t xml:space="preserve">Healthcare uses thousands of abbreviations. IT professionals encounter these in interface specifications, clinical documentation templates, order set configurations, and daily communications with clinical teams.</w:t>
      </w:r>
    </w:p>
    <w:p>
      <w:pPr>
        <w:pStyle w:val="Heading3"/>
        <w:spacing w:before="200" w:after="120"/>
      </w:pPr>
      <w:r>
        <w:rPr>
          <w:rFonts w:ascii="Arial" w:cs="Arial" w:eastAsia="Arial" w:hAnsi="Arial"/>
          <w:b/>
          <w:bCs/>
          <w:color w:val="1B3A5C"/>
          <w:sz w:val="22"/>
          <w:szCs w:val="22"/>
        </w:rPr>
        <w:t xml:space="preserve">2.2.1 Clinical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2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Full Term</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Admission, Discharge, Transfer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HL7 message type; patient movement tracking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CPOE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Computerized Provider Order Entry</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Electronic order placement by physicians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Decision Support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Rules/alerts in EHR to guide clinical decisions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BCMA</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Barcode Medication Administration</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Scanning system to verify medication at bedside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 Administration Record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of all medications given to a patient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 Re Nata (as needed)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Medication given only when patient needs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BID / TID / QID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Twice / Three / Four times daily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 frequency in order entry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NPO</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Nil Per Os (nothing by mouth)</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Pre-surgical or procedural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DNR / DNI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 Not Resuscitate / Do Not Intubate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 directive — critical EHR documentation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I&amp;O</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Intake and Output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Fluid balance monitoring — nursing flowsheets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H&amp;P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History and Physical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comprehensive clinical assessment document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D/C</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Discharge (or Discontinue)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Context-dependent — a known source of medical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SOB</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Shortness of Breath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Common chief complaint in ED triage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WNL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Within Normal Limits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Normal finding in physical exam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 / Tx / Rx / Hx / Sx</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Diagnosis / Treatment / Prescription / History / Symptoms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Common shorthand across all documentation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 / PACU / ED / ICU</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Operating Room / Post-Anesthesia Care / Emergency Dept / Intensive Care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locations in facility master files</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2.2.2 The Joint Commission ‘Do Not Use’ Abbreviations</w:t>
      </w:r>
    </w:p>
    <w:p>
      <w:pPr>
        <w:spacing w:after="160" w:line="276"/>
      </w:pPr>
      <w:r>
        <w:rPr>
          <w:rFonts w:ascii="Arial" w:cs="Arial" w:eastAsia="Arial" w:hAnsi="Arial"/>
          <w:color w:val="333333"/>
          <w:sz w:val="21"/>
          <w:szCs w:val="21"/>
        </w:rPr>
        <w:t xml:space="preserve">The Joint Commission maintains an official “Do Not Use” list of dangerous abbreviations that must not appear in clinical orders, documentation, or EHR templates. IT professionals configuring order entry systems and documentation templates must enforce these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Prohibited Abbreviation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Intended Meaning</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Prohibited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Alternative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Mistaken for 0, 4, or cc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“unit”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International Unit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Mistaken for IV or 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Write “international unit”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Q.D. / Q.O.D.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 Every other 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Mistaken for each other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“daily” / “every other day”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Trailing zero (X.0)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 mg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Decimal point missed — 10-fold error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Write “X mg” (no trailing zero)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Lack of leading zero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 mg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 point missed — 10-fold error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“0.X mg”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MS / MSO4 / MgSO4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Morphine / Magnesium sulfate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Confused for each other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Write full drug name</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2.3 Pharmacology Fundamentals</w:t>
      </w:r>
    </w:p>
    <w:p>
      <w:pPr>
        <w:spacing w:after="160" w:line="276"/>
      </w:pPr>
      <w:r>
        <w:rPr>
          <w:rFonts w:ascii="Arial" w:cs="Arial" w:eastAsia="Arial" w:hAnsi="Arial"/>
          <w:color w:val="333333"/>
          <w:sz w:val="21"/>
          <w:szCs w:val="21"/>
        </w:rPr>
        <w:t xml:space="preserve">IT professionals working with medication-related systems — CPOE, pharmacy verification, BCMA, drug interaction databases, and medication reconciliation — need basic pharmacology knowledge.</w:t>
      </w:r>
    </w:p>
    <w:p>
      <w:pPr>
        <w:pStyle w:val="Heading3"/>
        <w:spacing w:before="200" w:after="120"/>
      </w:pPr>
      <w:r>
        <w:rPr>
          <w:rFonts w:ascii="Arial" w:cs="Arial" w:eastAsia="Arial" w:hAnsi="Arial"/>
          <w:b/>
          <w:bCs/>
          <w:color w:val="1B3A5C"/>
          <w:sz w:val="22"/>
          <w:szCs w:val="22"/>
        </w:rPr>
        <w:t xml:space="preserve">2.3.1 Drug Naming Conventions</w:t>
      </w:r>
    </w:p>
    <w:p>
      <w:pPr>
        <w:pStyle w:val="ListParagraph"/>
        <w:numPr>
          <w:ilvl w:val="0"/>
          <w:numId w:val="2"/>
        </w:numPr>
        <w:spacing w:after="80" w:line="276"/>
      </w:pPr>
      <w:r>
        <w:rPr>
          <w:rFonts w:ascii="Arial" w:cs="Arial" w:eastAsia="Arial" w:hAnsi="Arial"/>
          <w:b/>
          <w:bCs/>
          <w:color w:val="333333"/>
          <w:sz w:val="21"/>
          <w:szCs w:val="21"/>
        </w:rPr>
        <w:t xml:space="preserve">Chemical Name: </w:t>
      </w:r>
      <w:r>
        <w:rPr>
          <w:rFonts w:ascii="Arial" w:cs="Arial" w:eastAsia="Arial" w:hAnsi="Arial"/>
          <w:color w:val="333333"/>
          <w:sz w:val="21"/>
          <w:szCs w:val="21"/>
        </w:rPr>
        <w:t xml:space="preserve">The scientific chemical compound name (e.g., N-acetyl-para-aminophenol). Rarely used in clinical IT.</w:t>
      </w:r>
    </w:p>
    <w:p>
      <w:pPr>
        <w:pStyle w:val="ListParagraph"/>
        <w:numPr>
          <w:ilvl w:val="0"/>
          <w:numId w:val="2"/>
        </w:numPr>
        <w:spacing w:after="80" w:line="276"/>
      </w:pPr>
      <w:r>
        <w:rPr>
          <w:rFonts w:ascii="Arial" w:cs="Arial" w:eastAsia="Arial" w:hAnsi="Arial"/>
          <w:b/>
          <w:bCs/>
          <w:color w:val="333333"/>
          <w:sz w:val="21"/>
          <w:szCs w:val="21"/>
        </w:rPr>
        <w:t xml:space="preserve">Generic Name: </w:t>
      </w:r>
      <w:r>
        <w:rPr>
          <w:rFonts w:ascii="Arial" w:cs="Arial" w:eastAsia="Arial" w:hAnsi="Arial"/>
          <w:color w:val="333333"/>
          <w:sz w:val="21"/>
          <w:szCs w:val="21"/>
        </w:rPr>
        <w:t xml:space="preserve">The non-proprietary name assigned by the USAN Council (e.g., acetaminophen). This is the standard in most EHR systems and formularies.</w:t>
      </w:r>
    </w:p>
    <w:p>
      <w:pPr>
        <w:pStyle w:val="ListParagraph"/>
        <w:numPr>
          <w:ilvl w:val="0"/>
          <w:numId w:val="2"/>
        </w:numPr>
        <w:spacing w:after="80" w:line="276"/>
      </w:pPr>
      <w:r>
        <w:rPr>
          <w:rFonts w:ascii="Arial" w:cs="Arial" w:eastAsia="Arial" w:hAnsi="Arial"/>
          <w:b/>
          <w:bCs/>
          <w:color w:val="333333"/>
          <w:sz w:val="21"/>
          <w:szCs w:val="21"/>
        </w:rPr>
        <w:t xml:space="preserve">Brand Name: </w:t>
      </w:r>
      <w:r>
        <w:rPr>
          <w:rFonts w:ascii="Arial" w:cs="Arial" w:eastAsia="Arial" w:hAnsi="Arial"/>
          <w:color w:val="333333"/>
          <w:sz w:val="21"/>
          <w:szCs w:val="21"/>
        </w:rPr>
        <w:t xml:space="preserve">The proprietary trade name (e.g., Tylenol). Patients often know only the brand name, creating mapping challenges in medication reconciliation.</w:t>
      </w:r>
    </w:p>
    <w:p>
      <w:pPr>
        <w:pStyle w:val="ListParagraph"/>
        <w:numPr>
          <w:ilvl w:val="0"/>
          <w:numId w:val="2"/>
        </w:numPr>
        <w:spacing w:after="80" w:line="276"/>
      </w:pPr>
      <w:r>
        <w:rPr>
          <w:rFonts w:ascii="Arial" w:cs="Arial" w:eastAsia="Arial" w:hAnsi="Arial"/>
          <w:b/>
          <w:bCs/>
          <w:color w:val="333333"/>
          <w:sz w:val="21"/>
          <w:szCs w:val="21"/>
        </w:rPr>
        <w:t xml:space="preserve">RxNorm: </w:t>
      </w:r>
      <w:r>
        <w:rPr>
          <w:rFonts w:ascii="Arial" w:cs="Arial" w:eastAsia="Arial" w:hAnsi="Arial"/>
          <w:color w:val="333333"/>
          <w:sz w:val="21"/>
          <w:szCs w:val="21"/>
        </w:rPr>
        <w:t xml:space="preserve">The NLM-maintained terminology that normalizes drug names across systems. Critical for interoperability — maps between NDC, brand, generic, and clinical drug concepts.</w:t>
      </w:r>
    </w:p>
    <w:p>
      <w:pPr>
        <w:pStyle w:val="Heading3"/>
        <w:spacing w:before="200" w:after="120"/>
      </w:pPr>
      <w:r>
        <w:rPr>
          <w:rFonts w:ascii="Arial" w:cs="Arial" w:eastAsia="Arial" w:hAnsi="Arial"/>
          <w:b/>
          <w:bCs/>
          <w:color w:val="1B3A5C"/>
          <w:sz w:val="22"/>
          <w:szCs w:val="22"/>
        </w:rPr>
        <w:t xml:space="preserve">2.3.2 Drug Classification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Relevance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Antibiotics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Amoxicillin, Vancomycin, Azithromycin, Ciprofloxacin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Antimicrobial stewardship alerts, culture-sensitivity matching, duration limits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Analgesics/Opioids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Morphine, Oxycodone, Fentanyl, Hydromorphone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EPCS requirements, PDMP integration, opioid equivalence calculators, prescribing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Anticoagulants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Warfarin, Heparin, Enoxaparin, Rivaroxaban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INR monitoring protocols, high-alert medication flags, weight-based dosing calculators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Cardiovascular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Metoprolol, Lisinopril, Amlodipine, Atorvastatin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Heart rate/BP monitoring integration, statin therapy quality measures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Insulin/Diabetes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Regular, NPH, Glargine, Lispro, Metformin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Glucose-insulin protocols, sliding scale order sets, hypoglycemia alerts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Chemotherapy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Cyclophosphamide, Doxorubicin, Paclitaxel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Regimen protocols, dose calculations (BSA), cumulative dose tracking, hazardous drug handling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Controlled Substances (Schedule II-V)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Opioids, benzodiazepines, stimulants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EPCS electronic prescribing, DEA number validation, state PDMP integration</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2.3.3 Routes of Administration</w:t>
      </w:r>
    </w:p>
    <w:p>
      <w:pPr>
        <w:spacing w:after="160" w:line="276"/>
      </w:pPr>
      <w:r>
        <w:rPr>
          <w:rFonts w:ascii="Arial" w:cs="Arial" w:eastAsia="Arial" w:hAnsi="Arial"/>
          <w:color w:val="333333"/>
          <w:sz w:val="21"/>
          <w:szCs w:val="21"/>
        </w:rPr>
        <w:t xml:space="preserve">Route of administration determines how medications are configured in CPOE, pharmacy dispensing, and BCMA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Configuration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mouth — tablets, capsules, liquids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common; NPO status must suppress PO orders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Intravenous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Into a vein — continuous infusion or push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Infusion pump integration, rate calculations, compatibility checks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Intramuscular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Into muscle tissue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Injection site documentation, vaccine administration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Subcutaneous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SubQ / SC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Under the skin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Insulin, heparin; patient self-administration education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Inhalation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Breathed into lungs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Nebulizer treatments, MDI (metered-dose inhaler) instructions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Applied to skin surface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Wound care orders, dermatology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Rectal / Vaginal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 / PV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Into rectum or vagina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Alternative route when patient is NPO or vomiting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Ophthalmic / Otic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OU/OD/OS, AU/AD/AS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Eye / Ear drops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Laterality critical — wrong-side errors are safety events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2.4 Surgical Procedure Terminology</w:t>
      </w:r>
    </w:p>
    <w:p>
      <w:pPr>
        <w:spacing w:after="160" w:line="276"/>
      </w:pPr>
      <w:r>
        <w:rPr>
          <w:rFonts w:ascii="Arial" w:cs="Arial" w:eastAsia="Arial" w:hAnsi="Arial"/>
          <w:color w:val="333333"/>
          <w:sz w:val="21"/>
          <w:szCs w:val="21"/>
        </w:rPr>
        <w:t xml:space="preserve">IT professionals configuring OR scheduling, surgical documentation, and procedural coding systems need to understand surgical terminology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Prefix/Suffix</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-ectomy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Surgical removal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Appendectomy (removal of appendix), Cholecystectomy (gallbladder)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-otomy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Surgical incision/cutting into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Tracheotomy (incision into trachea), Craniotomy (into skull)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-ostomy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Creating an artificial opening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Colostomy (opening in colon), Tracheostomy (permanent opening)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-plasty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Surgical repair/reconstruction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Arthroplasty (joint reconstruction), Rhinoplasty (nose repair)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examination with scope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Colonoscopy, Arthroscopy, Bronchoscopy, Endoscopy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-pexy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Surgical fixation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Orchiopexy (testicular fixation), Nephropexy (kidney fixation)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-rraphy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Suturing/repair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Herniorrhaphy (hernia repair)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Lap- / Laparoscopic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Minimally invasive abdominal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Lap cholecystectomy (laparoscopic gallbladder removal)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Arthro-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Joint-related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Arthroscopy (joint visualization), Arthroplasty (joint replacement)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 vs. Closed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Surgical approach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 reduction (surgical access) vs. closed reduction (no incision)</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3. The Patient Journey: End-to-End Workflow Mapping</w:t>
      </w:r>
    </w:p>
    <w:p>
      <w:pPr>
        <w:spacing w:after="160" w:line="276"/>
      </w:pPr>
      <w:r>
        <w:rPr>
          <w:rFonts w:ascii="Arial" w:cs="Arial" w:eastAsia="Arial" w:hAnsi="Arial"/>
          <w:color w:val="333333"/>
          <w:sz w:val="21"/>
          <w:szCs w:val="21"/>
        </w:rPr>
        <w:t xml:space="preserve">The patient journey represents the complete sequence of events from the moment a patient seeks healthcare to post-visit follow-up. Every step in this journey is supported by IT systems, and understanding the flow is critical for designing effective technology solutions.</w:t>
      </w:r>
    </w:p>
    <w:p>
      <w:pPr>
        <w:pStyle w:val="Heading2"/>
        <w:spacing w:before="280" w:after="160"/>
      </w:pPr>
      <w:r>
        <w:rPr>
          <w:rFonts w:ascii="Arial" w:cs="Arial" w:eastAsia="Arial" w:hAnsi="Arial"/>
          <w:b/>
          <w:bCs/>
          <w:color w:val="2E75B6"/>
          <w:sz w:val="26"/>
          <w:szCs w:val="26"/>
        </w:rPr>
        <w:t xml:space="preserve">3.1 Ambulatory Patient Journey</w:t>
      </w:r>
    </w:p>
    <w:p>
      <w:pPr>
        <w:spacing w:after="160" w:line="276"/>
      </w:pPr>
      <w:r>
        <w:rPr>
          <w:rFonts w:ascii="Arial" w:cs="Arial" w:eastAsia="Arial" w:hAnsi="Arial"/>
          <w:color w:val="333333"/>
          <w:sz w:val="21"/>
          <w:szCs w:val="21"/>
        </w:rPr>
        <w:t xml:space="preserve">The ambulatory (outpatient) patient journey is the most common healthcare encounter and the workflow most patients experience regularly.</w:t>
      </w:r>
    </w:p>
    <w:p>
      <w:pPr>
        <w:pStyle w:val="ListParagraph"/>
        <w:numPr>
          <w:ilvl w:val="0"/>
          <w:numId w:val="3"/>
        </w:numPr>
        <w:spacing w:after="80" w:line="276"/>
      </w:pPr>
      <w:r>
        <w:rPr>
          <w:rFonts w:ascii="Arial" w:cs="Arial" w:eastAsia="Arial" w:hAnsi="Arial"/>
          <w:b/>
          <w:bCs/>
          <w:color w:val="333333"/>
          <w:sz w:val="21"/>
          <w:szCs w:val="21"/>
        </w:rPr>
        <w:t xml:space="preserve">Scheduling: </w:t>
      </w:r>
      <w:r>
        <w:rPr>
          <w:rFonts w:ascii="Arial" w:cs="Arial" w:eastAsia="Arial" w:hAnsi="Arial"/>
          <w:color w:val="333333"/>
          <w:sz w:val="21"/>
          <w:szCs w:val="21"/>
        </w:rPr>
        <w:t xml:space="preserve">Patient calls, uses patient portal, or is referred. System checks provider availability, insurance eligibility, appointment type, and visit duration. Pre-visit planning may trigger clinical reminders (overdue screenings, care gaps).</w:t>
      </w:r>
    </w:p>
    <w:p>
      <w:pPr>
        <w:pStyle w:val="ListParagraph"/>
        <w:numPr>
          <w:ilvl w:val="0"/>
          <w:numId w:val="3"/>
        </w:numPr>
        <w:spacing w:after="80" w:line="276"/>
      </w:pPr>
      <w:r>
        <w:rPr>
          <w:rFonts w:ascii="Arial" w:cs="Arial" w:eastAsia="Arial" w:hAnsi="Arial"/>
          <w:b/>
          <w:bCs/>
          <w:color w:val="333333"/>
          <w:sz w:val="21"/>
          <w:szCs w:val="21"/>
        </w:rPr>
        <w:t xml:space="preserve">Pre-Registration &amp; Insurance Verification: </w:t>
      </w:r>
      <w:r>
        <w:rPr>
          <w:rFonts w:ascii="Arial" w:cs="Arial" w:eastAsia="Arial" w:hAnsi="Arial"/>
          <w:color w:val="333333"/>
          <w:sz w:val="21"/>
          <w:szCs w:val="21"/>
        </w:rPr>
        <w:t xml:space="preserve">Demographic data collection, insurance eligibility verification (270/271), consent forms, health questionnaires sent via patient portal, and financial clearance for expected patient responsibility.</w:t>
      </w:r>
    </w:p>
    <w:p>
      <w:pPr>
        <w:pStyle w:val="ListParagraph"/>
        <w:numPr>
          <w:ilvl w:val="0"/>
          <w:numId w:val="3"/>
        </w:numPr>
        <w:spacing w:after="80" w:line="276"/>
      </w:pPr>
      <w:r>
        <w:rPr>
          <w:rFonts w:ascii="Arial" w:cs="Arial" w:eastAsia="Arial" w:hAnsi="Arial"/>
          <w:b/>
          <w:bCs/>
          <w:color w:val="333333"/>
          <w:sz w:val="21"/>
          <w:szCs w:val="21"/>
        </w:rPr>
        <w:t xml:space="preserve">Check-In &amp; Registration: </w:t>
      </w:r>
      <w:r>
        <w:rPr>
          <w:rFonts w:ascii="Arial" w:cs="Arial" w:eastAsia="Arial" w:hAnsi="Arial"/>
          <w:color w:val="333333"/>
          <w:sz w:val="21"/>
          <w:szCs w:val="21"/>
        </w:rPr>
        <w:t xml:space="preserve">Patient arrives, identity verification, insurance card scanning, copay collection, consent signatures (paper or electronic), and kiosk or front-desk check-in. ADT message generated.</w:t>
      </w:r>
    </w:p>
    <w:p>
      <w:pPr>
        <w:pStyle w:val="ListParagraph"/>
        <w:numPr>
          <w:ilvl w:val="0"/>
          <w:numId w:val="3"/>
        </w:numPr>
        <w:spacing w:after="80" w:line="276"/>
      </w:pPr>
      <w:r>
        <w:rPr>
          <w:rFonts w:ascii="Arial" w:cs="Arial" w:eastAsia="Arial" w:hAnsi="Arial"/>
          <w:b/>
          <w:bCs/>
          <w:color w:val="333333"/>
          <w:sz w:val="21"/>
          <w:szCs w:val="21"/>
        </w:rPr>
        <w:t xml:space="preserve">Rooming &amp; Vitals: </w:t>
      </w:r>
      <w:r>
        <w:rPr>
          <w:rFonts w:ascii="Arial" w:cs="Arial" w:eastAsia="Arial" w:hAnsi="Arial"/>
          <w:color w:val="333333"/>
          <w:sz w:val="21"/>
          <w:szCs w:val="21"/>
        </w:rPr>
        <w:t xml:space="preserve">Medical assistant rooms the patient, captures vital signs (BP, heart rate, temperature, respiratory rate, SpO2, height, weight, BMI), performs medication reconciliation, documents chief complaint, and reviews allergies.</w:t>
      </w:r>
    </w:p>
    <w:p>
      <w:pPr>
        <w:pStyle w:val="ListParagraph"/>
        <w:numPr>
          <w:ilvl w:val="0"/>
          <w:numId w:val="3"/>
        </w:numPr>
        <w:spacing w:after="80" w:line="276"/>
      </w:pPr>
      <w:r>
        <w:rPr>
          <w:rFonts w:ascii="Arial" w:cs="Arial" w:eastAsia="Arial" w:hAnsi="Arial"/>
          <w:b/>
          <w:bCs/>
          <w:color w:val="333333"/>
          <w:sz w:val="21"/>
          <w:szCs w:val="21"/>
        </w:rPr>
        <w:t xml:space="preserve">Clinical Assessment &amp; Examination: </w:t>
      </w:r>
      <w:r>
        <w:rPr>
          <w:rFonts w:ascii="Arial" w:cs="Arial" w:eastAsia="Arial" w:hAnsi="Arial"/>
          <w:color w:val="333333"/>
          <w:sz w:val="21"/>
          <w:szCs w:val="21"/>
        </w:rPr>
        <w:t xml:space="preserve">Provider reviews chart, examines patient, reviews results, and documents history of present illness (HPI), review of systems (ROS), and physical examination findings.</w:t>
      </w:r>
    </w:p>
    <w:p>
      <w:pPr>
        <w:pStyle w:val="ListParagraph"/>
        <w:numPr>
          <w:ilvl w:val="0"/>
          <w:numId w:val="3"/>
        </w:numPr>
        <w:spacing w:after="80" w:line="276"/>
      </w:pPr>
      <w:r>
        <w:rPr>
          <w:rFonts w:ascii="Arial" w:cs="Arial" w:eastAsia="Arial" w:hAnsi="Arial"/>
          <w:b/>
          <w:bCs/>
          <w:color w:val="333333"/>
          <w:sz w:val="21"/>
          <w:szCs w:val="21"/>
        </w:rPr>
        <w:t xml:space="preserve">Diagnosis &amp; Clinical Decision-Making: </w:t>
      </w:r>
      <w:r>
        <w:rPr>
          <w:rFonts w:ascii="Arial" w:cs="Arial" w:eastAsia="Arial" w:hAnsi="Arial"/>
          <w:color w:val="333333"/>
          <w:sz w:val="21"/>
          <w:szCs w:val="21"/>
        </w:rPr>
        <w:t xml:space="preserve">Provider establishes assessment/diagnosis using clinical judgment, supported by CDS alerts, evidence-based guidelines, and diagnostic test results.</w:t>
      </w:r>
    </w:p>
    <w:p>
      <w:pPr>
        <w:pStyle w:val="ListParagraph"/>
        <w:numPr>
          <w:ilvl w:val="0"/>
          <w:numId w:val="3"/>
        </w:numPr>
        <w:spacing w:after="80" w:line="276"/>
      </w:pPr>
      <w:r>
        <w:rPr>
          <w:rFonts w:ascii="Arial" w:cs="Arial" w:eastAsia="Arial" w:hAnsi="Arial"/>
          <w:b/>
          <w:bCs/>
          <w:color w:val="333333"/>
          <w:sz w:val="21"/>
          <w:szCs w:val="21"/>
        </w:rPr>
        <w:t xml:space="preserve">Order Entry &amp; Treatment: </w:t>
      </w:r>
      <w:r>
        <w:rPr>
          <w:rFonts w:ascii="Arial" w:cs="Arial" w:eastAsia="Arial" w:hAnsi="Arial"/>
          <w:color w:val="333333"/>
          <w:sz w:val="21"/>
          <w:szCs w:val="21"/>
        </w:rPr>
        <w:t xml:space="preserve">Provider enters orders via CPOE: medications (e-prescribing), lab tests, imaging, referrals, procedures, patient education. CDS provides drug interaction checks, allergy alerts, and duplicate order warnings.</w:t>
      </w:r>
    </w:p>
    <w:p>
      <w:pPr>
        <w:pStyle w:val="ListParagraph"/>
        <w:numPr>
          <w:ilvl w:val="0"/>
          <w:numId w:val="3"/>
        </w:numPr>
        <w:spacing w:after="80" w:line="276"/>
      </w:pPr>
      <w:r>
        <w:rPr>
          <w:rFonts w:ascii="Arial" w:cs="Arial" w:eastAsia="Arial" w:hAnsi="Arial"/>
          <w:b/>
          <w:bCs/>
          <w:color w:val="333333"/>
          <w:sz w:val="21"/>
          <w:szCs w:val="21"/>
        </w:rPr>
        <w:t xml:space="preserve">Patient Education &amp; Discharge: </w:t>
      </w:r>
      <w:r>
        <w:rPr>
          <w:rFonts w:ascii="Arial" w:cs="Arial" w:eastAsia="Arial" w:hAnsi="Arial"/>
          <w:color w:val="333333"/>
          <w:sz w:val="21"/>
          <w:szCs w:val="21"/>
        </w:rPr>
        <w:t xml:space="preserve">After Visit Summary (AVS) generated with diagnoses, instructions, medications, follow-up appointments, and referrals. Patient receives printed or portal-accessible copy.</w:t>
      </w:r>
    </w:p>
    <w:p>
      <w:pPr>
        <w:pStyle w:val="ListParagraph"/>
        <w:numPr>
          <w:ilvl w:val="0"/>
          <w:numId w:val="3"/>
        </w:numPr>
        <w:spacing w:after="80" w:line="276"/>
      </w:pPr>
      <w:r>
        <w:rPr>
          <w:rFonts w:ascii="Arial" w:cs="Arial" w:eastAsia="Arial" w:hAnsi="Arial"/>
          <w:b/>
          <w:bCs/>
          <w:color w:val="333333"/>
          <w:sz w:val="21"/>
          <w:szCs w:val="21"/>
        </w:rPr>
        <w:t xml:space="preserve">Follow-Up &amp; Care Coordination: </w:t>
      </w:r>
      <w:r>
        <w:rPr>
          <w:rFonts w:ascii="Arial" w:cs="Arial" w:eastAsia="Arial" w:hAnsi="Arial"/>
          <w:color w:val="333333"/>
          <w:sz w:val="21"/>
          <w:szCs w:val="21"/>
        </w:rPr>
        <w:t xml:space="preserve">Referral orders transmitted, prescription sent to pharmacy, lab/imaging orders routed, follow-up appointment scheduled, and care gap reminders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7EF" w:val="clear"/>
            <w:tcMar>
              <w:top w:type="dxa" w:w="120"/>
              <w:left w:type="dxa" w:w="200"/>
              <w:bottom w:type="dxa" w:w="120"/>
              <w:right w:type="dxa" w:w="200"/>
            </w:tcMar>
          </w:tcPr>
          <w:p>
            <w:pPr>
              <w:spacing w:after="80"/>
            </w:pPr>
            <w:r>
              <w:rPr>
                <w:rFonts w:ascii="Arial" w:cs="Arial" w:eastAsia="Arial" w:hAnsi="Arial"/>
                <w:b/>
                <w:bCs/>
                <w:color w:val="1E7E34"/>
                <w:sz w:val="21"/>
                <w:szCs w:val="21"/>
              </w:rPr>
              <w:t xml:space="preserve">IT Systems Touchpoints</w:t>
            </w:r>
          </w:p>
          <w:p>
            <w:pPr>
              <w:spacing w:after="0" w:line="276"/>
            </w:pPr>
            <w:r>
              <w:rPr>
                <w:rFonts w:ascii="Arial" w:cs="Arial" w:eastAsia="Arial" w:hAnsi="Arial"/>
                <w:i/>
                <w:iCs/>
                <w:color w:val="333333"/>
                <w:sz w:val="20"/>
                <w:szCs w:val="20"/>
              </w:rPr>
              <w:t xml:space="preserve">Scheduling system, Patient portal, Registration/ADT, EHR clinical documentation, CPOE, e-Prescribing (Surescripts), CDS engine, Lab/Radiology order routing, Referral management, Patient education, After Visit Summary generation, Charge capture, and Claims submission.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3.2 Inpatient Patient Journey</w:t>
      </w:r>
    </w:p>
    <w:p>
      <w:pPr>
        <w:spacing w:after="160" w:line="276"/>
      </w:pPr>
      <w:r>
        <w:rPr>
          <w:rFonts w:ascii="Arial" w:cs="Arial" w:eastAsia="Arial" w:hAnsi="Arial"/>
          <w:color w:val="333333"/>
          <w:sz w:val="21"/>
          <w:szCs w:val="21"/>
        </w:rPr>
        <w:t xml:space="preserve">The inpatient journey is significantly more complex, involving multiple departments, handoffs, and 24/7 continuous care.</w:t>
      </w:r>
    </w:p>
    <w:p>
      <w:pPr>
        <w:pStyle w:val="ListParagraph"/>
        <w:numPr>
          <w:ilvl w:val="0"/>
          <w:numId w:val="3"/>
        </w:numPr>
        <w:spacing w:after="80" w:line="276"/>
      </w:pPr>
      <w:r>
        <w:rPr>
          <w:rFonts w:ascii="Arial" w:cs="Arial" w:eastAsia="Arial" w:hAnsi="Arial"/>
          <w:b/>
          <w:bCs/>
          <w:color w:val="333333"/>
          <w:sz w:val="21"/>
          <w:szCs w:val="21"/>
        </w:rPr>
        <w:t xml:space="preserve">Emergency Presentation or Scheduled Admission: </w:t>
      </w:r>
      <w:r>
        <w:rPr>
          <w:rFonts w:ascii="Arial" w:cs="Arial" w:eastAsia="Arial" w:hAnsi="Arial"/>
          <w:color w:val="333333"/>
          <w:sz w:val="21"/>
          <w:szCs w:val="21"/>
        </w:rPr>
        <w:t xml:space="preserve">Patient arrives via ED, direct admission from physician office, or transfer from another facility. Pre-admission testing and insurance authorization may precede scheduled admissions.</w:t>
      </w:r>
    </w:p>
    <w:p>
      <w:pPr>
        <w:pStyle w:val="ListParagraph"/>
        <w:numPr>
          <w:ilvl w:val="0"/>
          <w:numId w:val="3"/>
        </w:numPr>
        <w:spacing w:after="80" w:line="276"/>
      </w:pPr>
      <w:r>
        <w:rPr>
          <w:rFonts w:ascii="Arial" w:cs="Arial" w:eastAsia="Arial" w:hAnsi="Arial"/>
          <w:b/>
          <w:bCs/>
          <w:color w:val="333333"/>
          <w:sz w:val="21"/>
          <w:szCs w:val="21"/>
        </w:rPr>
        <w:t xml:space="preserve">Registration &amp; ADT: </w:t>
      </w:r>
      <w:r>
        <w:rPr>
          <w:rFonts w:ascii="Arial" w:cs="Arial" w:eastAsia="Arial" w:hAnsi="Arial"/>
          <w:color w:val="333333"/>
          <w:sz w:val="21"/>
          <w:szCs w:val="21"/>
        </w:rPr>
        <w:t xml:space="preserve">Patient registered, bed assigned, ADT Admit (A01) message triggers downstream systems: dietary, pharmacy, nursing assignment, bed management, and financial systems.</w:t>
      </w:r>
    </w:p>
    <w:p>
      <w:pPr>
        <w:pStyle w:val="ListParagraph"/>
        <w:numPr>
          <w:ilvl w:val="0"/>
          <w:numId w:val="3"/>
        </w:numPr>
        <w:spacing w:after="80" w:line="276"/>
      </w:pPr>
      <w:r>
        <w:rPr>
          <w:rFonts w:ascii="Arial" w:cs="Arial" w:eastAsia="Arial" w:hAnsi="Arial"/>
          <w:b/>
          <w:bCs/>
          <w:color w:val="333333"/>
          <w:sz w:val="21"/>
          <w:szCs w:val="21"/>
        </w:rPr>
        <w:t xml:space="preserve">Nursing Assessment: </w:t>
      </w:r>
      <w:r>
        <w:rPr>
          <w:rFonts w:ascii="Arial" w:cs="Arial" w:eastAsia="Arial" w:hAnsi="Arial"/>
          <w:color w:val="333333"/>
          <w:sz w:val="21"/>
          <w:szCs w:val="21"/>
        </w:rPr>
        <w:t xml:space="preserve">Comprehensive admission assessment: fall risk (Morse scale), pressure injury risk (Braden scale), pain assessment, nutritional screening, functional status, psychosocial assessment, and discharge planning initiation.</w:t>
      </w:r>
    </w:p>
    <w:p>
      <w:pPr>
        <w:pStyle w:val="ListParagraph"/>
        <w:numPr>
          <w:ilvl w:val="0"/>
          <w:numId w:val="3"/>
        </w:numPr>
        <w:spacing w:after="80" w:line="276"/>
      </w:pPr>
      <w:r>
        <w:rPr>
          <w:rFonts w:ascii="Arial" w:cs="Arial" w:eastAsia="Arial" w:hAnsi="Arial"/>
          <w:b/>
          <w:bCs/>
          <w:color w:val="333333"/>
          <w:sz w:val="21"/>
          <w:szCs w:val="21"/>
        </w:rPr>
        <w:t xml:space="preserve">Physician Orders &amp; Care Plan: </w:t>
      </w:r>
      <w:r>
        <w:rPr>
          <w:rFonts w:ascii="Arial" w:cs="Arial" w:eastAsia="Arial" w:hAnsi="Arial"/>
          <w:color w:val="333333"/>
          <w:sz w:val="21"/>
          <w:szCs w:val="21"/>
        </w:rPr>
        <w:t xml:space="preserve">Attending physician writes admission orders: diet, activity, medications, diagnostics, monitoring parameters, consults, and VTE prophylaxis. Order sets streamline evidence-based care.</w:t>
      </w:r>
    </w:p>
    <w:p>
      <w:pPr>
        <w:pStyle w:val="ListParagraph"/>
        <w:numPr>
          <w:ilvl w:val="0"/>
          <w:numId w:val="3"/>
        </w:numPr>
        <w:spacing w:after="80" w:line="276"/>
      </w:pPr>
      <w:r>
        <w:rPr>
          <w:rFonts w:ascii="Arial" w:cs="Arial" w:eastAsia="Arial" w:hAnsi="Arial"/>
          <w:b/>
          <w:bCs/>
          <w:color w:val="333333"/>
          <w:sz w:val="21"/>
          <w:szCs w:val="21"/>
        </w:rPr>
        <w:t xml:space="preserve">Continuous Clinical Care: </w:t>
      </w:r>
      <w:r>
        <w:rPr>
          <w:rFonts w:ascii="Arial" w:cs="Arial" w:eastAsia="Arial" w:hAnsi="Arial"/>
          <w:color w:val="333333"/>
          <w:sz w:val="21"/>
          <w:szCs w:val="21"/>
        </w:rPr>
        <w:t xml:space="preserve">Ongoing nursing documentation (vital signs, I&amp;O, assessments), medication administration (BCMA), physician rounding and progress notes, specialist consultations, diagnostic studies, and therapy sessions.</w:t>
      </w:r>
    </w:p>
    <w:p>
      <w:pPr>
        <w:pStyle w:val="ListParagraph"/>
        <w:numPr>
          <w:ilvl w:val="0"/>
          <w:numId w:val="3"/>
        </w:numPr>
        <w:spacing w:after="80" w:line="276"/>
      </w:pPr>
      <w:r>
        <w:rPr>
          <w:rFonts w:ascii="Arial" w:cs="Arial" w:eastAsia="Arial" w:hAnsi="Arial"/>
          <w:b/>
          <w:bCs/>
          <w:color w:val="333333"/>
          <w:sz w:val="21"/>
          <w:szCs w:val="21"/>
        </w:rPr>
        <w:t xml:space="preserve">Interdisciplinary Care Coordination: </w:t>
      </w:r>
      <w:r>
        <w:rPr>
          <w:rFonts w:ascii="Arial" w:cs="Arial" w:eastAsia="Arial" w:hAnsi="Arial"/>
          <w:color w:val="333333"/>
          <w:sz w:val="21"/>
          <w:szCs w:val="21"/>
        </w:rPr>
        <w:t xml:space="preserve">Daily interdisciplinary rounds involving physicians, nurses, pharmacists, case managers, social workers, therapists, and dietitians. Care plans updated collaboratively.</w:t>
      </w:r>
    </w:p>
    <w:p>
      <w:pPr>
        <w:pStyle w:val="ListParagraph"/>
        <w:numPr>
          <w:ilvl w:val="0"/>
          <w:numId w:val="3"/>
        </w:numPr>
        <w:spacing w:after="80" w:line="276"/>
      </w:pPr>
      <w:r>
        <w:rPr>
          <w:rFonts w:ascii="Arial" w:cs="Arial" w:eastAsia="Arial" w:hAnsi="Arial"/>
          <w:b/>
          <w:bCs/>
          <w:color w:val="333333"/>
          <w:sz w:val="21"/>
          <w:szCs w:val="21"/>
        </w:rPr>
        <w:t xml:space="preserve">Discharge Planning &amp; Transitions: </w:t>
      </w:r>
      <w:r>
        <w:rPr>
          <w:rFonts w:ascii="Arial" w:cs="Arial" w:eastAsia="Arial" w:hAnsi="Arial"/>
          <w:color w:val="333333"/>
          <w:sz w:val="21"/>
          <w:szCs w:val="21"/>
        </w:rPr>
        <w:t xml:space="preserve">Case management arranges post-acute care (SNF, home health, outpatient rehab), medication reconciliation performed, discharge prescriptions written, patient/family education completed, follow-up appointments scheduled.</w:t>
      </w:r>
    </w:p>
    <w:p>
      <w:pPr>
        <w:pStyle w:val="ListParagraph"/>
        <w:numPr>
          <w:ilvl w:val="0"/>
          <w:numId w:val="3"/>
        </w:numPr>
        <w:spacing w:after="80" w:line="276"/>
      </w:pPr>
      <w:r>
        <w:rPr>
          <w:rFonts w:ascii="Arial" w:cs="Arial" w:eastAsia="Arial" w:hAnsi="Arial"/>
          <w:b/>
          <w:bCs/>
          <w:color w:val="333333"/>
          <w:sz w:val="21"/>
          <w:szCs w:val="21"/>
        </w:rPr>
        <w:t xml:space="preserve">Discharge Execution: </w:t>
      </w:r>
      <w:r>
        <w:rPr>
          <w:rFonts w:ascii="Arial" w:cs="Arial" w:eastAsia="Arial" w:hAnsi="Arial"/>
          <w:color w:val="333333"/>
          <w:sz w:val="21"/>
          <w:szCs w:val="21"/>
        </w:rPr>
        <w:t xml:space="preserve">Discharge orders signed, AVS/discharge summary generated, ADT Discharge (A03) message sent, bed freed in bed management system, and billing/coding initiated.</w:t>
      </w:r>
    </w:p>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4. Inpatient Workflows: Deep Dive</w:t>
      </w:r>
    </w:p>
    <w:p>
      <w:pPr>
        <w:pStyle w:val="Heading2"/>
        <w:spacing w:before="280" w:after="160"/>
      </w:pPr>
      <w:r>
        <w:rPr>
          <w:rFonts w:ascii="Arial" w:cs="Arial" w:eastAsia="Arial" w:hAnsi="Arial"/>
          <w:b/>
          <w:bCs/>
          <w:color w:val="2E75B6"/>
          <w:sz w:val="26"/>
          <w:szCs w:val="26"/>
        </w:rPr>
        <w:t xml:space="preserve">4.1 Admission, Discharge, Transfer (ADT)</w:t>
      </w:r>
    </w:p>
    <w:p>
      <w:pPr>
        <w:spacing w:after="160" w:line="276"/>
      </w:pPr>
      <w:r>
        <w:rPr>
          <w:rFonts w:ascii="Arial" w:cs="Arial" w:eastAsia="Arial" w:hAnsi="Arial"/>
          <w:color w:val="333333"/>
          <w:sz w:val="21"/>
          <w:szCs w:val="21"/>
        </w:rPr>
        <w:t xml:space="preserve">ADT is the backbone of inpatient operations and one of the most critical integration points in healthcare IT. ADT events trigger cascading actions across virtually every hospital system.</w:t>
      </w:r>
    </w:p>
    <w:p>
      <w:pPr>
        <w:pStyle w:val="Heading3"/>
        <w:spacing w:before="200" w:after="120"/>
      </w:pPr>
      <w:r>
        <w:rPr>
          <w:rFonts w:ascii="Arial" w:cs="Arial" w:eastAsia="Arial" w:hAnsi="Arial"/>
          <w:b/>
          <w:bCs/>
          <w:color w:val="1B3A5C"/>
          <w:sz w:val="22"/>
          <w:szCs w:val="22"/>
        </w:rPr>
        <w:t xml:space="preserve">4.1.1 ADT Event Types &amp; HL7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ADT Event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HL7 Trigger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Downstream System 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admitted to inpatient bed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Pharmacy profile created, dietary order initiated, nursing assignment, bed management updated, financial account opened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Transfer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moved to different unit/bed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Nursing assignment updated, telemetry monitoring adjusted, dietary delivery location changed, care team notification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Discharge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leaves facility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Bed freed, pharmacy profile closed, final charges captured, coding queue populated, discharge summary routed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Outpatient/ED registration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encounter created, insurance verified, clinical chart initialized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Pre-Admit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Pre-admission registration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Insurance pre-verified, pre-admission testing ordered, bed reserved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Transfer (pending)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Pending transfer notification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Receiving unit prepares, transport notified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Cancel Admit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Admission cancelled/reversed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downstream actions reversed, bed freed, orders cancelled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Swap Patients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A17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Two patients swap beds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Both patients’ locations updated simultaneously across all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Merge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Duplicate MRNs merged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data consolidated under surviving MRN across all systems</w:t>
            </w:r>
          </w:p>
        </w:tc>
      </w:tr>
    </w:tbl>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B35A00"/>
                <w:sz w:val="21"/>
                <w:szCs w:val="21"/>
              </w:rPr>
              <w:t xml:space="preserve">Critical IT Consideration</w:t>
            </w:r>
          </w:p>
          <w:p>
            <w:pPr>
              <w:spacing w:after="0" w:line="276"/>
            </w:pPr>
            <w:r>
              <w:rPr>
                <w:rFonts w:ascii="Arial" w:cs="Arial" w:eastAsia="Arial" w:hAnsi="Arial"/>
                <w:i/>
                <w:iCs/>
                <w:color w:val="333333"/>
                <w:sz w:val="20"/>
                <w:szCs w:val="20"/>
              </w:rPr>
              <w:t xml:space="preserve">ADT messages are the “heartbeat” of the hospital. A failed ADT interface can cause medications to route to wrong locations, dietary trays to be delivered to empty beds, and critical lab results to be sent to the wrong nursing station. ADT interface monitoring must be 24/7 with immediate alerting on message failures.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4.2 Physician Rounding &amp; Order Management</w:t>
      </w:r>
    </w:p>
    <w:p>
      <w:pPr>
        <w:spacing w:after="160" w:line="276"/>
      </w:pPr>
      <w:r>
        <w:rPr>
          <w:rFonts w:ascii="Arial" w:cs="Arial" w:eastAsia="Arial" w:hAnsi="Arial"/>
          <w:color w:val="333333"/>
          <w:sz w:val="21"/>
          <w:szCs w:val="21"/>
        </w:rPr>
        <w:t xml:space="preserve">Physician rounding is the process by which physicians visit each patient daily (or multiple times daily in critical care) to assess progress, review data, and make treatment decisions. The EHR must present the right information at the right time to support these rapid clinical decisions.</w:t>
      </w:r>
    </w:p>
    <w:p>
      <w:pPr>
        <w:pStyle w:val="Heading3"/>
        <w:spacing w:before="200" w:after="120"/>
      </w:pPr>
      <w:r>
        <w:rPr>
          <w:rFonts w:ascii="Arial" w:cs="Arial" w:eastAsia="Arial" w:hAnsi="Arial"/>
          <w:b/>
          <w:bCs/>
          <w:color w:val="1B3A5C"/>
          <w:sz w:val="22"/>
          <w:szCs w:val="22"/>
        </w:rPr>
        <w:t xml:space="preserve">4.2.1 Rounding Workflow</w:t>
      </w:r>
    </w:p>
    <w:p>
      <w:pPr>
        <w:pStyle w:val="ListParagraph"/>
        <w:numPr>
          <w:ilvl w:val="0"/>
          <w:numId w:val="3"/>
        </w:numPr>
        <w:spacing w:after="80" w:line="276"/>
      </w:pPr>
      <w:r>
        <w:rPr>
          <w:rFonts w:ascii="Arial" w:cs="Arial" w:eastAsia="Arial" w:hAnsi="Arial"/>
          <w:b/>
          <w:bCs/>
          <w:color w:val="333333"/>
          <w:sz w:val="21"/>
          <w:szCs w:val="21"/>
        </w:rPr>
        <w:t xml:space="preserve">Pre-Rounding Preparation: </w:t>
      </w:r>
      <w:r>
        <w:rPr>
          <w:rFonts w:ascii="Arial" w:cs="Arial" w:eastAsia="Arial" w:hAnsi="Arial"/>
          <w:color w:val="333333"/>
          <w:sz w:val="21"/>
          <w:szCs w:val="21"/>
        </w:rPr>
        <w:t xml:space="preserve">Physician (or resident) reviews the patient’s chart before visiting: overnight vital sign trends, new lab results, imaging reports, nursing notes, I&amp;O totals, medication changes, and consultant notes.</w:t>
      </w:r>
    </w:p>
    <w:p>
      <w:pPr>
        <w:pStyle w:val="ListParagraph"/>
        <w:numPr>
          <w:ilvl w:val="0"/>
          <w:numId w:val="3"/>
        </w:numPr>
        <w:spacing w:after="80" w:line="276"/>
      </w:pPr>
      <w:r>
        <w:rPr>
          <w:rFonts w:ascii="Arial" w:cs="Arial" w:eastAsia="Arial" w:hAnsi="Arial"/>
          <w:b/>
          <w:bCs/>
          <w:color w:val="333333"/>
          <w:sz w:val="21"/>
          <w:szCs w:val="21"/>
        </w:rPr>
        <w:t xml:space="preserve">Bedside Assessment: </w:t>
      </w:r>
      <w:r>
        <w:rPr>
          <w:rFonts w:ascii="Arial" w:cs="Arial" w:eastAsia="Arial" w:hAnsi="Arial"/>
          <w:color w:val="333333"/>
          <w:sz w:val="21"/>
          <w:szCs w:val="21"/>
        </w:rPr>
        <w:t xml:space="preserve">Physical examination, patient interview, review of lines/drains/devices, assessment of pain and functional status, discussion of care plan with patient/family.</w:t>
      </w:r>
    </w:p>
    <w:p>
      <w:pPr>
        <w:pStyle w:val="ListParagraph"/>
        <w:numPr>
          <w:ilvl w:val="0"/>
          <w:numId w:val="3"/>
        </w:numPr>
        <w:spacing w:after="80" w:line="276"/>
      </w:pPr>
      <w:r>
        <w:rPr>
          <w:rFonts w:ascii="Arial" w:cs="Arial" w:eastAsia="Arial" w:hAnsi="Arial"/>
          <w:b/>
          <w:bCs/>
          <w:color w:val="333333"/>
          <w:sz w:val="21"/>
          <w:szCs w:val="21"/>
        </w:rPr>
        <w:t xml:space="preserve">Order Entry: </w:t>
      </w:r>
      <w:r>
        <w:rPr>
          <w:rFonts w:ascii="Arial" w:cs="Arial" w:eastAsia="Arial" w:hAnsi="Arial"/>
          <w:color w:val="333333"/>
          <w:sz w:val="21"/>
          <w:szCs w:val="21"/>
        </w:rPr>
        <w:t xml:space="preserve">Based on assessment, the physician enters or modifies orders via CPOE: medication adjustments, new diagnostics, diet changes, activity orders, consultation requests, and discharge planning orders.</w:t>
      </w:r>
    </w:p>
    <w:p>
      <w:pPr>
        <w:pStyle w:val="ListParagraph"/>
        <w:numPr>
          <w:ilvl w:val="0"/>
          <w:numId w:val="3"/>
        </w:numPr>
        <w:spacing w:after="80" w:line="276"/>
      </w:pPr>
      <w:r>
        <w:rPr>
          <w:rFonts w:ascii="Arial" w:cs="Arial" w:eastAsia="Arial" w:hAnsi="Arial"/>
          <w:b/>
          <w:bCs/>
          <w:color w:val="333333"/>
          <w:sz w:val="21"/>
          <w:szCs w:val="21"/>
        </w:rPr>
        <w:t xml:space="preserve">Progress Note: </w:t>
      </w:r>
      <w:r>
        <w:rPr>
          <w:rFonts w:ascii="Arial" w:cs="Arial" w:eastAsia="Arial" w:hAnsi="Arial"/>
          <w:color w:val="333333"/>
          <w:sz w:val="21"/>
          <w:szCs w:val="21"/>
        </w:rPr>
        <w:t xml:space="preserve">Physician documents the encounter in a daily progress note following the SOAP (Subjective, Objective, Assessment, Plan) or APSO format. Many systems use smart phrases, templates, and auto-population of data from discrete fields.</w:t>
      </w:r>
    </w:p>
    <w:p>
      <w:pPr>
        <w:pStyle w:val="ListParagraph"/>
        <w:numPr>
          <w:ilvl w:val="0"/>
          <w:numId w:val="3"/>
        </w:numPr>
        <w:spacing w:after="80" w:line="276"/>
      </w:pPr>
      <w:r>
        <w:rPr>
          <w:rFonts w:ascii="Arial" w:cs="Arial" w:eastAsia="Arial" w:hAnsi="Arial"/>
          <w:b/>
          <w:bCs/>
          <w:color w:val="333333"/>
          <w:sz w:val="21"/>
          <w:szCs w:val="21"/>
        </w:rPr>
        <w:t xml:space="preserve">Interdisciplinary Rounds: </w:t>
      </w:r>
      <w:r>
        <w:rPr>
          <w:rFonts w:ascii="Arial" w:cs="Arial" w:eastAsia="Arial" w:hAnsi="Arial"/>
          <w:color w:val="333333"/>
          <w:sz w:val="21"/>
          <w:szCs w:val="21"/>
        </w:rPr>
        <w:t xml:space="preserve">Physician participates in multidisciplinary rounds, updating the shared care plan and coordinating with nursing, pharmacy, therapy, case management, and social work.</w:t>
      </w:r>
    </w:p>
    <w:p>
      <w:pPr>
        <w:pStyle w:val="Heading3"/>
        <w:spacing w:before="200" w:after="120"/>
      </w:pPr>
      <w:r>
        <w:rPr>
          <w:rFonts w:ascii="Arial" w:cs="Arial" w:eastAsia="Arial" w:hAnsi="Arial"/>
          <w:b/>
          <w:bCs/>
          <w:color w:val="1B3A5C"/>
          <w:sz w:val="22"/>
          <w:szCs w:val="22"/>
        </w:rPr>
        <w:t xml:space="preserve">4.2.2 Order Types in CPOE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Order Category</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CDS Alerts/Checks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IV antibiotics, oral medications, PRN pain meds, insulin protocols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Drug-drug interactions, allergy alerts, dose range checks, renal dosing, weight-based dosing, duplicate therapy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Laboratory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CBC, BMP, blood cultures, coagulation studies, troponin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Duplicate order alerts, frequency limits, critical value notification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Imaging/Radiology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Chest X-ray, CT scan, MRI, ultrasound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Pregnancy screening for radiation, contrast allergy checks, prior authorization requirements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Nursing Orders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Vital sign frequency, fall precautions, wound care, restraints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Safety protocol triggers, assessment frequency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Diet/Nutrition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Regular, cardiac, diabetic, NPO, clear liquids, tube feeding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Allergy cross-reference, NPO for procedures, calorie count orders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Activity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Bed rest, ambulate with assistance, up ad lib, PT/OT consults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DVT prophylaxis triggers when activity is restricted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Cardiology, infectious disease, palliative care, surgery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Routing to specialist worklist, priority/urgency flagging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Discharge Orders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Discharge to home, SNF, follow-up appointments, prescriptions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Medication reconciliation enforcement, discharge summary completion checks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4.3 Nursing Workflows (Inpatient)</w:t>
      </w:r>
    </w:p>
    <w:p>
      <w:pPr>
        <w:spacing w:after="160" w:line="276"/>
      </w:pPr>
      <w:r>
        <w:rPr>
          <w:rFonts w:ascii="Arial" w:cs="Arial" w:eastAsia="Arial" w:hAnsi="Arial"/>
          <w:color w:val="333333"/>
          <w:sz w:val="21"/>
          <w:szCs w:val="21"/>
        </w:rPr>
        <w:t xml:space="preserve">Nurses are the most frequent and intensive users of EHR systems. Their documentation drives patient safety, care continuity, regulatory compliance, and quality measurement. Understanding nursing workflows is essential for EHR optimization.</w:t>
      </w:r>
    </w:p>
    <w:p>
      <w:pPr>
        <w:pStyle w:val="Heading3"/>
        <w:spacing w:before="200" w:after="120"/>
      </w:pPr>
      <w:r>
        <w:rPr>
          <w:rFonts w:ascii="Arial" w:cs="Arial" w:eastAsia="Arial" w:hAnsi="Arial"/>
          <w:b/>
          <w:bCs/>
          <w:color w:val="1B3A5C"/>
          <w:sz w:val="22"/>
          <w:szCs w:val="22"/>
        </w:rPr>
        <w:t xml:space="preserve">4.3.1 Shift-Based Nursing Workflow</w:t>
      </w:r>
    </w:p>
    <w:p>
      <w:pPr>
        <w:pStyle w:val="ListParagraph"/>
        <w:numPr>
          <w:ilvl w:val="0"/>
          <w:numId w:val="3"/>
        </w:numPr>
        <w:spacing w:after="80" w:line="276"/>
      </w:pPr>
      <w:r>
        <w:rPr>
          <w:rFonts w:ascii="Arial" w:cs="Arial" w:eastAsia="Arial" w:hAnsi="Arial"/>
          <w:b/>
          <w:bCs/>
          <w:color w:val="333333"/>
          <w:sz w:val="21"/>
          <w:szCs w:val="21"/>
        </w:rPr>
        <w:t xml:space="preserve">Shift Handoff (SBAR): </w:t>
      </w:r>
      <w:r>
        <w:rPr>
          <w:rFonts w:ascii="Arial" w:cs="Arial" w:eastAsia="Arial" w:hAnsi="Arial"/>
          <w:color w:val="333333"/>
          <w:sz w:val="21"/>
          <w:szCs w:val="21"/>
        </w:rPr>
        <w:t xml:space="preserve">Incoming nurse receives report using SBAR format: Situation (what’s happening now), Background (clinical history), Assessment (current status), Recommendation (what needs to happen). EHR handoff tools generate automated SBAR reports from discrete data.</w:t>
      </w:r>
    </w:p>
    <w:p>
      <w:pPr>
        <w:pStyle w:val="ListParagraph"/>
        <w:numPr>
          <w:ilvl w:val="0"/>
          <w:numId w:val="3"/>
        </w:numPr>
        <w:spacing w:after="80" w:line="276"/>
      </w:pPr>
      <w:r>
        <w:rPr>
          <w:rFonts w:ascii="Arial" w:cs="Arial" w:eastAsia="Arial" w:hAnsi="Arial"/>
          <w:b/>
          <w:bCs/>
          <w:color w:val="333333"/>
          <w:sz w:val="21"/>
          <w:szCs w:val="21"/>
        </w:rPr>
        <w:t xml:space="preserve">Patient Assessment: </w:t>
      </w:r>
      <w:r>
        <w:rPr>
          <w:rFonts w:ascii="Arial" w:cs="Arial" w:eastAsia="Arial" w:hAnsi="Arial"/>
          <w:color w:val="333333"/>
          <w:sz w:val="21"/>
          <w:szCs w:val="21"/>
        </w:rPr>
        <w:t xml:space="preserve">Head-to-toe assessment documented in the EHR: neurological, cardiovascular, respiratory, gastrointestinal, genitourinary, musculoskeletal, integumentary (skin/wounds), and psychosocial status.</w:t>
      </w:r>
    </w:p>
    <w:p>
      <w:pPr>
        <w:pStyle w:val="ListParagraph"/>
        <w:numPr>
          <w:ilvl w:val="0"/>
          <w:numId w:val="3"/>
        </w:numPr>
        <w:spacing w:after="80" w:line="276"/>
      </w:pPr>
      <w:r>
        <w:rPr>
          <w:rFonts w:ascii="Arial" w:cs="Arial" w:eastAsia="Arial" w:hAnsi="Arial"/>
          <w:b/>
          <w:bCs/>
          <w:color w:val="333333"/>
          <w:sz w:val="21"/>
          <w:szCs w:val="21"/>
        </w:rPr>
        <w:t xml:space="preserve">Medication Administration (BCMA): </w:t>
      </w:r>
      <w:r>
        <w:rPr>
          <w:rFonts w:ascii="Arial" w:cs="Arial" w:eastAsia="Arial" w:hAnsi="Arial"/>
          <w:color w:val="333333"/>
          <w:sz w:val="21"/>
          <w:szCs w:val="21"/>
        </w:rPr>
        <w:t xml:space="preserve">The nurse scans their badge, scans the patient’s wristband barcode, scans the medication barcode, verifies the Five Rights (right patient, right drug, right dose, right route, right time), and documents administration in the MAR.</w:t>
      </w:r>
    </w:p>
    <w:p>
      <w:pPr>
        <w:pStyle w:val="ListParagraph"/>
        <w:numPr>
          <w:ilvl w:val="0"/>
          <w:numId w:val="3"/>
        </w:numPr>
        <w:spacing w:after="80" w:line="276"/>
      </w:pPr>
      <w:r>
        <w:rPr>
          <w:rFonts w:ascii="Arial" w:cs="Arial" w:eastAsia="Arial" w:hAnsi="Arial"/>
          <w:b/>
          <w:bCs/>
          <w:color w:val="333333"/>
          <w:sz w:val="21"/>
          <w:szCs w:val="21"/>
        </w:rPr>
        <w:t xml:space="preserve">Vital Signs &amp; Flowsheets: </w:t>
      </w:r>
      <w:r>
        <w:rPr>
          <w:rFonts w:ascii="Arial" w:cs="Arial" w:eastAsia="Arial" w:hAnsi="Arial"/>
          <w:color w:val="333333"/>
          <w:sz w:val="21"/>
          <w:szCs w:val="21"/>
        </w:rPr>
        <w:t xml:space="preserve">Regular vital sign documentation (frequency based on acuity: every 4 hours for med/surg, every 1-2 hours for step-down, continuous in ICU). Flowsheets capture I&amp;O, pain assessments, neurological checks, and other recurring data.</w:t>
      </w:r>
    </w:p>
    <w:p>
      <w:pPr>
        <w:pStyle w:val="ListParagraph"/>
        <w:numPr>
          <w:ilvl w:val="0"/>
          <w:numId w:val="3"/>
        </w:numPr>
        <w:spacing w:after="80" w:line="276"/>
      </w:pPr>
      <w:r>
        <w:rPr>
          <w:rFonts w:ascii="Arial" w:cs="Arial" w:eastAsia="Arial" w:hAnsi="Arial"/>
          <w:b/>
          <w:bCs/>
          <w:color w:val="333333"/>
          <w:sz w:val="21"/>
          <w:szCs w:val="21"/>
        </w:rPr>
        <w:t xml:space="preserve">Care Plan Management: </w:t>
      </w:r>
      <w:r>
        <w:rPr>
          <w:rFonts w:ascii="Arial" w:cs="Arial" w:eastAsia="Arial" w:hAnsi="Arial"/>
          <w:color w:val="333333"/>
          <w:sz w:val="21"/>
          <w:szCs w:val="21"/>
        </w:rPr>
        <w:t xml:space="preserve">Nursing care plans with evidence-based interventions, updated as patient condition changes. Includes fall prevention, skin integrity, pain management, and patient education goals.</w:t>
      </w:r>
    </w:p>
    <w:p>
      <w:pPr>
        <w:pStyle w:val="ListParagraph"/>
        <w:numPr>
          <w:ilvl w:val="0"/>
          <w:numId w:val="3"/>
        </w:numPr>
        <w:spacing w:after="80" w:line="276"/>
      </w:pPr>
      <w:r>
        <w:rPr>
          <w:rFonts w:ascii="Arial" w:cs="Arial" w:eastAsia="Arial" w:hAnsi="Arial"/>
          <w:b/>
          <w:bCs/>
          <w:color w:val="333333"/>
          <w:sz w:val="21"/>
          <w:szCs w:val="21"/>
        </w:rPr>
        <w:t xml:space="preserve">Communication &amp; Escalation: </w:t>
      </w:r>
      <w:r>
        <w:rPr>
          <w:rFonts w:ascii="Arial" w:cs="Arial" w:eastAsia="Arial" w:hAnsi="Arial"/>
          <w:color w:val="333333"/>
          <w:sz w:val="21"/>
          <w:szCs w:val="21"/>
        </w:rPr>
        <w:t xml:space="preserve">Secure messaging to physicians, Rapid Response Team (RRT) activation for clinical deterioration, condition change notifications, and family updates.</w:t>
      </w:r>
    </w:p>
    <w:p>
      <w:pPr>
        <w:pStyle w:val="ListParagraph"/>
        <w:numPr>
          <w:ilvl w:val="0"/>
          <w:numId w:val="3"/>
        </w:numPr>
        <w:spacing w:after="80" w:line="276"/>
      </w:pPr>
      <w:r>
        <w:rPr>
          <w:rFonts w:ascii="Arial" w:cs="Arial" w:eastAsia="Arial" w:hAnsi="Arial"/>
          <w:b/>
          <w:bCs/>
          <w:color w:val="333333"/>
          <w:sz w:val="21"/>
          <w:szCs w:val="21"/>
        </w:rPr>
        <w:t xml:space="preserve">Discharge Education: </w:t>
      </w:r>
      <w:r>
        <w:rPr>
          <w:rFonts w:ascii="Arial" w:cs="Arial" w:eastAsia="Arial" w:hAnsi="Arial"/>
          <w:color w:val="333333"/>
          <w:sz w:val="21"/>
          <w:szCs w:val="21"/>
        </w:rPr>
        <w:t xml:space="preserve">Teaching patient/family about medications, activity restrictions, wound care, warning signs, and follow-up appointments. Documentation of teach-back method for health literacy.</w:t>
      </w:r>
    </w:p>
    <w:p>
      <w:pPr>
        <w:pStyle w:val="Heading3"/>
        <w:spacing w:before="200" w:after="120"/>
      </w:pPr>
      <w:r>
        <w:rPr>
          <w:rFonts w:ascii="Arial" w:cs="Arial" w:eastAsia="Arial" w:hAnsi="Arial"/>
          <w:b/>
          <w:bCs/>
          <w:color w:val="1B3A5C"/>
          <w:sz w:val="22"/>
          <w:szCs w:val="22"/>
        </w:rPr>
        <w:t xml:space="preserve">4.3.2 Key Nursing Documentation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Admission Assessment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Comprehensive initial assessment within hours of admission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templates, risk scoring (Braden, Morse), auto-calculations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Flowsheets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Recurring data capture: vitals, I&amp;O, pain, neuro checks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Graphing/trending, auto-calculation (MAP, BMI), device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 (Medication Administration Record)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record of all medications given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BCMA integration, missed dose alerts, PRN effectiveness documentation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Care Plans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Evidence-based nursing interventions and goals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Problem-based care plans, outcomes tracking, interdisciplinary collaboration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Wound Documentation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Wound assessment with staging, measurements, photos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 capture, wound measurement tools, healing trajectory tracking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Restraint Documentation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Required assessments and monitoring for restrained patients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Timed reassessment alerts, release trial documentation, physician renewal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 Risk Assessment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Morse Fall Scale or equivalent with interventions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Auto-scoring, fall prevention bundle activation, post-fall huddle documentation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SBAR Handoff Report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Standardized communication at shift change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Auto-generated from discrete data, printable/electronic handoff tools</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5. Outpatient/Ambulatory Workflows</w:t>
      </w:r>
    </w:p>
    <w:p>
      <w:pPr>
        <w:spacing w:after="160" w:line="276"/>
      </w:pPr>
      <w:r>
        <w:rPr>
          <w:rFonts w:ascii="Arial" w:cs="Arial" w:eastAsia="Arial" w:hAnsi="Arial"/>
          <w:color w:val="333333"/>
          <w:sz w:val="21"/>
          <w:szCs w:val="21"/>
        </w:rPr>
        <w:t xml:space="preserve">Ambulatory care represents the vast majority of healthcare encounters. The workflows are faster-paced, higher-volume, and heavily dependent on efficient IT systems to manage patient throughput and documentation completeness.</w:t>
      </w:r>
    </w:p>
    <w:p>
      <w:pPr>
        <w:pStyle w:val="Heading2"/>
        <w:spacing w:before="280" w:after="160"/>
      </w:pPr>
      <w:r>
        <w:rPr>
          <w:rFonts w:ascii="Arial" w:cs="Arial" w:eastAsia="Arial" w:hAnsi="Arial"/>
          <w:b/>
          <w:bCs/>
          <w:color w:val="2E75B6"/>
          <w:sz w:val="26"/>
          <w:szCs w:val="26"/>
        </w:rPr>
        <w:t xml:space="preserve">5.1 Scheduling &amp; Pre-Visit</w:t>
      </w:r>
    </w:p>
    <w:p>
      <w:pPr>
        <w:spacing w:after="160" w:line="276"/>
      </w:pPr>
      <w:r>
        <w:rPr>
          <w:rFonts w:ascii="Arial" w:cs="Arial" w:eastAsia="Arial" w:hAnsi="Arial"/>
          <w:color w:val="333333"/>
          <w:sz w:val="21"/>
          <w:szCs w:val="21"/>
        </w:rPr>
        <w:t xml:space="preserve">Ambulatory scheduling is far more complex than simple calendar management. It must accommodate multiple provider schedules, appointment types, insurance requirements, equipment availability, and preparation instructions.</w:t>
      </w:r>
    </w:p>
    <w:p>
      <w:pPr>
        <w:pStyle w:val="ListParagraph"/>
        <w:numPr>
          <w:ilvl w:val="0"/>
          <w:numId w:val="2"/>
        </w:numPr>
        <w:spacing w:after="80" w:line="276"/>
      </w:pPr>
      <w:r>
        <w:rPr>
          <w:rFonts w:ascii="Arial" w:cs="Arial" w:eastAsia="Arial" w:hAnsi="Arial"/>
          <w:b/>
          <w:bCs/>
          <w:color w:val="333333"/>
          <w:sz w:val="21"/>
          <w:szCs w:val="21"/>
        </w:rPr>
        <w:t xml:space="preserve">Scheduling Rules: </w:t>
      </w:r>
      <w:r>
        <w:rPr>
          <w:rFonts w:ascii="Arial" w:cs="Arial" w:eastAsia="Arial" w:hAnsi="Arial"/>
          <w:color w:val="333333"/>
          <w:sz w:val="21"/>
          <w:szCs w:val="21"/>
        </w:rPr>
        <w:t xml:space="preserve">Template-based scheduling with visit types (new patient, follow-up, procedure, telehealth), duration rules, overbooking policies, and provider-specific preferences. Specialty scheduling may require equipment (e.g., echo machine) or room type (e.g., procedure room).</w:t>
      </w:r>
    </w:p>
    <w:p>
      <w:pPr>
        <w:pStyle w:val="ListParagraph"/>
        <w:numPr>
          <w:ilvl w:val="0"/>
          <w:numId w:val="2"/>
        </w:numPr>
        <w:spacing w:after="80" w:line="276"/>
      </w:pPr>
      <w:r>
        <w:rPr>
          <w:rFonts w:ascii="Arial" w:cs="Arial" w:eastAsia="Arial" w:hAnsi="Arial"/>
          <w:b/>
          <w:bCs/>
          <w:color w:val="333333"/>
          <w:sz w:val="21"/>
          <w:szCs w:val="21"/>
        </w:rPr>
        <w:t xml:space="preserve">Waitlist Management: </w:t>
      </w:r>
      <w:r>
        <w:rPr>
          <w:rFonts w:ascii="Arial" w:cs="Arial" w:eastAsia="Arial" w:hAnsi="Arial"/>
          <w:color w:val="333333"/>
          <w:sz w:val="21"/>
          <w:szCs w:val="21"/>
        </w:rPr>
        <w:t xml:space="preserve">Automated waitlist functionality to fill cancellation slots. Priority-based waitlisting with patient preference matching.</w:t>
      </w:r>
    </w:p>
    <w:p>
      <w:pPr>
        <w:pStyle w:val="ListParagraph"/>
        <w:numPr>
          <w:ilvl w:val="0"/>
          <w:numId w:val="2"/>
        </w:numPr>
        <w:spacing w:after="80" w:line="276"/>
      </w:pPr>
      <w:r>
        <w:rPr>
          <w:rFonts w:ascii="Arial" w:cs="Arial" w:eastAsia="Arial" w:hAnsi="Arial"/>
          <w:b/>
          <w:bCs/>
          <w:color w:val="333333"/>
          <w:sz w:val="21"/>
          <w:szCs w:val="21"/>
        </w:rPr>
        <w:t xml:space="preserve">Pre-Visit Planning: </w:t>
      </w:r>
      <w:r>
        <w:rPr>
          <w:rFonts w:ascii="Arial" w:cs="Arial" w:eastAsia="Arial" w:hAnsi="Arial"/>
          <w:color w:val="333333"/>
          <w:sz w:val="21"/>
          <w:szCs w:val="21"/>
        </w:rPr>
        <w:t xml:space="preserve">Care gap identification (overdue mammogram, A1c, colonoscopy), pre-visit lab orders, health questionnaires via patient portal, and medication reconciliation reminders.</w:t>
      </w:r>
    </w:p>
    <w:p>
      <w:pPr>
        <w:pStyle w:val="ListParagraph"/>
        <w:numPr>
          <w:ilvl w:val="0"/>
          <w:numId w:val="2"/>
        </w:numPr>
        <w:spacing w:after="80" w:line="276"/>
      </w:pPr>
      <w:r>
        <w:rPr>
          <w:rFonts w:ascii="Arial" w:cs="Arial" w:eastAsia="Arial" w:hAnsi="Arial"/>
          <w:b/>
          <w:bCs/>
          <w:color w:val="333333"/>
          <w:sz w:val="21"/>
          <w:szCs w:val="21"/>
        </w:rPr>
        <w:t xml:space="preserve">Patient Reminders: </w:t>
      </w:r>
      <w:r>
        <w:rPr>
          <w:rFonts w:ascii="Arial" w:cs="Arial" w:eastAsia="Arial" w:hAnsi="Arial"/>
          <w:color w:val="333333"/>
          <w:sz w:val="21"/>
          <w:szCs w:val="21"/>
        </w:rPr>
        <w:t xml:space="preserve">Automated appointment reminders via text, email, phone (IVR). Confirmation/cancellation response processing. No-show prediction models to optimize scheduling.</w:t>
      </w:r>
    </w:p>
    <w:p>
      <w:pPr>
        <w:pStyle w:val="ListParagraph"/>
        <w:numPr>
          <w:ilvl w:val="0"/>
          <w:numId w:val="2"/>
        </w:numPr>
        <w:spacing w:after="80" w:line="276"/>
      </w:pPr>
      <w:r>
        <w:rPr>
          <w:rFonts w:ascii="Arial" w:cs="Arial" w:eastAsia="Arial" w:hAnsi="Arial"/>
          <w:b/>
          <w:bCs/>
          <w:color w:val="333333"/>
          <w:sz w:val="21"/>
          <w:szCs w:val="21"/>
        </w:rPr>
        <w:t xml:space="preserve">Insurance Pre-Authorization: </w:t>
      </w:r>
      <w:r>
        <w:rPr>
          <w:rFonts w:ascii="Arial" w:cs="Arial" w:eastAsia="Arial" w:hAnsi="Arial"/>
          <w:color w:val="333333"/>
          <w:sz w:val="21"/>
          <w:szCs w:val="21"/>
        </w:rPr>
        <w:t xml:space="preserve">For certain visit types and procedures, prior authorization must be obtained before the appointment. Electronic prior auth (278 transactions) and increasingly FHIR-based prior auth APIs are streamlining this workflow.</w:t>
      </w:r>
    </w:p>
    <w:p>
      <w:pPr>
        <w:pStyle w:val="Heading2"/>
        <w:spacing w:before="280" w:after="160"/>
      </w:pPr>
      <w:r>
        <w:rPr>
          <w:rFonts w:ascii="Arial" w:cs="Arial" w:eastAsia="Arial" w:hAnsi="Arial"/>
          <w:b/>
          <w:bCs/>
          <w:color w:val="2E75B6"/>
          <w:sz w:val="26"/>
          <w:szCs w:val="26"/>
        </w:rPr>
        <w:t xml:space="preserve">5.2 Check-In &amp; Registration</w:t>
      </w:r>
    </w:p>
    <w:p>
      <w:pPr>
        <w:pStyle w:val="ListParagraph"/>
        <w:numPr>
          <w:ilvl w:val="0"/>
          <w:numId w:val="2"/>
        </w:numPr>
        <w:spacing w:after="80" w:line="276"/>
      </w:pPr>
      <w:r>
        <w:rPr>
          <w:rFonts w:ascii="Arial" w:cs="Arial" w:eastAsia="Arial" w:hAnsi="Arial"/>
          <w:b/>
          <w:bCs/>
          <w:color w:val="333333"/>
          <w:sz w:val="21"/>
          <w:szCs w:val="21"/>
        </w:rPr>
        <w:t xml:space="preserve">Patient Identification: </w:t>
      </w:r>
      <w:r>
        <w:rPr>
          <w:rFonts w:ascii="Arial" w:cs="Arial" w:eastAsia="Arial" w:hAnsi="Arial"/>
          <w:color w:val="333333"/>
          <w:sz w:val="21"/>
          <w:szCs w:val="21"/>
        </w:rPr>
        <w:t xml:space="preserve">Name, date of birth, photo ID verification. Some systems use biometric identification (palm vein scanning, facial recognition) to prevent duplicate records and fraud.</w:t>
      </w:r>
    </w:p>
    <w:p>
      <w:pPr>
        <w:pStyle w:val="ListParagraph"/>
        <w:numPr>
          <w:ilvl w:val="0"/>
          <w:numId w:val="2"/>
        </w:numPr>
        <w:spacing w:after="80" w:line="276"/>
      </w:pPr>
      <w:r>
        <w:rPr>
          <w:rFonts w:ascii="Arial" w:cs="Arial" w:eastAsia="Arial" w:hAnsi="Arial"/>
          <w:b/>
          <w:bCs/>
          <w:color w:val="333333"/>
          <w:sz w:val="21"/>
          <w:szCs w:val="21"/>
        </w:rPr>
        <w:t xml:space="preserve">Insurance Verification: </w:t>
      </w:r>
      <w:r>
        <w:rPr>
          <w:rFonts w:ascii="Arial" w:cs="Arial" w:eastAsia="Arial" w:hAnsi="Arial"/>
          <w:color w:val="333333"/>
          <w:sz w:val="21"/>
          <w:szCs w:val="21"/>
        </w:rPr>
        <w:t xml:space="preserve">Real-time eligibility check (270/271), copay determination, deductible status, and coverage verification. Front-desk staff or self-service kiosk collects copay.</w:t>
      </w:r>
    </w:p>
    <w:p>
      <w:pPr>
        <w:pStyle w:val="ListParagraph"/>
        <w:numPr>
          <w:ilvl w:val="0"/>
          <w:numId w:val="2"/>
        </w:numPr>
        <w:spacing w:after="80" w:line="276"/>
      </w:pPr>
      <w:r>
        <w:rPr>
          <w:rFonts w:ascii="Arial" w:cs="Arial" w:eastAsia="Arial" w:hAnsi="Arial"/>
          <w:b/>
          <w:bCs/>
          <w:color w:val="333333"/>
          <w:sz w:val="21"/>
          <w:szCs w:val="21"/>
        </w:rPr>
        <w:t xml:space="preserve">Consent &amp; Forms: </w:t>
      </w:r>
      <w:r>
        <w:rPr>
          <w:rFonts w:ascii="Arial" w:cs="Arial" w:eastAsia="Arial" w:hAnsi="Arial"/>
          <w:color w:val="333333"/>
          <w:sz w:val="21"/>
          <w:szCs w:val="21"/>
        </w:rPr>
        <w:t xml:space="preserve">Electronic signature capture for HIPAA Notice of Privacy Practices, consent to treat, financial responsibility, and procedure-specific informed consent.</w:t>
      </w:r>
    </w:p>
    <w:p>
      <w:pPr>
        <w:pStyle w:val="ListParagraph"/>
        <w:numPr>
          <w:ilvl w:val="0"/>
          <w:numId w:val="2"/>
        </w:numPr>
        <w:spacing w:after="80" w:line="276"/>
      </w:pPr>
      <w:r>
        <w:rPr>
          <w:rFonts w:ascii="Arial" w:cs="Arial" w:eastAsia="Arial" w:hAnsi="Arial"/>
          <w:b/>
          <w:bCs/>
          <w:color w:val="333333"/>
          <w:sz w:val="21"/>
          <w:szCs w:val="21"/>
        </w:rPr>
        <w:t xml:space="preserve">Patient Intake Questionnaires: </w:t>
      </w:r>
      <w:r>
        <w:rPr>
          <w:rFonts w:ascii="Arial" w:cs="Arial" w:eastAsia="Arial" w:hAnsi="Arial"/>
          <w:color w:val="333333"/>
          <w:sz w:val="21"/>
          <w:szCs w:val="21"/>
        </w:rPr>
        <w:t xml:space="preserve">PHQ-2/PHQ-9 (depression screening), GAD-7 (anxiety), SDOH screening, fall risk screening, and specialty-specific intake forms completed on tablet or via portal.</w:t>
      </w:r>
    </w:p>
    <w:p>
      <w:pPr>
        <w:pStyle w:val="Heading2"/>
        <w:spacing w:before="280" w:after="160"/>
      </w:pPr>
      <w:r>
        <w:rPr>
          <w:rFonts w:ascii="Arial" w:cs="Arial" w:eastAsia="Arial" w:hAnsi="Arial"/>
          <w:b/>
          <w:bCs/>
          <w:color w:val="2E75B6"/>
          <w:sz w:val="26"/>
          <w:szCs w:val="26"/>
        </w:rPr>
        <w:t xml:space="preserve">5.3 Clinical Encounter Documentation</w:t>
      </w:r>
    </w:p>
    <w:p>
      <w:pPr>
        <w:spacing w:after="160" w:line="276"/>
      </w:pPr>
      <w:r>
        <w:rPr>
          <w:rFonts w:ascii="Arial" w:cs="Arial" w:eastAsia="Arial" w:hAnsi="Arial"/>
          <w:color w:val="333333"/>
          <w:sz w:val="21"/>
          <w:szCs w:val="21"/>
        </w:rPr>
        <w:t xml:space="preserve">The ambulatory clinical encounter is documented in a structured encounter note, typically following the SOAP format or using problem-oriented documentation.</w:t>
      </w:r>
    </w:p>
    <w:p>
      <w:pPr>
        <w:pStyle w:val="Heading3"/>
        <w:spacing w:before="200" w:after="120"/>
      </w:pPr>
      <w:r>
        <w:rPr>
          <w:rFonts w:ascii="Arial" w:cs="Arial" w:eastAsia="Arial" w:hAnsi="Arial"/>
          <w:b/>
          <w:bCs/>
          <w:color w:val="1B3A5C"/>
          <w:sz w:val="22"/>
          <w:szCs w:val="22"/>
        </w:rPr>
        <w:t xml:space="preserve">5.3.1 Documentation Components</w:t>
      </w:r>
    </w:p>
    <w:p>
      <w:pPr>
        <w:pStyle w:val="ListParagraph"/>
        <w:numPr>
          <w:ilvl w:val="0"/>
          <w:numId w:val="2"/>
        </w:numPr>
        <w:spacing w:after="80" w:line="276"/>
      </w:pPr>
      <w:r>
        <w:rPr>
          <w:rFonts w:ascii="Arial" w:cs="Arial" w:eastAsia="Arial" w:hAnsi="Arial"/>
          <w:b/>
          <w:bCs/>
          <w:color w:val="333333"/>
          <w:sz w:val="21"/>
          <w:szCs w:val="21"/>
        </w:rPr>
        <w:t xml:space="preserve">Chief Complaint (CC): </w:t>
      </w:r>
      <w:r>
        <w:rPr>
          <w:rFonts w:ascii="Arial" w:cs="Arial" w:eastAsia="Arial" w:hAnsi="Arial"/>
          <w:color w:val="333333"/>
          <w:sz w:val="21"/>
          <w:szCs w:val="21"/>
        </w:rPr>
        <w:t xml:space="preserve">The reason for the visit in the patient’s own words. Captured at intake by medical assistant or via patient questionnaire.</w:t>
      </w:r>
    </w:p>
    <w:p>
      <w:pPr>
        <w:pStyle w:val="ListParagraph"/>
        <w:numPr>
          <w:ilvl w:val="0"/>
          <w:numId w:val="2"/>
        </w:numPr>
        <w:spacing w:after="80" w:line="276"/>
      </w:pPr>
      <w:r>
        <w:rPr>
          <w:rFonts w:ascii="Arial" w:cs="Arial" w:eastAsia="Arial" w:hAnsi="Arial"/>
          <w:b/>
          <w:bCs/>
          <w:color w:val="333333"/>
          <w:sz w:val="21"/>
          <w:szCs w:val="21"/>
        </w:rPr>
        <w:t xml:space="preserve">History of Present Illness (HPI): </w:t>
      </w:r>
      <w:r>
        <w:rPr>
          <w:rFonts w:ascii="Arial" w:cs="Arial" w:eastAsia="Arial" w:hAnsi="Arial"/>
          <w:color w:val="333333"/>
          <w:sz w:val="21"/>
          <w:szCs w:val="21"/>
        </w:rPr>
        <w:t xml:space="preserve">Detailed narrative of the current problem: onset, location, duration, character, aggravating/alleviating factors, radiation, timing, severity (OLDCARTS mnemonic).</w:t>
      </w:r>
    </w:p>
    <w:p>
      <w:pPr>
        <w:pStyle w:val="ListParagraph"/>
        <w:numPr>
          <w:ilvl w:val="0"/>
          <w:numId w:val="2"/>
        </w:numPr>
        <w:spacing w:after="80" w:line="276"/>
      </w:pPr>
      <w:r>
        <w:rPr>
          <w:rFonts w:ascii="Arial" w:cs="Arial" w:eastAsia="Arial" w:hAnsi="Arial"/>
          <w:b/>
          <w:bCs/>
          <w:color w:val="333333"/>
          <w:sz w:val="21"/>
          <w:szCs w:val="21"/>
        </w:rPr>
        <w:t xml:space="preserve">Review of Systems (ROS): </w:t>
      </w:r>
      <w:r>
        <w:rPr>
          <w:rFonts w:ascii="Arial" w:cs="Arial" w:eastAsia="Arial" w:hAnsi="Arial"/>
          <w:color w:val="333333"/>
          <w:sz w:val="21"/>
          <w:szCs w:val="21"/>
        </w:rPr>
        <w:t xml:space="preserve">Systematic review of body systems for additional symptoms. Template-based documentation with pertinent positives and negatives.</w:t>
      </w:r>
    </w:p>
    <w:p>
      <w:pPr>
        <w:pStyle w:val="ListParagraph"/>
        <w:numPr>
          <w:ilvl w:val="0"/>
          <w:numId w:val="2"/>
        </w:numPr>
        <w:spacing w:after="80" w:line="276"/>
      </w:pPr>
      <w:r>
        <w:rPr>
          <w:rFonts w:ascii="Arial" w:cs="Arial" w:eastAsia="Arial" w:hAnsi="Arial"/>
          <w:b/>
          <w:bCs/>
          <w:color w:val="333333"/>
          <w:sz w:val="21"/>
          <w:szCs w:val="21"/>
        </w:rPr>
        <w:t xml:space="preserve">Past Medical/Surgical/Family/Social History: </w:t>
      </w:r>
      <w:r>
        <w:rPr>
          <w:rFonts w:ascii="Arial" w:cs="Arial" w:eastAsia="Arial" w:hAnsi="Arial"/>
          <w:color w:val="333333"/>
          <w:sz w:val="21"/>
          <w:szCs w:val="21"/>
        </w:rPr>
        <w:t xml:space="preserve">Relevant background information. Often auto-populated from previous visits with update prompts.</w:t>
      </w:r>
    </w:p>
    <w:p>
      <w:pPr>
        <w:pStyle w:val="ListParagraph"/>
        <w:numPr>
          <w:ilvl w:val="0"/>
          <w:numId w:val="2"/>
        </w:numPr>
        <w:spacing w:after="80" w:line="276"/>
      </w:pPr>
      <w:r>
        <w:rPr>
          <w:rFonts w:ascii="Arial" w:cs="Arial" w:eastAsia="Arial" w:hAnsi="Arial"/>
          <w:b/>
          <w:bCs/>
          <w:color w:val="333333"/>
          <w:sz w:val="21"/>
          <w:szCs w:val="21"/>
        </w:rPr>
        <w:t xml:space="preserve">Physical Examination: </w:t>
      </w:r>
      <w:r>
        <w:rPr>
          <w:rFonts w:ascii="Arial" w:cs="Arial" w:eastAsia="Arial" w:hAnsi="Arial"/>
          <w:color w:val="333333"/>
          <w:sz w:val="21"/>
          <w:szCs w:val="21"/>
        </w:rPr>
        <w:t xml:space="preserve">Findings organized by body system. Normal/abnormal documentation with smart phrases for efficiency.</w:t>
      </w:r>
    </w:p>
    <w:p>
      <w:pPr>
        <w:pStyle w:val="ListParagraph"/>
        <w:numPr>
          <w:ilvl w:val="0"/>
          <w:numId w:val="2"/>
        </w:numPr>
        <w:spacing w:after="80" w:line="276"/>
      </w:pPr>
      <w:r>
        <w:rPr>
          <w:rFonts w:ascii="Arial" w:cs="Arial" w:eastAsia="Arial" w:hAnsi="Arial"/>
          <w:b/>
          <w:bCs/>
          <w:color w:val="333333"/>
          <w:sz w:val="21"/>
          <w:szCs w:val="21"/>
        </w:rPr>
        <w:t xml:space="preserve">Assessment &amp; Plan: </w:t>
      </w:r>
      <w:r>
        <w:rPr>
          <w:rFonts w:ascii="Arial" w:cs="Arial" w:eastAsia="Arial" w:hAnsi="Arial"/>
          <w:color w:val="333333"/>
          <w:sz w:val="21"/>
          <w:szCs w:val="21"/>
        </w:rPr>
        <w:t xml:space="preserve">Diagnoses (ICD-10 coded), treatment decisions, medication changes, orders, referrals, patient education, and follow-up instructions.</w:t>
      </w:r>
    </w:p>
    <w:p>
      <w:pPr>
        <w:pStyle w:val="Heading3"/>
        <w:spacing w:before="200" w:after="120"/>
      </w:pPr>
      <w:r>
        <w:rPr>
          <w:rFonts w:ascii="Arial" w:cs="Arial" w:eastAsia="Arial" w:hAnsi="Arial"/>
          <w:b/>
          <w:bCs/>
          <w:color w:val="1B3A5C"/>
          <w:sz w:val="22"/>
          <w:szCs w:val="22"/>
        </w:rPr>
        <w:t xml:space="preserve">5.3.2 E-Prescribing Workflow</w:t>
      </w:r>
    </w:p>
    <w:p>
      <w:pPr>
        <w:spacing w:after="160" w:line="276"/>
      </w:pPr>
      <w:r>
        <w:rPr>
          <w:rFonts w:ascii="Arial" w:cs="Arial" w:eastAsia="Arial" w:hAnsi="Arial"/>
          <w:color w:val="333333"/>
          <w:sz w:val="21"/>
          <w:szCs w:val="21"/>
        </w:rPr>
        <w:t xml:space="preserve">Electronic prescribing is a critical ambulatory workflow with multiple safety checks and regulatory requirements.</w:t>
      </w:r>
    </w:p>
    <w:p>
      <w:pPr>
        <w:pStyle w:val="ListParagraph"/>
        <w:numPr>
          <w:ilvl w:val="0"/>
          <w:numId w:val="3"/>
        </w:numPr>
        <w:spacing w:after="80" w:line="276"/>
      </w:pPr>
      <w:r>
        <w:rPr>
          <w:rFonts w:ascii="Arial" w:cs="Arial" w:eastAsia="Arial" w:hAnsi="Arial"/>
          <w:b/>
          <w:bCs/>
          <w:color w:val="333333"/>
          <w:sz w:val="21"/>
          <w:szCs w:val="21"/>
        </w:rPr>
        <w:t xml:space="preserve">Provider selects medication: </w:t>
      </w:r>
      <w:r>
        <w:rPr>
          <w:rFonts w:ascii="Arial" w:cs="Arial" w:eastAsia="Arial" w:hAnsi="Arial"/>
          <w:color w:val="333333"/>
          <w:sz w:val="21"/>
          <w:szCs w:val="21"/>
        </w:rPr>
        <w:t xml:space="preserve">Drug search by generic or brand name. Formulary checking against patient’s insurance plan (Surescripts Real-Time Prescription Benefit — RTPB) shows patient cost and covered alternatives.</w:t>
      </w:r>
    </w:p>
    <w:p>
      <w:pPr>
        <w:pStyle w:val="ListParagraph"/>
        <w:numPr>
          <w:ilvl w:val="0"/>
          <w:numId w:val="3"/>
        </w:numPr>
        <w:spacing w:after="80" w:line="276"/>
      </w:pPr>
      <w:r>
        <w:rPr>
          <w:rFonts w:ascii="Arial" w:cs="Arial" w:eastAsia="Arial" w:hAnsi="Arial"/>
          <w:b/>
          <w:bCs/>
          <w:color w:val="333333"/>
          <w:sz w:val="21"/>
          <w:szCs w:val="21"/>
        </w:rPr>
        <w:t xml:space="preserve">CDS checks fire: </w:t>
      </w:r>
      <w:r>
        <w:rPr>
          <w:rFonts w:ascii="Arial" w:cs="Arial" w:eastAsia="Arial" w:hAnsi="Arial"/>
          <w:color w:val="333333"/>
          <w:sz w:val="21"/>
          <w:szCs w:val="21"/>
        </w:rPr>
        <w:t xml:space="preserve">Drug-drug interactions, drug-allergy alerts, duplicate therapy warnings, dose range checking, pregnancy/lactation warnings, and renal/hepatic dose adjustments.</w:t>
      </w:r>
    </w:p>
    <w:p>
      <w:pPr>
        <w:pStyle w:val="ListParagraph"/>
        <w:numPr>
          <w:ilvl w:val="0"/>
          <w:numId w:val="3"/>
        </w:numPr>
        <w:spacing w:after="80" w:line="276"/>
      </w:pPr>
      <w:r>
        <w:rPr>
          <w:rFonts w:ascii="Arial" w:cs="Arial" w:eastAsia="Arial" w:hAnsi="Arial"/>
          <w:b/>
          <w:bCs/>
          <w:color w:val="333333"/>
          <w:sz w:val="21"/>
          <w:szCs w:val="21"/>
        </w:rPr>
        <w:t xml:space="preserve">Provider completes prescription: </w:t>
      </w:r>
      <w:r>
        <w:rPr>
          <w:rFonts w:ascii="Arial" w:cs="Arial" w:eastAsia="Arial" w:hAnsi="Arial"/>
          <w:color w:val="333333"/>
          <w:sz w:val="21"/>
          <w:szCs w:val="21"/>
        </w:rPr>
        <w:t xml:space="preserve">Dose, frequency, route, quantity, refills, DAW (Dispense As Written) flag, and pharmacy selection.</w:t>
      </w:r>
    </w:p>
    <w:p>
      <w:pPr>
        <w:pStyle w:val="ListParagraph"/>
        <w:numPr>
          <w:ilvl w:val="0"/>
          <w:numId w:val="3"/>
        </w:numPr>
        <w:spacing w:after="80" w:line="276"/>
      </w:pPr>
      <w:r>
        <w:rPr>
          <w:rFonts w:ascii="Arial" w:cs="Arial" w:eastAsia="Arial" w:hAnsi="Arial"/>
          <w:b/>
          <w:bCs/>
          <w:color w:val="333333"/>
          <w:sz w:val="21"/>
          <w:szCs w:val="21"/>
        </w:rPr>
        <w:t xml:space="preserve">EPCS for controlled substances: </w:t>
      </w:r>
      <w:r>
        <w:rPr>
          <w:rFonts w:ascii="Arial" w:cs="Arial" w:eastAsia="Arial" w:hAnsi="Arial"/>
          <w:color w:val="333333"/>
          <w:sz w:val="21"/>
          <w:szCs w:val="21"/>
        </w:rPr>
        <w:t xml:space="preserve">Electronic Prescribing for Controlled Substances requires two-factor authentication (knowledge factor + hard token/biometric) and DEA-certified application. State PDMP (Prescription Drug Monitoring Program) check may be required.</w:t>
      </w:r>
    </w:p>
    <w:p>
      <w:pPr>
        <w:pStyle w:val="ListParagraph"/>
        <w:numPr>
          <w:ilvl w:val="0"/>
          <w:numId w:val="3"/>
        </w:numPr>
        <w:spacing w:after="80" w:line="276"/>
      </w:pPr>
      <w:r>
        <w:rPr>
          <w:rFonts w:ascii="Arial" w:cs="Arial" w:eastAsia="Arial" w:hAnsi="Arial"/>
          <w:b/>
          <w:bCs/>
          <w:color w:val="333333"/>
          <w:sz w:val="21"/>
          <w:szCs w:val="21"/>
        </w:rPr>
        <w:t xml:space="preserve">Transmission to pharmacy: </w:t>
      </w:r>
      <w:r>
        <w:rPr>
          <w:rFonts w:ascii="Arial" w:cs="Arial" w:eastAsia="Arial" w:hAnsi="Arial"/>
          <w:color w:val="333333"/>
          <w:sz w:val="21"/>
          <w:szCs w:val="21"/>
        </w:rPr>
        <w:t xml:space="preserve">Prescription transmitted electronically via Surescripts network. New prescription (NewRx), refill request (RefillRequest), change request (RxChangeRequest), and cancellation (CancelRx) transactions.</w:t>
      </w:r>
    </w:p>
    <w:p>
      <w:pPr>
        <w:pStyle w:val="ListParagraph"/>
        <w:numPr>
          <w:ilvl w:val="0"/>
          <w:numId w:val="3"/>
        </w:numPr>
        <w:spacing w:after="80" w:line="276"/>
      </w:pPr>
      <w:r>
        <w:rPr>
          <w:rFonts w:ascii="Arial" w:cs="Arial" w:eastAsia="Arial" w:hAnsi="Arial"/>
          <w:b/>
          <w:bCs/>
          <w:color w:val="333333"/>
          <w:sz w:val="21"/>
          <w:szCs w:val="21"/>
        </w:rPr>
        <w:t xml:space="preserve">Pharmacy fills and confirms: </w:t>
      </w:r>
      <w:r>
        <w:rPr>
          <w:rFonts w:ascii="Arial" w:cs="Arial" w:eastAsia="Arial" w:hAnsi="Arial"/>
          <w:color w:val="333333"/>
          <w:sz w:val="21"/>
          <w:szCs w:val="21"/>
        </w:rPr>
        <w:t xml:space="preserve">Pharmacy receives electronic prescription, fills medication, and sends fill notification back to prescriber system.</w:t>
      </w:r>
    </w:p>
    <w:p>
      <w:pPr>
        <w:pStyle w:val="Heading2"/>
        <w:spacing w:before="280" w:after="160"/>
      </w:pPr>
      <w:r>
        <w:rPr>
          <w:rFonts w:ascii="Arial" w:cs="Arial" w:eastAsia="Arial" w:hAnsi="Arial"/>
          <w:b/>
          <w:bCs/>
          <w:color w:val="2E75B6"/>
          <w:sz w:val="26"/>
          <w:szCs w:val="26"/>
        </w:rPr>
        <w:t xml:space="preserve">5.4 Referral Management</w:t>
      </w:r>
    </w:p>
    <w:p>
      <w:pPr>
        <w:spacing w:after="160" w:line="276"/>
      </w:pPr>
      <w:r>
        <w:rPr>
          <w:rFonts w:ascii="Arial" w:cs="Arial" w:eastAsia="Arial" w:hAnsi="Arial"/>
          <w:color w:val="333333"/>
          <w:sz w:val="21"/>
          <w:szCs w:val="21"/>
        </w:rPr>
        <w:t xml:space="preserve">Referral management is a complex workflow that spans organizations, requires care coordination, and often involves insurance authorization.</w:t>
      </w:r>
    </w:p>
    <w:p>
      <w:pPr>
        <w:pStyle w:val="ListParagraph"/>
        <w:numPr>
          <w:ilvl w:val="0"/>
          <w:numId w:val="3"/>
        </w:numPr>
        <w:spacing w:after="80" w:line="276"/>
      </w:pPr>
      <w:r>
        <w:rPr>
          <w:rFonts w:ascii="Arial" w:cs="Arial" w:eastAsia="Arial" w:hAnsi="Arial"/>
          <w:b/>
          <w:bCs/>
          <w:color w:val="333333"/>
          <w:sz w:val="21"/>
          <w:szCs w:val="21"/>
        </w:rPr>
        <w:t xml:space="preserve">Referral Order: </w:t>
      </w:r>
      <w:r>
        <w:rPr>
          <w:rFonts w:ascii="Arial" w:cs="Arial" w:eastAsia="Arial" w:hAnsi="Arial"/>
          <w:color w:val="333333"/>
          <w:sz w:val="21"/>
          <w:szCs w:val="21"/>
        </w:rPr>
        <w:t xml:space="preserve">PCP creates referral order specifying specialty, reason for referral, urgency, relevant clinical information, and preferred specialist.</w:t>
      </w:r>
    </w:p>
    <w:p>
      <w:pPr>
        <w:pStyle w:val="ListParagraph"/>
        <w:numPr>
          <w:ilvl w:val="0"/>
          <w:numId w:val="3"/>
        </w:numPr>
        <w:spacing w:after="80" w:line="276"/>
      </w:pPr>
      <w:r>
        <w:rPr>
          <w:rFonts w:ascii="Arial" w:cs="Arial" w:eastAsia="Arial" w:hAnsi="Arial"/>
          <w:b/>
          <w:bCs/>
          <w:color w:val="333333"/>
          <w:sz w:val="21"/>
          <w:szCs w:val="21"/>
        </w:rPr>
        <w:t xml:space="preserve">Authorization: </w:t>
      </w:r>
      <w:r>
        <w:rPr>
          <w:rFonts w:ascii="Arial" w:cs="Arial" w:eastAsia="Arial" w:hAnsi="Arial"/>
          <w:color w:val="333333"/>
          <w:sz w:val="21"/>
          <w:szCs w:val="21"/>
        </w:rPr>
        <w:t xml:space="preserve">For HMO/managed care plans, prior authorization must be obtained. Staff submit authorization request to payer, often via phone, fax, or electronic 278 transaction.</w:t>
      </w:r>
    </w:p>
    <w:p>
      <w:pPr>
        <w:pStyle w:val="ListParagraph"/>
        <w:numPr>
          <w:ilvl w:val="0"/>
          <w:numId w:val="3"/>
        </w:numPr>
        <w:spacing w:after="80" w:line="276"/>
      </w:pPr>
      <w:r>
        <w:rPr>
          <w:rFonts w:ascii="Arial" w:cs="Arial" w:eastAsia="Arial" w:hAnsi="Arial"/>
          <w:b/>
          <w:bCs/>
          <w:color w:val="333333"/>
          <w:sz w:val="21"/>
          <w:szCs w:val="21"/>
        </w:rPr>
        <w:t xml:space="preserve">Referral Routing: </w:t>
      </w:r>
      <w:r>
        <w:rPr>
          <w:rFonts w:ascii="Arial" w:cs="Arial" w:eastAsia="Arial" w:hAnsi="Arial"/>
          <w:color w:val="333333"/>
          <w:sz w:val="21"/>
          <w:szCs w:val="21"/>
        </w:rPr>
        <w:t xml:space="preserve">Referral transmitted to specialist office via EHR-to-EHR (if same system), Direct messaging, fax, or HIE. Clinical summary (C-CDA) accompanies referral.</w:t>
      </w:r>
    </w:p>
    <w:p>
      <w:pPr>
        <w:pStyle w:val="ListParagraph"/>
        <w:numPr>
          <w:ilvl w:val="0"/>
          <w:numId w:val="3"/>
        </w:numPr>
        <w:spacing w:after="80" w:line="276"/>
      </w:pPr>
      <w:r>
        <w:rPr>
          <w:rFonts w:ascii="Arial" w:cs="Arial" w:eastAsia="Arial" w:hAnsi="Arial"/>
          <w:b/>
          <w:bCs/>
          <w:color w:val="333333"/>
          <w:sz w:val="21"/>
          <w:szCs w:val="21"/>
        </w:rPr>
        <w:t xml:space="preserve">Specialist Scheduling: </w:t>
      </w:r>
      <w:r>
        <w:rPr>
          <w:rFonts w:ascii="Arial" w:cs="Arial" w:eastAsia="Arial" w:hAnsi="Arial"/>
          <w:color w:val="333333"/>
          <w:sz w:val="21"/>
          <w:szCs w:val="21"/>
        </w:rPr>
        <w:t xml:space="preserve">Specialist office schedules patient, captures referral authorization number, and requests relevant records if not already transmitted.</w:t>
      </w:r>
    </w:p>
    <w:p>
      <w:pPr>
        <w:pStyle w:val="ListParagraph"/>
        <w:numPr>
          <w:ilvl w:val="0"/>
          <w:numId w:val="3"/>
        </w:numPr>
        <w:spacing w:after="80" w:line="276"/>
      </w:pPr>
      <w:r>
        <w:rPr>
          <w:rFonts w:ascii="Arial" w:cs="Arial" w:eastAsia="Arial" w:hAnsi="Arial"/>
          <w:b/>
          <w:bCs/>
          <w:color w:val="333333"/>
          <w:sz w:val="21"/>
          <w:szCs w:val="21"/>
        </w:rPr>
        <w:t xml:space="preserve">Consultation Report: </w:t>
      </w:r>
      <w:r>
        <w:rPr>
          <w:rFonts w:ascii="Arial" w:cs="Arial" w:eastAsia="Arial" w:hAnsi="Arial"/>
          <w:color w:val="333333"/>
          <w:sz w:val="21"/>
          <w:szCs w:val="21"/>
        </w:rPr>
        <w:t xml:space="preserve">Specialist completes consultation and sends report back to referring provider. Closed-loop referral tracking monitors completion status.</w:t>
      </w:r>
    </w:p>
    <w:p>
      <w:r>
        <w:br w:type="page"/>
      </w:r>
    </w:p>
    <w:p>
      <w:pPr>
        <w:pStyle w:val="Heading1"/>
        <w:spacing w:before="360" w:after="200"/>
      </w:pPr>
      <w:r>
        <w:rPr>
          <w:rFonts w:ascii="Arial" w:cs="Arial" w:eastAsia="Arial" w:hAnsi="Arial"/>
          <w:b/>
          <w:bCs/>
          <w:color w:val="1B3A5C"/>
          <w:sz w:val="32"/>
          <w:szCs w:val="32"/>
        </w:rPr>
        <w:t xml:space="preserve">6. Emergency Department Workflows</w:t>
      </w:r>
    </w:p>
    <w:p>
      <w:pPr>
        <w:spacing w:after="160" w:line="276"/>
      </w:pPr>
      <w:r>
        <w:rPr>
          <w:rFonts w:ascii="Arial" w:cs="Arial" w:eastAsia="Arial" w:hAnsi="Arial"/>
          <w:color w:val="333333"/>
          <w:sz w:val="21"/>
          <w:szCs w:val="21"/>
        </w:rPr>
        <w:t xml:space="preserve">The Emergency Department (ED) is the most time-sensitive, high-acuity, and unpredictable clinical environment. IT systems must support rapid patient assessment, real-time tracking, and seamless transitions to inpatient care or discharge.</w:t>
      </w:r>
    </w:p>
    <w:p>
      <w:pPr>
        <w:pStyle w:val="Heading2"/>
        <w:spacing w:before="280" w:after="160"/>
      </w:pPr>
      <w:r>
        <w:rPr>
          <w:rFonts w:ascii="Arial" w:cs="Arial" w:eastAsia="Arial" w:hAnsi="Arial"/>
          <w:b/>
          <w:bCs/>
          <w:color w:val="2E75B6"/>
          <w:sz w:val="26"/>
          <w:szCs w:val="26"/>
        </w:rPr>
        <w:t xml:space="preserve">6.1 Triage: Emergency Severity Index (ESI)</w:t>
      </w:r>
    </w:p>
    <w:p>
      <w:pPr>
        <w:spacing w:after="160" w:line="276"/>
      </w:pPr>
      <w:r>
        <w:rPr>
          <w:rFonts w:ascii="Arial" w:cs="Arial" w:eastAsia="Arial" w:hAnsi="Arial"/>
          <w:color w:val="333333"/>
          <w:sz w:val="21"/>
          <w:szCs w:val="21"/>
        </w:rPr>
        <w:t xml:space="preserve">Triage is the process of rapidly assessing patients to determine the urgency of their condition and prioritize care. The Emergency Severity Index (ESI) is the most widely used triage algorithm in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1800"/>
        <w:gridCol w:w="2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ESI Level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Acuity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Resources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ESI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 Resuscitation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Life-threatening, requires immediate intervention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resuscitation team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Cardiac arrest, major trauma, active seizure, severe respiratory distress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ESI 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Emergent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risk, confused/lethargic, severe pain, or potential for rapid deterioration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Multiple resources anticipated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Chest pain (r/o MI), stroke symptoms, acute abdomen, suicidal ideation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ESI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but needs multiple resources (labs, imaging, IV meds, procedures)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resources expected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Abdominal pain, moderate injury, dehydration requiring IV fluids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ESI 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Less Urgent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Stable, needs only one resource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resource expected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Simple laceration, UTI symptoms, prescription refill with exam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ESI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Non-Urgent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no resources needed beyond exam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resources expected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 refill, minor complaint, suture removal</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ESI scoring drives patient placement on tracking boards, auto-assignment of care spaces, nurse-to-patient ratios, and time-to-provider benchmarks. The ED Information System (EDIS) or ED module within the EHR provides real-time tracking boards showing every patient’s ESI level, location, provider, status, and time elapsed. Color-coded displays and automated alerts for patients exceeding time thresholds are critical for patient safety.</w:t>
      </w:r>
    </w:p>
    <w:p>
      <w:pPr>
        <w:pStyle w:val="Heading2"/>
        <w:spacing w:before="280" w:after="160"/>
      </w:pPr>
      <w:r>
        <w:rPr>
          <w:rFonts w:ascii="Arial" w:cs="Arial" w:eastAsia="Arial" w:hAnsi="Arial"/>
          <w:b/>
          <w:bCs/>
          <w:color w:val="2E75B6"/>
          <w:sz w:val="26"/>
          <w:szCs w:val="26"/>
        </w:rPr>
        <w:t xml:space="preserve">6.2 ED Patient Flow</w:t>
      </w:r>
    </w:p>
    <w:p>
      <w:pPr>
        <w:pStyle w:val="ListParagraph"/>
        <w:numPr>
          <w:ilvl w:val="0"/>
          <w:numId w:val="3"/>
        </w:numPr>
        <w:spacing w:after="80" w:line="276"/>
      </w:pPr>
      <w:r>
        <w:rPr>
          <w:rFonts w:ascii="Arial" w:cs="Arial" w:eastAsia="Arial" w:hAnsi="Arial"/>
          <w:b/>
          <w:bCs/>
          <w:color w:val="333333"/>
          <w:sz w:val="21"/>
          <w:szCs w:val="21"/>
        </w:rPr>
        <w:t xml:space="preserve">Arrival &amp; Registration: </w:t>
      </w:r>
      <w:r>
        <w:rPr>
          <w:rFonts w:ascii="Arial" w:cs="Arial" w:eastAsia="Arial" w:hAnsi="Arial"/>
          <w:color w:val="333333"/>
          <w:sz w:val="21"/>
          <w:szCs w:val="21"/>
        </w:rPr>
        <w:t xml:space="preserve">Patient arrives via walk-in, EMS ambulance (with ePCR — electronic patient care report data transfer), or transfer. Quick registration captures minimal demographics and chief complaint. Full registration completed later.</w:t>
      </w:r>
    </w:p>
    <w:p>
      <w:pPr>
        <w:pStyle w:val="ListParagraph"/>
        <w:numPr>
          <w:ilvl w:val="0"/>
          <w:numId w:val="3"/>
        </w:numPr>
        <w:spacing w:after="80" w:line="276"/>
      </w:pPr>
      <w:r>
        <w:rPr>
          <w:rFonts w:ascii="Arial" w:cs="Arial" w:eastAsia="Arial" w:hAnsi="Arial"/>
          <w:b/>
          <w:bCs/>
          <w:color w:val="333333"/>
          <w:sz w:val="21"/>
          <w:szCs w:val="21"/>
        </w:rPr>
        <w:t xml:space="preserve">Triage Assessment: </w:t>
      </w:r>
      <w:r>
        <w:rPr>
          <w:rFonts w:ascii="Arial" w:cs="Arial" w:eastAsia="Arial" w:hAnsi="Arial"/>
          <w:color w:val="333333"/>
          <w:sz w:val="21"/>
          <w:szCs w:val="21"/>
        </w:rPr>
        <w:t xml:space="preserve">Triage nurse performs rapid assessment: chief complaint, vital signs, pain level, focused history, ESI level assignment. Allergy and medication review if possible.</w:t>
      </w:r>
    </w:p>
    <w:p>
      <w:pPr>
        <w:pStyle w:val="ListParagraph"/>
        <w:numPr>
          <w:ilvl w:val="0"/>
          <w:numId w:val="3"/>
        </w:numPr>
        <w:spacing w:after="80" w:line="276"/>
      </w:pPr>
      <w:r>
        <w:rPr>
          <w:rFonts w:ascii="Arial" w:cs="Arial" w:eastAsia="Arial" w:hAnsi="Arial"/>
          <w:b/>
          <w:bCs/>
          <w:color w:val="333333"/>
          <w:sz w:val="21"/>
          <w:szCs w:val="21"/>
        </w:rPr>
        <w:t xml:space="preserve">Bed Assignment &amp; Tracking: </w:t>
      </w:r>
      <w:r>
        <w:rPr>
          <w:rFonts w:ascii="Arial" w:cs="Arial" w:eastAsia="Arial" w:hAnsi="Arial"/>
          <w:color w:val="333333"/>
          <w:sz w:val="21"/>
          <w:szCs w:val="21"/>
        </w:rPr>
        <w:t xml:space="preserve">Patient assigned to treatment space based on ESI acuity and availability. ED tracking board updated. Provider assigned.</w:t>
      </w:r>
    </w:p>
    <w:p>
      <w:pPr>
        <w:pStyle w:val="ListParagraph"/>
        <w:numPr>
          <w:ilvl w:val="0"/>
          <w:numId w:val="3"/>
        </w:numPr>
        <w:spacing w:after="80" w:line="276"/>
      </w:pPr>
      <w:r>
        <w:rPr>
          <w:rFonts w:ascii="Arial" w:cs="Arial" w:eastAsia="Arial" w:hAnsi="Arial"/>
          <w:b/>
          <w:bCs/>
          <w:color w:val="333333"/>
          <w:sz w:val="21"/>
          <w:szCs w:val="21"/>
        </w:rPr>
        <w:t xml:space="preserve">Medical Screening Exam (MSE): </w:t>
      </w:r>
      <w:r>
        <w:rPr>
          <w:rFonts w:ascii="Arial" w:cs="Arial" w:eastAsia="Arial" w:hAnsi="Arial"/>
          <w:color w:val="333333"/>
          <w:sz w:val="21"/>
          <w:szCs w:val="21"/>
        </w:rPr>
        <w:t xml:space="preserve">EMTALA-required examination to determine if an emergency medical condition exists. Must be completed regardless of insurance status or ability to pay.</w:t>
      </w:r>
    </w:p>
    <w:p>
      <w:pPr>
        <w:pStyle w:val="ListParagraph"/>
        <w:numPr>
          <w:ilvl w:val="0"/>
          <w:numId w:val="3"/>
        </w:numPr>
        <w:spacing w:after="80" w:line="276"/>
      </w:pPr>
      <w:r>
        <w:rPr>
          <w:rFonts w:ascii="Arial" w:cs="Arial" w:eastAsia="Arial" w:hAnsi="Arial"/>
          <w:b/>
          <w:bCs/>
          <w:color w:val="333333"/>
          <w:sz w:val="21"/>
          <w:szCs w:val="21"/>
        </w:rPr>
        <w:t xml:space="preserve">Diagnostic Workup: </w:t>
      </w:r>
      <w:r>
        <w:rPr>
          <w:rFonts w:ascii="Arial" w:cs="Arial" w:eastAsia="Arial" w:hAnsi="Arial"/>
          <w:color w:val="333333"/>
          <w:sz w:val="21"/>
          <w:szCs w:val="21"/>
        </w:rPr>
        <w:t xml:space="preserve">Orders placed for labs, imaging, point-of-care testing. ED labs prioritized as STAT. Results reported with critical value alerting.</w:t>
      </w:r>
    </w:p>
    <w:p>
      <w:pPr>
        <w:pStyle w:val="ListParagraph"/>
        <w:numPr>
          <w:ilvl w:val="0"/>
          <w:numId w:val="3"/>
        </w:numPr>
        <w:spacing w:after="80" w:line="276"/>
      </w:pPr>
      <w:r>
        <w:rPr>
          <w:rFonts w:ascii="Arial" w:cs="Arial" w:eastAsia="Arial" w:hAnsi="Arial"/>
          <w:b/>
          <w:bCs/>
          <w:color w:val="333333"/>
          <w:sz w:val="21"/>
          <w:szCs w:val="21"/>
        </w:rPr>
        <w:t xml:space="preserve">Treatment &amp; Reassessment: </w:t>
      </w:r>
      <w:r>
        <w:rPr>
          <w:rFonts w:ascii="Arial" w:cs="Arial" w:eastAsia="Arial" w:hAnsi="Arial"/>
          <w:color w:val="333333"/>
          <w:sz w:val="21"/>
          <w:szCs w:val="21"/>
        </w:rPr>
        <w:t xml:space="preserve">Interventions administered (IV fluids, medications, procedures). Ongoing reassessment of vital signs and clinical status.</w:t>
      </w:r>
    </w:p>
    <w:p>
      <w:pPr>
        <w:pStyle w:val="ListParagraph"/>
        <w:numPr>
          <w:ilvl w:val="0"/>
          <w:numId w:val="3"/>
        </w:numPr>
        <w:spacing w:after="80" w:line="276"/>
      </w:pPr>
      <w:r>
        <w:rPr>
          <w:rFonts w:ascii="Arial" w:cs="Arial" w:eastAsia="Arial" w:hAnsi="Arial"/>
          <w:b/>
          <w:bCs/>
          <w:color w:val="333333"/>
          <w:sz w:val="21"/>
          <w:szCs w:val="21"/>
        </w:rPr>
        <w:t xml:space="preserve">Disposition Decision: </w:t>
      </w:r>
      <w:r>
        <w:rPr>
          <w:rFonts w:ascii="Arial" w:cs="Arial" w:eastAsia="Arial" w:hAnsi="Arial"/>
          <w:color w:val="333333"/>
          <w:sz w:val="21"/>
          <w:szCs w:val="21"/>
        </w:rPr>
        <w:t xml:space="preserve">Admit to inpatient (ADT A01), transfer to another facility, observe in observation unit, or discharge. Decision documented with clinical rationale.</w:t>
      </w:r>
    </w:p>
    <w:p>
      <w:pPr>
        <w:pStyle w:val="ListParagraph"/>
        <w:numPr>
          <w:ilvl w:val="0"/>
          <w:numId w:val="3"/>
        </w:numPr>
        <w:spacing w:after="80" w:line="276"/>
      </w:pPr>
      <w:r>
        <w:rPr>
          <w:rFonts w:ascii="Arial" w:cs="Arial" w:eastAsia="Arial" w:hAnsi="Arial"/>
          <w:b/>
          <w:bCs/>
          <w:color w:val="333333"/>
          <w:sz w:val="21"/>
          <w:szCs w:val="21"/>
        </w:rPr>
        <w:t xml:space="preserve">Discharge or Admission: </w:t>
      </w:r>
      <w:r>
        <w:rPr>
          <w:rFonts w:ascii="Arial" w:cs="Arial" w:eastAsia="Arial" w:hAnsi="Arial"/>
          <w:color w:val="333333"/>
          <w:sz w:val="21"/>
          <w:szCs w:val="21"/>
        </w:rPr>
        <w:t xml:space="preserve">Discharged patients receive AVS with instructions, prescriptions, follow-up. Admitted patients require admission orders, bed assignment, and handoff to inpatient team.</w:t>
      </w:r>
    </w:p>
    <w:p>
      <w:pPr>
        <w:pStyle w:val="Heading2"/>
        <w:spacing w:before="280" w:after="160"/>
      </w:pPr>
      <w:r>
        <w:rPr>
          <w:rFonts w:ascii="Arial" w:cs="Arial" w:eastAsia="Arial" w:hAnsi="Arial"/>
          <w:b/>
          <w:bCs/>
          <w:color w:val="2E75B6"/>
          <w:sz w:val="26"/>
          <w:szCs w:val="26"/>
        </w:rPr>
        <w:t xml:space="preserve">6.3 Trauma Activation</w:t>
      </w:r>
    </w:p>
    <w:p>
      <w:pPr>
        <w:spacing w:after="160" w:line="276"/>
      </w:pPr>
      <w:r>
        <w:rPr>
          <w:rFonts w:ascii="Arial" w:cs="Arial" w:eastAsia="Arial" w:hAnsi="Arial"/>
          <w:color w:val="333333"/>
          <w:sz w:val="21"/>
          <w:szCs w:val="21"/>
        </w:rPr>
        <w:t xml:space="preserve">Trauma activation is a specialized ED workflow triggered by specific injury mechanisms or clinical criteria. It initiates a coordinated response with pre-defined roles.</w:t>
      </w:r>
    </w:p>
    <w:p>
      <w:pPr>
        <w:pStyle w:val="ListParagraph"/>
        <w:numPr>
          <w:ilvl w:val="0"/>
          <w:numId w:val="2"/>
        </w:numPr>
        <w:spacing w:after="80" w:line="276"/>
      </w:pPr>
      <w:r>
        <w:rPr>
          <w:rFonts w:ascii="Arial" w:cs="Arial" w:eastAsia="Arial" w:hAnsi="Arial"/>
          <w:b/>
          <w:bCs/>
          <w:color w:val="333333"/>
          <w:sz w:val="21"/>
          <w:szCs w:val="21"/>
        </w:rPr>
        <w:t xml:space="preserve">Trauma Criteria: </w:t>
      </w:r>
      <w:r>
        <w:rPr>
          <w:rFonts w:ascii="Arial" w:cs="Arial" w:eastAsia="Arial" w:hAnsi="Arial"/>
          <w:color w:val="333333"/>
          <w:sz w:val="21"/>
          <w:szCs w:val="21"/>
        </w:rPr>
        <w:t xml:space="preserve">Mechanism of injury (high-speed MVC, fall from height, penetrating trauma), physiologic criteria (GCS ≤13, SBP &lt;90, respiratory rate &lt;10 or &gt;29), and anatomic criteria (amputation, spinal cord injury, chest wall instability).</w:t>
      </w:r>
    </w:p>
    <w:p>
      <w:pPr>
        <w:pStyle w:val="ListParagraph"/>
        <w:numPr>
          <w:ilvl w:val="0"/>
          <w:numId w:val="2"/>
        </w:numPr>
        <w:spacing w:after="80" w:line="276"/>
      </w:pPr>
      <w:r>
        <w:rPr>
          <w:rFonts w:ascii="Arial" w:cs="Arial" w:eastAsia="Arial" w:hAnsi="Arial"/>
          <w:b/>
          <w:bCs/>
          <w:color w:val="333333"/>
          <w:sz w:val="21"/>
          <w:szCs w:val="21"/>
        </w:rPr>
        <w:t xml:space="preserve">Level I vs. Level II Activation: </w:t>
      </w:r>
      <w:r>
        <w:rPr>
          <w:rFonts w:ascii="Arial" w:cs="Arial" w:eastAsia="Arial" w:hAnsi="Arial"/>
          <w:color w:val="333333"/>
          <w:sz w:val="21"/>
          <w:szCs w:val="21"/>
        </w:rPr>
        <w:t xml:space="preserve">Level I (full team — attending surgeon, anesthesia, OR on standby) for highest acuity. Level II (partial team) for lower acuity but still meeting trauma criteria.</w:t>
      </w:r>
    </w:p>
    <w:p>
      <w:pPr>
        <w:spacing w:after="160" w:line="276"/>
      </w:pPr>
      <w:r>
        <w:rPr>
          <w:rFonts w:ascii="Arial" w:cs="Arial" w:eastAsia="Arial" w:hAnsi="Arial"/>
          <w:b/>
          <w:bCs/>
          <w:color w:val="333333"/>
          <w:sz w:val="21"/>
          <w:szCs w:val="21"/>
        </w:rPr>
        <w:t xml:space="preserve">IT Systems: </w:t>
      </w:r>
      <w:r>
        <w:rPr>
          <w:rFonts w:ascii="Arial" w:cs="Arial" w:eastAsia="Arial" w:hAnsi="Arial"/>
          <w:color w:val="333333"/>
          <w:sz w:val="21"/>
          <w:szCs w:val="21"/>
        </w:rPr>
        <w:t xml:space="preserve">Trauma alert notification systems (overhead paging, mobile alerts to trauma team), trauma-specific documentation templates with time-stamped interventions, trauma registry data capture (NTDB — National Trauma Data Bank), and automated trauma activation criteria screening in EMS data.</w:t>
      </w:r>
    </w:p>
    <w:p>
      <w:pPr>
        <w:pStyle w:val="Heading2"/>
        <w:spacing w:before="280" w:after="160"/>
      </w:pPr>
      <w:r>
        <w:rPr>
          <w:rFonts w:ascii="Arial" w:cs="Arial" w:eastAsia="Arial" w:hAnsi="Arial"/>
          <w:b/>
          <w:bCs/>
          <w:color w:val="2E75B6"/>
          <w:sz w:val="26"/>
          <w:szCs w:val="26"/>
        </w:rPr>
        <w:t xml:space="preserve">6.4 Key ED IT Systems &amp;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System/Feature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 Tracking 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patient status, location, provider, ESI, time tracking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ADT, lab results, imaging status, provider assignment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EMS Integration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Receive pre-hospital data before patient arrival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ePCR data, ImageTrend/ESO, ambulance GPS/ETA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EDIS (ED Information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ED-specific workflow management, documentation, orders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core, CPOE, pharmacy, lab, radiology, bed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Sepsis/Stroke/STEMI Alerts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Time-sensitive clinical protocols with clock tracking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CDS rules engine, order sets, time-stamp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Psychiatric Hold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hold management (5150/Baker Act equivalent)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documentation, bed management, behavioral health services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Boarding Dashboard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Track admitted patients waiting for inpatient beds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Bed management, housekeeping, transport, admission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Left Without Being Seen (LWBS)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patients who leave before treatment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callback workflows, quality metrics, EMTALA compliance</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7. Surgical Workflows</w:t>
      </w:r>
    </w:p>
    <w:p>
      <w:pPr>
        <w:spacing w:after="160" w:line="276"/>
      </w:pPr>
      <w:r>
        <w:rPr>
          <w:rFonts w:ascii="Arial" w:cs="Arial" w:eastAsia="Arial" w:hAnsi="Arial"/>
          <w:color w:val="333333"/>
          <w:sz w:val="21"/>
          <w:szCs w:val="21"/>
        </w:rPr>
        <w:t xml:space="preserve">Surgical workflows span multiple phases, departments, and clinical disciplines. The perioperative environment demands precise documentation, strict safety protocols, and seamless coordination between surgeons, anesthesiologists, nurses, and support staff.</w:t>
      </w:r>
    </w:p>
    <w:p>
      <w:pPr>
        <w:pStyle w:val="Heading2"/>
        <w:spacing w:before="280" w:after="160"/>
      </w:pPr>
      <w:r>
        <w:rPr>
          <w:rFonts w:ascii="Arial" w:cs="Arial" w:eastAsia="Arial" w:hAnsi="Arial"/>
          <w:b/>
          <w:bCs/>
          <w:color w:val="2E75B6"/>
          <w:sz w:val="26"/>
          <w:szCs w:val="26"/>
        </w:rPr>
        <w:t xml:space="preserve">7.1 Pre-Operative Phase</w:t>
      </w:r>
    </w:p>
    <w:p>
      <w:pPr>
        <w:pStyle w:val="Heading3"/>
        <w:spacing w:before="200" w:after="120"/>
      </w:pPr>
      <w:r>
        <w:rPr>
          <w:rFonts w:ascii="Arial" w:cs="Arial" w:eastAsia="Arial" w:hAnsi="Arial"/>
          <w:b/>
          <w:bCs/>
          <w:color w:val="1B3A5C"/>
          <w:sz w:val="22"/>
          <w:szCs w:val="22"/>
        </w:rPr>
        <w:t xml:space="preserve">7.1.1 Surgical Scheduling</w:t>
      </w:r>
    </w:p>
    <w:p>
      <w:pPr>
        <w:spacing w:after="160" w:line="276"/>
      </w:pPr>
      <w:r>
        <w:rPr>
          <w:rFonts w:ascii="Arial" w:cs="Arial" w:eastAsia="Arial" w:hAnsi="Arial"/>
          <w:color w:val="333333"/>
          <w:sz w:val="21"/>
          <w:szCs w:val="21"/>
        </w:rPr>
        <w:t xml:space="preserve">OR scheduling is one of the most complex scheduling problems in healthcare, involving surgeon block time, room availability, equipment needs, staffing, case duration estimates, and patient preparation requirements.</w:t>
      </w:r>
    </w:p>
    <w:p>
      <w:pPr>
        <w:pStyle w:val="ListParagraph"/>
        <w:numPr>
          <w:ilvl w:val="0"/>
          <w:numId w:val="2"/>
        </w:numPr>
        <w:spacing w:after="80" w:line="276"/>
      </w:pPr>
      <w:r>
        <w:rPr>
          <w:rFonts w:ascii="Arial" w:cs="Arial" w:eastAsia="Arial" w:hAnsi="Arial"/>
          <w:b/>
          <w:bCs/>
          <w:color w:val="333333"/>
          <w:sz w:val="21"/>
          <w:szCs w:val="21"/>
        </w:rPr>
        <w:t xml:space="preserve">Block Scheduling: </w:t>
      </w:r>
      <w:r>
        <w:rPr>
          <w:rFonts w:ascii="Arial" w:cs="Arial" w:eastAsia="Arial" w:hAnsi="Arial"/>
          <w:color w:val="333333"/>
          <w:sz w:val="21"/>
          <w:szCs w:val="21"/>
        </w:rPr>
        <w:t xml:space="preserve">Surgeons are allocated specific OR time blocks. Block utilization tracking drives OR efficiency metrics and future block allocation decisions.</w:t>
      </w:r>
    </w:p>
    <w:p>
      <w:pPr>
        <w:pStyle w:val="ListParagraph"/>
        <w:numPr>
          <w:ilvl w:val="0"/>
          <w:numId w:val="2"/>
        </w:numPr>
        <w:spacing w:after="80" w:line="276"/>
      </w:pPr>
      <w:r>
        <w:rPr>
          <w:rFonts w:ascii="Arial" w:cs="Arial" w:eastAsia="Arial" w:hAnsi="Arial"/>
          <w:b/>
          <w:bCs/>
          <w:color w:val="333333"/>
          <w:sz w:val="21"/>
          <w:szCs w:val="21"/>
        </w:rPr>
        <w:t xml:space="preserve">Case Duration Estimation: </w:t>
      </w:r>
      <w:r>
        <w:rPr>
          <w:rFonts w:ascii="Arial" w:cs="Arial" w:eastAsia="Arial" w:hAnsi="Arial"/>
          <w:color w:val="333333"/>
          <w:sz w:val="21"/>
          <w:szCs w:val="21"/>
        </w:rPr>
        <w:t xml:space="preserve">Historical case duration data by procedure, surgeon, and patient acuity informs scheduling. AI/ML models increasingly predict actual case length.</w:t>
      </w:r>
    </w:p>
    <w:p>
      <w:pPr>
        <w:pStyle w:val="ListParagraph"/>
        <w:numPr>
          <w:ilvl w:val="0"/>
          <w:numId w:val="2"/>
        </w:numPr>
        <w:spacing w:after="80" w:line="276"/>
      </w:pPr>
      <w:r>
        <w:rPr>
          <w:rFonts w:ascii="Arial" w:cs="Arial" w:eastAsia="Arial" w:hAnsi="Arial"/>
          <w:b/>
          <w:bCs/>
          <w:color w:val="333333"/>
          <w:sz w:val="21"/>
          <w:szCs w:val="21"/>
        </w:rPr>
        <w:t xml:space="preserve">Preference Cards: </w:t>
      </w:r>
      <w:r>
        <w:rPr>
          <w:rFonts w:ascii="Arial" w:cs="Arial" w:eastAsia="Arial" w:hAnsi="Arial"/>
          <w:color w:val="333333"/>
          <w:sz w:val="21"/>
          <w:szCs w:val="21"/>
        </w:rPr>
        <w:t xml:space="preserve">Surgeon-specific supply and instrument requirements for each procedure type. Managed in the OR scheduling system and linked to materials management for pick lists.</w:t>
      </w:r>
    </w:p>
    <w:p>
      <w:pPr>
        <w:pStyle w:val="ListParagraph"/>
        <w:numPr>
          <w:ilvl w:val="0"/>
          <w:numId w:val="2"/>
        </w:numPr>
        <w:spacing w:after="80" w:line="276"/>
      </w:pPr>
      <w:r>
        <w:rPr>
          <w:rFonts w:ascii="Arial" w:cs="Arial" w:eastAsia="Arial" w:hAnsi="Arial"/>
          <w:b/>
          <w:bCs/>
          <w:color w:val="333333"/>
          <w:sz w:val="21"/>
          <w:szCs w:val="21"/>
        </w:rPr>
        <w:t xml:space="preserve">Pre-Admission Testing (PAT): </w:t>
      </w:r>
      <w:r>
        <w:rPr>
          <w:rFonts w:ascii="Arial" w:cs="Arial" w:eastAsia="Arial" w:hAnsi="Arial"/>
          <w:color w:val="333333"/>
          <w:sz w:val="21"/>
          <w:szCs w:val="21"/>
        </w:rPr>
        <w:t xml:space="preserve">Lab work, ECG, chest X-ray, and anesthesia assessment completed before surgery date. Results must be accessible in the EHR for day-of-surgery review.</w:t>
      </w:r>
    </w:p>
    <w:p>
      <w:pPr>
        <w:pStyle w:val="Heading3"/>
        <w:spacing w:before="200" w:after="120"/>
      </w:pPr>
      <w:r>
        <w:rPr>
          <w:rFonts w:ascii="Arial" w:cs="Arial" w:eastAsia="Arial" w:hAnsi="Arial"/>
          <w:b/>
          <w:bCs/>
          <w:color w:val="1B3A5C"/>
          <w:sz w:val="22"/>
          <w:szCs w:val="22"/>
        </w:rPr>
        <w:t xml:space="preserve">7.1.2 Surgical Safety Checklist (WHO)</w:t>
      </w:r>
    </w:p>
    <w:p>
      <w:pPr>
        <w:spacing w:after="160" w:line="276"/>
      </w:pPr>
      <w:r>
        <w:rPr>
          <w:rFonts w:ascii="Arial" w:cs="Arial" w:eastAsia="Arial" w:hAnsi="Arial"/>
          <w:color w:val="333333"/>
          <w:sz w:val="21"/>
          <w:szCs w:val="21"/>
        </w:rPr>
        <w:t xml:space="preserve">The WHO Surgical Safety Checklist is a patient safety protocol performed at three critical points. Many EHR systems enforce electronic documentation of checklist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Verification Items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induction of anesthesia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identity confirmed, surgical site marked, consent verified, allergy check, anesthesia safety check, pulse oximeter functioning, anticipated blood loss, difficult airway assessment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 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Before skin incision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team members confirm: correct patient, correct procedure, correct site. Antibiotic prophylaxis given within 60 minutes. Critical steps reviewed. Sterility confirmed. Equipment/implant availability verified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 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patient leaves 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Procedure name documented, instrument/sponge/needle counts correct, specimen labeled, equipment issues documented, key recovery and management concerns communicated</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7.2 Intra-Operative Phase</w:t>
      </w:r>
    </w:p>
    <w:p>
      <w:pPr>
        <w:spacing w:after="160" w:line="276"/>
      </w:pPr>
      <w:r>
        <w:rPr>
          <w:rFonts w:ascii="Arial" w:cs="Arial" w:eastAsia="Arial" w:hAnsi="Arial"/>
          <w:color w:val="333333"/>
          <w:sz w:val="21"/>
          <w:szCs w:val="21"/>
        </w:rPr>
        <w:t xml:space="preserve">The operating room generates dense, time-critical documentation across multiple concurrent workflows.</w:t>
      </w:r>
    </w:p>
    <w:p>
      <w:pPr>
        <w:pStyle w:val="Heading3"/>
        <w:spacing w:before="200" w:after="120"/>
      </w:pPr>
      <w:r>
        <w:rPr>
          <w:rFonts w:ascii="Arial" w:cs="Arial" w:eastAsia="Arial" w:hAnsi="Arial"/>
          <w:b/>
          <w:bCs/>
          <w:color w:val="1B3A5C"/>
          <w:sz w:val="22"/>
          <w:szCs w:val="22"/>
        </w:rPr>
        <w:t xml:space="preserve">7.2.1 Anesthesia Documentation</w:t>
      </w:r>
    </w:p>
    <w:p>
      <w:pPr>
        <w:pStyle w:val="ListParagraph"/>
        <w:numPr>
          <w:ilvl w:val="0"/>
          <w:numId w:val="2"/>
        </w:numPr>
        <w:spacing w:after="80" w:line="276"/>
      </w:pPr>
      <w:r>
        <w:rPr>
          <w:rFonts w:ascii="Arial" w:cs="Arial" w:eastAsia="Arial" w:hAnsi="Arial"/>
          <w:b/>
          <w:bCs/>
          <w:color w:val="333333"/>
          <w:sz w:val="21"/>
          <w:szCs w:val="21"/>
        </w:rPr>
        <w:t xml:space="preserve">Pre-Anesthesia Assessment: </w:t>
      </w:r>
      <w:r>
        <w:rPr>
          <w:rFonts w:ascii="Arial" w:cs="Arial" w:eastAsia="Arial" w:hAnsi="Arial"/>
          <w:color w:val="333333"/>
          <w:sz w:val="21"/>
          <w:szCs w:val="21"/>
        </w:rPr>
        <w:t xml:space="preserve">Airway assessment (Mallampati classification), ASA physical status classification, medication history, NPO status verification, and anesthesia plan.</w:t>
      </w:r>
    </w:p>
    <w:p>
      <w:pPr>
        <w:pStyle w:val="ListParagraph"/>
        <w:numPr>
          <w:ilvl w:val="0"/>
          <w:numId w:val="2"/>
        </w:numPr>
        <w:spacing w:after="80" w:line="276"/>
      </w:pPr>
      <w:r>
        <w:rPr>
          <w:rFonts w:ascii="Arial" w:cs="Arial" w:eastAsia="Arial" w:hAnsi="Arial"/>
          <w:b/>
          <w:bCs/>
          <w:color w:val="333333"/>
          <w:sz w:val="21"/>
          <w:szCs w:val="21"/>
        </w:rPr>
        <w:t xml:space="preserve">Intra-Operative Anesthesia Record: </w:t>
      </w:r>
      <w:r>
        <w:rPr>
          <w:rFonts w:ascii="Arial" w:cs="Arial" w:eastAsia="Arial" w:hAnsi="Arial"/>
          <w:color w:val="333333"/>
          <w:sz w:val="21"/>
          <w:szCs w:val="21"/>
        </w:rPr>
        <w:t xml:space="preserve">Continuous documentation of vital signs (every 5 minutes), medications administered, fluids given, ventilator settings, blood products, and anesthetic agents. Often documented on anesthesia information management systems (AIMS) that integrate with physiological monitors.</w:t>
      </w:r>
    </w:p>
    <w:p>
      <w:pPr>
        <w:pStyle w:val="ListParagraph"/>
        <w:numPr>
          <w:ilvl w:val="0"/>
          <w:numId w:val="2"/>
        </w:numPr>
        <w:spacing w:after="80" w:line="276"/>
      </w:pPr>
      <w:r>
        <w:rPr>
          <w:rFonts w:ascii="Arial" w:cs="Arial" w:eastAsia="Arial" w:hAnsi="Arial"/>
          <w:b/>
          <w:bCs/>
          <w:color w:val="333333"/>
          <w:sz w:val="21"/>
          <w:szCs w:val="21"/>
        </w:rPr>
        <w:t xml:space="preserve">Post-Anesthesia Note: </w:t>
      </w:r>
      <w:r>
        <w:rPr>
          <w:rFonts w:ascii="Arial" w:cs="Arial" w:eastAsia="Arial" w:hAnsi="Arial"/>
          <w:color w:val="333333"/>
          <w:sz w:val="21"/>
          <w:szCs w:val="21"/>
        </w:rPr>
        <w:t xml:space="preserve">Documentation of emergence from anesthesia, airway management, and transfer to PACU.</w:t>
      </w:r>
    </w:p>
    <w:p>
      <w:pPr>
        <w:pStyle w:val="Heading3"/>
        <w:spacing w:before="200" w:after="120"/>
      </w:pPr>
      <w:r>
        <w:rPr>
          <w:rFonts w:ascii="Arial" w:cs="Arial" w:eastAsia="Arial" w:hAnsi="Arial"/>
          <w:b/>
          <w:bCs/>
          <w:color w:val="1B3A5C"/>
          <w:sz w:val="22"/>
          <w:szCs w:val="22"/>
        </w:rPr>
        <w:t xml:space="preserve">7.2.2 Surgical Nursing Documentation</w:t>
      </w:r>
    </w:p>
    <w:p>
      <w:pPr>
        <w:pStyle w:val="ListParagraph"/>
        <w:numPr>
          <w:ilvl w:val="0"/>
          <w:numId w:val="2"/>
        </w:numPr>
        <w:spacing w:after="80" w:line="276"/>
      </w:pPr>
      <w:r>
        <w:rPr>
          <w:rFonts w:ascii="Arial" w:cs="Arial" w:eastAsia="Arial" w:hAnsi="Arial"/>
          <w:b/>
          <w:bCs/>
          <w:color w:val="333333"/>
          <w:sz w:val="21"/>
          <w:szCs w:val="21"/>
        </w:rPr>
        <w:t xml:space="preserve">Circulating Nurse: </w:t>
      </w:r>
      <w:r>
        <w:rPr>
          <w:rFonts w:ascii="Arial" w:cs="Arial" w:eastAsia="Arial" w:hAnsi="Arial"/>
          <w:color w:val="333333"/>
          <w:sz w:val="21"/>
          <w:szCs w:val="21"/>
        </w:rPr>
        <w:t xml:space="preserve">Patient identification verification, positioning documentation, prep and drape documentation, specimen handling, implant documentation (UDI capture), tourniquet time, counts (instruments, sponges, needles, sharps), and intra-operative patient events.</w:t>
      </w:r>
    </w:p>
    <w:p>
      <w:pPr>
        <w:pStyle w:val="ListParagraph"/>
        <w:numPr>
          <w:ilvl w:val="0"/>
          <w:numId w:val="2"/>
        </w:numPr>
        <w:spacing w:after="80" w:line="276"/>
      </w:pPr>
      <w:r>
        <w:rPr>
          <w:rFonts w:ascii="Arial" w:cs="Arial" w:eastAsia="Arial" w:hAnsi="Arial"/>
          <w:b/>
          <w:bCs/>
          <w:color w:val="333333"/>
          <w:sz w:val="21"/>
          <w:szCs w:val="21"/>
        </w:rPr>
        <w:t xml:space="preserve">Scrub Nurse/Tech: </w:t>
      </w:r>
      <w:r>
        <w:rPr>
          <w:rFonts w:ascii="Arial" w:cs="Arial" w:eastAsia="Arial" w:hAnsi="Arial"/>
          <w:color w:val="333333"/>
          <w:sz w:val="21"/>
          <w:szCs w:val="21"/>
        </w:rPr>
        <w:t xml:space="preserve">Instrument counts, sterile field management, specimen handling at the surgical field.</w:t>
      </w:r>
    </w:p>
    <w:p>
      <w:pPr>
        <w:pStyle w:val="ListParagraph"/>
        <w:numPr>
          <w:ilvl w:val="0"/>
          <w:numId w:val="2"/>
        </w:numPr>
        <w:spacing w:after="80" w:line="276"/>
      </w:pPr>
      <w:r>
        <w:rPr>
          <w:rFonts w:ascii="Arial" w:cs="Arial" w:eastAsia="Arial" w:hAnsi="Arial"/>
          <w:b/>
          <w:bCs/>
          <w:color w:val="333333"/>
          <w:sz w:val="21"/>
          <w:szCs w:val="21"/>
        </w:rPr>
        <w:t xml:space="preserve">Sponge/Instrument Counts: </w:t>
      </w:r>
      <w:r>
        <w:rPr>
          <w:rFonts w:ascii="Arial" w:cs="Arial" w:eastAsia="Arial" w:hAnsi="Arial"/>
          <w:color w:val="333333"/>
          <w:sz w:val="21"/>
          <w:szCs w:val="21"/>
        </w:rPr>
        <w:t xml:space="preserve">Critical patient safety documentation. Incorrect counts trigger mandatory X-ray before closure. IT systems track counts with real-time verification and discrepancy alerts.</w:t>
      </w:r>
    </w:p>
    <w:p>
      <w:pPr>
        <w:pStyle w:val="Heading3"/>
        <w:spacing w:before="200" w:after="120"/>
      </w:pPr>
      <w:r>
        <w:rPr>
          <w:rFonts w:ascii="Arial" w:cs="Arial" w:eastAsia="Arial" w:hAnsi="Arial"/>
          <w:b/>
          <w:bCs/>
          <w:color w:val="1B3A5C"/>
          <w:sz w:val="22"/>
          <w:szCs w:val="22"/>
        </w:rPr>
        <w:t xml:space="preserve">7.2.3 Implant Tracking</w:t>
      </w:r>
    </w:p>
    <w:p>
      <w:pPr>
        <w:spacing w:after="160" w:line="276"/>
      </w:pPr>
      <w:r>
        <w:rPr>
          <w:rFonts w:ascii="Arial" w:cs="Arial" w:eastAsia="Arial" w:hAnsi="Arial"/>
          <w:color w:val="333333"/>
          <w:sz w:val="21"/>
          <w:szCs w:val="21"/>
        </w:rPr>
        <w:t xml:space="preserve">Surgical implants (hip/knee prostheses, cardiac devices, spinal hardware) require precise tracking for patient safety, FDA recalls, and billing.</w:t>
      </w:r>
    </w:p>
    <w:p>
      <w:pPr>
        <w:pStyle w:val="ListParagraph"/>
        <w:numPr>
          <w:ilvl w:val="0"/>
          <w:numId w:val="2"/>
        </w:numPr>
        <w:spacing w:after="80" w:line="276"/>
      </w:pPr>
      <w:r>
        <w:rPr>
          <w:rFonts w:ascii="Arial" w:cs="Arial" w:eastAsia="Arial" w:hAnsi="Arial"/>
          <w:b/>
          <w:bCs/>
          <w:color w:val="333333"/>
          <w:sz w:val="21"/>
          <w:szCs w:val="21"/>
        </w:rPr>
        <w:t xml:space="preserve">UDI (Unique Device Identification): </w:t>
      </w:r>
      <w:r>
        <w:rPr>
          <w:rFonts w:ascii="Arial" w:cs="Arial" w:eastAsia="Arial" w:hAnsi="Arial"/>
          <w:color w:val="333333"/>
          <w:sz w:val="21"/>
          <w:szCs w:val="21"/>
        </w:rPr>
        <w:t xml:space="preserve">FDA-mandated identifier for medical devices. IT systems capture UDI at point of use via barcode scanning, linking implant to patient record, procedure, and supply chain.</w:t>
      </w:r>
    </w:p>
    <w:p>
      <w:pPr>
        <w:pStyle w:val="ListParagraph"/>
        <w:numPr>
          <w:ilvl w:val="0"/>
          <w:numId w:val="2"/>
        </w:numPr>
        <w:spacing w:after="80" w:line="276"/>
      </w:pPr>
      <w:r>
        <w:rPr>
          <w:rFonts w:ascii="Arial" w:cs="Arial" w:eastAsia="Arial" w:hAnsi="Arial"/>
          <w:b/>
          <w:bCs/>
          <w:color w:val="333333"/>
          <w:sz w:val="21"/>
          <w:szCs w:val="21"/>
        </w:rPr>
        <w:t xml:space="preserve">Implant Registry: </w:t>
      </w:r>
      <w:r>
        <w:rPr>
          <w:rFonts w:ascii="Arial" w:cs="Arial" w:eastAsia="Arial" w:hAnsi="Arial"/>
          <w:color w:val="333333"/>
          <w:sz w:val="21"/>
          <w:szCs w:val="21"/>
        </w:rPr>
        <w:t xml:space="preserve">Data submitted to national registries (AJRR for joint replacement, STS for cardiac surgery) for outcomes tracking and quality improvement.</w:t>
      </w:r>
    </w:p>
    <w:p>
      <w:pPr>
        <w:pStyle w:val="Heading2"/>
        <w:spacing w:before="280" w:after="160"/>
      </w:pPr>
      <w:r>
        <w:rPr>
          <w:rFonts w:ascii="Arial" w:cs="Arial" w:eastAsia="Arial" w:hAnsi="Arial"/>
          <w:b/>
          <w:bCs/>
          <w:color w:val="2E75B6"/>
          <w:sz w:val="26"/>
          <w:szCs w:val="26"/>
        </w:rPr>
        <w:t xml:space="preserve">7.3 Post-Operative Phase</w:t>
      </w:r>
    </w:p>
    <w:p>
      <w:pPr>
        <w:pStyle w:val="Heading3"/>
        <w:spacing w:before="200" w:after="120"/>
      </w:pPr>
      <w:r>
        <w:rPr>
          <w:rFonts w:ascii="Arial" w:cs="Arial" w:eastAsia="Arial" w:hAnsi="Arial"/>
          <w:b/>
          <w:bCs/>
          <w:color w:val="1B3A5C"/>
          <w:sz w:val="22"/>
          <w:szCs w:val="22"/>
        </w:rPr>
        <w:t xml:space="preserve">7.3.1 PACU (Post-Anesthesia Care Unit)</w:t>
      </w:r>
    </w:p>
    <w:p>
      <w:pPr>
        <w:spacing w:after="160" w:line="276"/>
      </w:pPr>
      <w:r>
        <w:rPr>
          <w:rFonts w:ascii="Arial" w:cs="Arial" w:eastAsia="Arial" w:hAnsi="Arial"/>
          <w:color w:val="333333"/>
          <w:sz w:val="21"/>
          <w:szCs w:val="21"/>
        </w:rPr>
        <w:t xml:space="preserve">PACU provides monitored recovery from anesthesia. Patients are assessed using standardized scoring systems.</w:t>
      </w:r>
    </w:p>
    <w:p>
      <w:pPr>
        <w:pStyle w:val="ListParagraph"/>
        <w:numPr>
          <w:ilvl w:val="0"/>
          <w:numId w:val="2"/>
        </w:numPr>
        <w:spacing w:after="80" w:line="276"/>
      </w:pPr>
      <w:r>
        <w:rPr>
          <w:rFonts w:ascii="Arial" w:cs="Arial" w:eastAsia="Arial" w:hAnsi="Arial"/>
          <w:b/>
          <w:bCs/>
          <w:color w:val="333333"/>
          <w:sz w:val="21"/>
          <w:szCs w:val="21"/>
        </w:rPr>
        <w:t xml:space="preserve">Aldrete Score: </w:t>
      </w:r>
      <w:r>
        <w:rPr>
          <w:rFonts w:ascii="Arial" w:cs="Arial" w:eastAsia="Arial" w:hAnsi="Arial"/>
          <w:color w:val="333333"/>
          <w:sz w:val="21"/>
          <w:szCs w:val="21"/>
        </w:rPr>
        <w:t xml:space="preserve">Recovery scoring system (0-10) assessing activity, respiration, circulation, consciousness, and oxygen saturation. Patients must meet minimum score thresholds for discharge from PACU.</w:t>
      </w:r>
    </w:p>
    <w:p>
      <w:pPr>
        <w:pStyle w:val="ListParagraph"/>
        <w:numPr>
          <w:ilvl w:val="0"/>
          <w:numId w:val="2"/>
        </w:numPr>
        <w:spacing w:after="80" w:line="276"/>
      </w:pPr>
      <w:r>
        <w:rPr>
          <w:rFonts w:ascii="Arial" w:cs="Arial" w:eastAsia="Arial" w:hAnsi="Arial"/>
          <w:b/>
          <w:bCs/>
          <w:color w:val="333333"/>
          <w:sz w:val="21"/>
          <w:szCs w:val="21"/>
        </w:rPr>
        <w:t xml:space="preserve">PACU Documentation: </w:t>
      </w:r>
      <w:r>
        <w:rPr>
          <w:rFonts w:ascii="Arial" w:cs="Arial" w:eastAsia="Arial" w:hAnsi="Arial"/>
          <w:color w:val="333333"/>
          <w:sz w:val="21"/>
          <w:szCs w:val="21"/>
        </w:rPr>
        <w:t xml:space="preserve">Vital signs every 5-15 minutes, pain management, nausea/vomiting, surgical site assessment, intake/output, and discharge readiness criteria.</w:t>
      </w:r>
    </w:p>
    <w:p>
      <w:pPr>
        <w:pStyle w:val="Heading3"/>
        <w:spacing w:before="200" w:after="120"/>
      </w:pPr>
      <w:r>
        <w:rPr>
          <w:rFonts w:ascii="Arial" w:cs="Arial" w:eastAsia="Arial" w:hAnsi="Arial"/>
          <w:b/>
          <w:bCs/>
          <w:color w:val="1B3A5C"/>
          <w:sz w:val="22"/>
          <w:szCs w:val="22"/>
        </w:rPr>
        <w:t xml:space="preserve">7.3.2 Post-Operative Orders &amp; Recovery</w:t>
      </w:r>
    </w:p>
    <w:p>
      <w:pPr>
        <w:pStyle w:val="ListParagraph"/>
        <w:numPr>
          <w:ilvl w:val="0"/>
          <w:numId w:val="2"/>
        </w:numPr>
        <w:spacing w:after="80" w:line="276"/>
      </w:pPr>
      <w:r>
        <w:rPr>
          <w:rFonts w:ascii="Arial" w:cs="Arial" w:eastAsia="Arial" w:hAnsi="Arial"/>
          <w:b/>
          <w:bCs/>
          <w:color w:val="333333"/>
          <w:sz w:val="21"/>
          <w:szCs w:val="21"/>
        </w:rPr>
        <w:t xml:space="preserve">Post-Op Order Sets: </w:t>
      </w:r>
      <w:r>
        <w:rPr>
          <w:rFonts w:ascii="Arial" w:cs="Arial" w:eastAsia="Arial" w:hAnsi="Arial"/>
          <w:color w:val="333333"/>
          <w:sz w:val="21"/>
          <w:szCs w:val="21"/>
        </w:rPr>
        <w:t xml:space="preserve">Procedure-specific order sets covering pain management, DVT prophylaxis, diet advancement, activity, wound care, and monitoring parameters.</w:t>
      </w:r>
    </w:p>
    <w:p>
      <w:pPr>
        <w:pStyle w:val="ListParagraph"/>
        <w:numPr>
          <w:ilvl w:val="0"/>
          <w:numId w:val="2"/>
        </w:numPr>
        <w:spacing w:after="80" w:line="276"/>
      </w:pPr>
      <w:r>
        <w:rPr>
          <w:rFonts w:ascii="Arial" w:cs="Arial" w:eastAsia="Arial" w:hAnsi="Arial"/>
          <w:b/>
          <w:bCs/>
          <w:color w:val="333333"/>
          <w:sz w:val="21"/>
          <w:szCs w:val="21"/>
        </w:rPr>
        <w:t xml:space="preserve">Surgical Site Monitoring: </w:t>
      </w:r>
      <w:r>
        <w:rPr>
          <w:rFonts w:ascii="Arial" w:cs="Arial" w:eastAsia="Arial" w:hAnsi="Arial"/>
          <w:color w:val="333333"/>
          <w:sz w:val="21"/>
          <w:szCs w:val="21"/>
        </w:rPr>
        <w:t xml:space="preserve">Assessment for bleeding, infection, dehiscence. Wound documentation with photos. SSI (Surgical Site Infection) surveillance for quality reporting.</w:t>
      </w:r>
    </w:p>
    <w:p>
      <w:pPr>
        <w:pStyle w:val="ListParagraph"/>
        <w:numPr>
          <w:ilvl w:val="0"/>
          <w:numId w:val="2"/>
        </w:numPr>
        <w:spacing w:after="80" w:line="276"/>
      </w:pPr>
      <w:r>
        <w:rPr>
          <w:rFonts w:ascii="Arial" w:cs="Arial" w:eastAsia="Arial" w:hAnsi="Arial"/>
          <w:b/>
          <w:bCs/>
          <w:color w:val="333333"/>
          <w:sz w:val="21"/>
          <w:szCs w:val="21"/>
        </w:rPr>
        <w:t xml:space="preserve">Enhanced Recovery After Surgery (ERAS): </w:t>
      </w:r>
      <w:r>
        <w:rPr>
          <w:rFonts w:ascii="Arial" w:cs="Arial" w:eastAsia="Arial" w:hAnsi="Arial"/>
          <w:color w:val="333333"/>
          <w:sz w:val="21"/>
          <w:szCs w:val="21"/>
        </w:rPr>
        <w:t xml:space="preserve">Evidence-based perioperative protocols that reduce length of stay and complications. IT systems enforce ERAS pathway compliance with CDS and order sets.</w:t>
      </w:r>
    </w:p>
    <w:p>
      <w:r>
        <w:br w:type="page"/>
      </w:r>
    </w:p>
    <w:p>
      <w:pPr>
        <w:pStyle w:val="Heading1"/>
        <w:spacing w:before="360" w:after="200"/>
      </w:pPr>
      <w:r>
        <w:rPr>
          <w:rFonts w:ascii="Arial" w:cs="Arial" w:eastAsia="Arial" w:hAnsi="Arial"/>
          <w:b/>
          <w:bCs/>
          <w:color w:val="1B3A5C"/>
          <w:sz w:val="32"/>
          <w:szCs w:val="32"/>
        </w:rPr>
        <w:t xml:space="preserve">8. Pharmacy Workflows</w:t>
      </w:r>
    </w:p>
    <w:p>
      <w:pPr>
        <w:spacing w:after="160" w:line="276"/>
      </w:pPr>
      <w:r>
        <w:rPr>
          <w:rFonts w:ascii="Arial" w:cs="Arial" w:eastAsia="Arial" w:hAnsi="Arial"/>
          <w:color w:val="333333"/>
          <w:sz w:val="21"/>
          <w:szCs w:val="21"/>
        </w:rPr>
        <w:t xml:space="preserve">Pharmacy is one of the most safety-critical and IT-intensive departments in healthcare. Medication errors remain a leading cause of preventable patient harm, and IT systems play a central role in prevention.</w:t>
      </w:r>
    </w:p>
    <w:p>
      <w:pPr>
        <w:pStyle w:val="Heading2"/>
        <w:spacing w:before="280" w:after="160"/>
      </w:pPr>
      <w:r>
        <w:rPr>
          <w:rFonts w:ascii="Arial" w:cs="Arial" w:eastAsia="Arial" w:hAnsi="Arial"/>
          <w:b/>
          <w:bCs/>
          <w:color w:val="2E75B6"/>
          <w:sz w:val="26"/>
          <w:szCs w:val="26"/>
        </w:rPr>
        <w:t xml:space="preserve">8.1 Medication Use Process: End-to-End</w:t>
      </w:r>
    </w:p>
    <w:p>
      <w:pPr>
        <w:spacing w:after="160" w:line="276"/>
      </w:pPr>
      <w:r>
        <w:rPr>
          <w:rFonts w:ascii="Arial" w:cs="Arial" w:eastAsia="Arial" w:hAnsi="Arial"/>
          <w:color w:val="333333"/>
          <w:sz w:val="21"/>
          <w:szCs w:val="21"/>
        </w:rPr>
        <w:t xml:space="preserve">The medication use process encompasses the complete lifecycle from prescribing through monitoring, with IT systems supporting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Systems &amp; Safety Checks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Prescribing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orders medication via CPOE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Drug-drug interaction checks, allergy alerts, dose range verification, renal/hepatic adjustment, formulary check, duplicate therapy alert, weight-based dosing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Transcribing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Order transmitted electronically (no manual transcription in CPOE)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Elimination of handwriting errors, structured order entry, required fields enforcement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Dispensing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Pharmacist verifies order, medication dispensed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pharmacist review, image verification, automated dispensing cabinet (ADC) restocking, unit-dose packaging, IV compounding verification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Administering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Nurse administers medication to patient (BCMA)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Five Rights verification via barcode scanning, real-time MAR documentation, override tracking, missed dose alerting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team monitors for therapeutic effect and adverse reactions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monitoring alerts (INR for warfarin, drug levels for vancomycin), adverse drug event (ADE) detection, pharmacist clinical interventions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8.2 Pharmacist Verification Workflow</w:t>
      </w:r>
    </w:p>
    <w:p>
      <w:pPr>
        <w:spacing w:after="160" w:line="276"/>
      </w:pPr>
      <w:r>
        <w:rPr>
          <w:rFonts w:ascii="Arial" w:cs="Arial" w:eastAsia="Arial" w:hAnsi="Arial"/>
          <w:color w:val="333333"/>
          <w:sz w:val="21"/>
          <w:szCs w:val="21"/>
        </w:rPr>
        <w:t xml:space="preserve">Every inpatient medication order is reviewed by a clinical pharmacist before the first dose is dispensed (except in emergencies). This verification workflow is a critical safety checkpoint.</w:t>
      </w:r>
    </w:p>
    <w:p>
      <w:pPr>
        <w:pStyle w:val="ListParagraph"/>
        <w:numPr>
          <w:ilvl w:val="0"/>
          <w:numId w:val="3"/>
        </w:numPr>
        <w:spacing w:after="80" w:line="276"/>
      </w:pPr>
      <w:r>
        <w:rPr>
          <w:rFonts w:ascii="Arial" w:cs="Arial" w:eastAsia="Arial" w:hAnsi="Arial"/>
          <w:b/>
          <w:bCs/>
          <w:color w:val="333333"/>
          <w:sz w:val="21"/>
          <w:szCs w:val="21"/>
        </w:rPr>
        <w:t xml:space="preserve">Order Review: </w:t>
      </w:r>
      <w:r>
        <w:rPr>
          <w:rFonts w:ascii="Arial" w:cs="Arial" w:eastAsia="Arial" w:hAnsi="Arial"/>
          <w:color w:val="333333"/>
          <w:sz w:val="21"/>
          <w:szCs w:val="21"/>
        </w:rPr>
        <w:t xml:space="preserve">Pharmacist reviews new order in verification queue: drug selection appropriateness, dose correctness, route, frequency, duration, and clinical indication.</w:t>
      </w:r>
    </w:p>
    <w:p>
      <w:pPr>
        <w:pStyle w:val="ListParagraph"/>
        <w:numPr>
          <w:ilvl w:val="0"/>
          <w:numId w:val="3"/>
        </w:numPr>
        <w:spacing w:after="80" w:line="276"/>
      </w:pPr>
      <w:r>
        <w:rPr>
          <w:rFonts w:ascii="Arial" w:cs="Arial" w:eastAsia="Arial" w:hAnsi="Arial"/>
          <w:b/>
          <w:bCs/>
          <w:color w:val="333333"/>
          <w:sz w:val="21"/>
          <w:szCs w:val="21"/>
        </w:rPr>
        <w:t xml:space="preserve">Clinical Assessment: </w:t>
      </w:r>
      <w:r>
        <w:rPr>
          <w:rFonts w:ascii="Arial" w:cs="Arial" w:eastAsia="Arial" w:hAnsi="Arial"/>
          <w:color w:val="333333"/>
          <w:sz w:val="21"/>
          <w:szCs w:val="21"/>
        </w:rPr>
        <w:t xml:space="preserve">Pharmacist checks patient-specific factors: allergies, renal function (CrCl/eGFR), hepatic function, weight, age, pregnancy status, current medications, and recent lab values.</w:t>
      </w:r>
    </w:p>
    <w:p>
      <w:pPr>
        <w:pStyle w:val="ListParagraph"/>
        <w:numPr>
          <w:ilvl w:val="0"/>
          <w:numId w:val="3"/>
        </w:numPr>
        <w:spacing w:after="80" w:line="276"/>
      </w:pPr>
      <w:r>
        <w:rPr>
          <w:rFonts w:ascii="Arial" w:cs="Arial" w:eastAsia="Arial" w:hAnsi="Arial"/>
          <w:b/>
          <w:bCs/>
          <w:color w:val="333333"/>
          <w:sz w:val="21"/>
          <w:szCs w:val="21"/>
        </w:rPr>
        <w:t xml:space="preserve">Intervention Documentation: </w:t>
      </w:r>
      <w:r>
        <w:rPr>
          <w:rFonts w:ascii="Arial" w:cs="Arial" w:eastAsia="Arial" w:hAnsi="Arial"/>
          <w:color w:val="333333"/>
          <w:sz w:val="21"/>
          <w:szCs w:val="21"/>
        </w:rPr>
        <w:t xml:space="preserve">If concerns identified, pharmacist documents clinical intervention: recommendation to change drug, dose, route, or frequency. Intervention tracked for pharmacist productivity and patient safety metrics.</w:t>
      </w:r>
    </w:p>
    <w:p>
      <w:pPr>
        <w:pStyle w:val="ListParagraph"/>
        <w:numPr>
          <w:ilvl w:val="0"/>
          <w:numId w:val="3"/>
        </w:numPr>
        <w:spacing w:after="80" w:line="276"/>
      </w:pPr>
      <w:r>
        <w:rPr>
          <w:rFonts w:ascii="Arial" w:cs="Arial" w:eastAsia="Arial" w:hAnsi="Arial"/>
          <w:b/>
          <w:bCs/>
          <w:color w:val="333333"/>
          <w:sz w:val="21"/>
          <w:szCs w:val="21"/>
        </w:rPr>
        <w:t xml:space="preserve">Order Verification: </w:t>
      </w:r>
      <w:r>
        <w:rPr>
          <w:rFonts w:ascii="Arial" w:cs="Arial" w:eastAsia="Arial" w:hAnsi="Arial"/>
          <w:color w:val="333333"/>
          <w:sz w:val="21"/>
          <w:szCs w:val="21"/>
        </w:rPr>
        <w:t xml:space="preserve">Pharmacist verifies (approves) order, triggering medication availability in automated dispensing cabinet for nurse retrieval.</w:t>
      </w:r>
    </w:p>
    <w:p>
      <w:pPr>
        <w:pStyle w:val="ListParagraph"/>
        <w:numPr>
          <w:ilvl w:val="0"/>
          <w:numId w:val="3"/>
        </w:numPr>
        <w:spacing w:after="80" w:line="276"/>
      </w:pPr>
      <w:r>
        <w:rPr>
          <w:rFonts w:ascii="Arial" w:cs="Arial" w:eastAsia="Arial" w:hAnsi="Arial"/>
          <w:b/>
          <w:bCs/>
          <w:color w:val="333333"/>
          <w:sz w:val="21"/>
          <w:szCs w:val="21"/>
        </w:rPr>
        <w:t xml:space="preserve">IV Compounding Verification: </w:t>
      </w:r>
      <w:r>
        <w:rPr>
          <w:rFonts w:ascii="Arial" w:cs="Arial" w:eastAsia="Arial" w:hAnsi="Arial"/>
          <w:color w:val="333333"/>
          <w:sz w:val="21"/>
          <w:szCs w:val="21"/>
        </w:rPr>
        <w:t xml:space="preserve">For compounded IV medications, pharmacist verifies ingredients, concentrations, compatibility, and beyond-use dating. IV workflow management systems (DoseEdge, BD Cato) photograph each step for visual verification.</w:t>
      </w:r>
    </w:p>
    <w:p>
      <w:pPr>
        <w:pStyle w:val="Heading2"/>
        <w:spacing w:before="280" w:after="160"/>
      </w:pPr>
      <w:r>
        <w:rPr>
          <w:rFonts w:ascii="Arial" w:cs="Arial" w:eastAsia="Arial" w:hAnsi="Arial"/>
          <w:b/>
          <w:bCs/>
          <w:color w:val="2E75B6"/>
          <w:sz w:val="26"/>
          <w:szCs w:val="26"/>
        </w:rPr>
        <w:t xml:space="preserve">8.3 Automated Dispensing Cabinets (ADCs)</w:t>
      </w:r>
    </w:p>
    <w:p>
      <w:pPr>
        <w:spacing w:after="160" w:line="276"/>
      </w:pPr>
      <w:r>
        <w:rPr>
          <w:rFonts w:ascii="Arial" w:cs="Arial" w:eastAsia="Arial" w:hAnsi="Arial"/>
          <w:color w:val="333333"/>
          <w:sz w:val="21"/>
          <w:szCs w:val="21"/>
        </w:rPr>
        <w:t xml:space="preserve">ADCs (Pyxis/BD, Omnicell) are computerized drug storage and dispensing systems located on nursing units. They are the primary medication access point for nurses.</w:t>
      </w:r>
    </w:p>
    <w:p>
      <w:pPr>
        <w:pStyle w:val="ListParagraph"/>
        <w:numPr>
          <w:ilvl w:val="0"/>
          <w:numId w:val="2"/>
        </w:numPr>
        <w:spacing w:after="80" w:line="276"/>
      </w:pPr>
      <w:r>
        <w:rPr>
          <w:rFonts w:ascii="Arial" w:cs="Arial" w:eastAsia="Arial" w:hAnsi="Arial"/>
          <w:b/>
          <w:bCs/>
          <w:color w:val="333333"/>
          <w:sz w:val="21"/>
          <w:szCs w:val="21"/>
        </w:rPr>
        <w:t xml:space="preserve">Profile-Based Dispensing: </w:t>
      </w:r>
      <w:r>
        <w:rPr>
          <w:rFonts w:ascii="Arial" w:cs="Arial" w:eastAsia="Arial" w:hAnsi="Arial"/>
          <w:color w:val="333333"/>
          <w:sz w:val="21"/>
          <w:szCs w:val="21"/>
        </w:rPr>
        <w:t xml:space="preserve">Cabinet only allows access to medications that have been ordered and verified for a specific patient. Reduces wrong-patient and wrong-drug errors.</w:t>
      </w:r>
    </w:p>
    <w:p>
      <w:pPr>
        <w:pStyle w:val="ListParagraph"/>
        <w:numPr>
          <w:ilvl w:val="0"/>
          <w:numId w:val="2"/>
        </w:numPr>
        <w:spacing w:after="80" w:line="276"/>
      </w:pPr>
      <w:r>
        <w:rPr>
          <w:rFonts w:ascii="Arial" w:cs="Arial" w:eastAsia="Arial" w:hAnsi="Arial"/>
          <w:b/>
          <w:bCs/>
          <w:color w:val="333333"/>
          <w:sz w:val="21"/>
          <w:szCs w:val="21"/>
        </w:rPr>
        <w:t xml:space="preserve">Override Access: </w:t>
      </w:r>
      <w:r>
        <w:rPr>
          <w:rFonts w:ascii="Arial" w:cs="Arial" w:eastAsia="Arial" w:hAnsi="Arial"/>
          <w:color w:val="333333"/>
          <w:sz w:val="21"/>
          <w:szCs w:val="21"/>
        </w:rPr>
        <w:t xml:space="preserve">Emergency access to medications before pharmacist verification. Override rates are closely monitored as a safety metric — high override rates indicate workflow issues.</w:t>
      </w:r>
    </w:p>
    <w:p>
      <w:pPr>
        <w:pStyle w:val="ListParagraph"/>
        <w:numPr>
          <w:ilvl w:val="0"/>
          <w:numId w:val="2"/>
        </w:numPr>
        <w:spacing w:after="80" w:line="276"/>
      </w:pPr>
      <w:r>
        <w:rPr>
          <w:rFonts w:ascii="Arial" w:cs="Arial" w:eastAsia="Arial" w:hAnsi="Arial"/>
          <w:b/>
          <w:bCs/>
          <w:color w:val="333333"/>
          <w:sz w:val="21"/>
          <w:szCs w:val="21"/>
        </w:rPr>
        <w:t xml:space="preserve">Controlled Substance Tracking: </w:t>
      </w:r>
      <w:r>
        <w:rPr>
          <w:rFonts w:ascii="Arial" w:cs="Arial" w:eastAsia="Arial" w:hAnsi="Arial"/>
          <w:color w:val="333333"/>
          <w:sz w:val="21"/>
          <w:szCs w:val="21"/>
        </w:rPr>
        <w:t xml:space="preserve">ADCs provide complete chain of custody for controlled substances: access, count verification, waste witnessing, and discrepancy reporting.</w:t>
      </w:r>
    </w:p>
    <w:p>
      <w:pPr>
        <w:pStyle w:val="ListParagraph"/>
        <w:numPr>
          <w:ilvl w:val="0"/>
          <w:numId w:val="2"/>
        </w:numPr>
        <w:spacing w:after="80" w:line="276"/>
      </w:pPr>
      <w:r>
        <w:rPr>
          <w:rFonts w:ascii="Arial" w:cs="Arial" w:eastAsia="Arial" w:hAnsi="Arial"/>
          <w:b/>
          <w:bCs/>
          <w:color w:val="333333"/>
          <w:sz w:val="21"/>
          <w:szCs w:val="21"/>
        </w:rPr>
        <w:t xml:space="preserve">Par Level Management: </w:t>
      </w:r>
      <w:r>
        <w:rPr>
          <w:rFonts w:ascii="Arial" w:cs="Arial" w:eastAsia="Arial" w:hAnsi="Arial"/>
          <w:color w:val="333333"/>
          <w:sz w:val="21"/>
          <w:szCs w:val="21"/>
        </w:rPr>
        <w:t xml:space="preserve">Automated inventory tracking with low-stock alerts and restocking workflows. Integration with pharmacy inventory management for automated ordering.</w:t>
      </w:r>
    </w:p>
    <w:p>
      <w:pPr>
        <w:pStyle w:val="Heading2"/>
        <w:spacing w:before="280" w:after="160"/>
      </w:pPr>
      <w:r>
        <w:rPr>
          <w:rFonts w:ascii="Arial" w:cs="Arial" w:eastAsia="Arial" w:hAnsi="Arial"/>
          <w:b/>
          <w:bCs/>
          <w:color w:val="2E75B6"/>
          <w:sz w:val="26"/>
          <w:szCs w:val="26"/>
        </w:rPr>
        <w:t xml:space="preserve">8.4 Medication Reconciliation</w:t>
      </w:r>
    </w:p>
    <w:p>
      <w:pPr>
        <w:spacing w:after="160" w:line="276"/>
      </w:pPr>
      <w:r>
        <w:rPr>
          <w:rFonts w:ascii="Arial" w:cs="Arial" w:eastAsia="Arial" w:hAnsi="Arial"/>
          <w:color w:val="333333"/>
          <w:sz w:val="21"/>
          <w:szCs w:val="21"/>
        </w:rPr>
        <w:t xml:space="preserve">Medication reconciliation is the process of comparing a patient’s medication orders to all medications the patient has been taking to avoid omissions, duplications, dosing errors, and interactions. It is required at every transition of care.</w:t>
      </w:r>
    </w:p>
    <w:p>
      <w:pPr>
        <w:pStyle w:val="ListParagraph"/>
        <w:numPr>
          <w:ilvl w:val="0"/>
          <w:numId w:val="2"/>
        </w:numPr>
        <w:spacing w:after="80" w:line="276"/>
      </w:pPr>
      <w:r>
        <w:rPr>
          <w:rFonts w:ascii="Arial" w:cs="Arial" w:eastAsia="Arial" w:hAnsi="Arial"/>
          <w:b/>
          <w:bCs/>
          <w:color w:val="333333"/>
          <w:sz w:val="21"/>
          <w:szCs w:val="21"/>
        </w:rPr>
        <w:t xml:space="preserve">Admission Reconciliation: </w:t>
      </w:r>
      <w:r>
        <w:rPr>
          <w:rFonts w:ascii="Arial" w:cs="Arial" w:eastAsia="Arial" w:hAnsi="Arial"/>
          <w:color w:val="333333"/>
          <w:sz w:val="21"/>
          <w:szCs w:val="21"/>
        </w:rPr>
        <w:t xml:space="preserve">Compare home medication list (obtained from patient interview, pharmacy benefit history via Surescripts, and previous encounter records) with admission orders. Ensure appropriate medications are continued, held, or substituted.</w:t>
      </w:r>
    </w:p>
    <w:p>
      <w:pPr>
        <w:pStyle w:val="ListParagraph"/>
        <w:numPr>
          <w:ilvl w:val="0"/>
          <w:numId w:val="2"/>
        </w:numPr>
        <w:spacing w:after="80" w:line="276"/>
      </w:pPr>
      <w:r>
        <w:rPr>
          <w:rFonts w:ascii="Arial" w:cs="Arial" w:eastAsia="Arial" w:hAnsi="Arial"/>
          <w:b/>
          <w:bCs/>
          <w:color w:val="333333"/>
          <w:sz w:val="21"/>
          <w:szCs w:val="21"/>
        </w:rPr>
        <w:t xml:space="preserve">Transfer Reconciliation: </w:t>
      </w:r>
      <w:r>
        <w:rPr>
          <w:rFonts w:ascii="Arial" w:cs="Arial" w:eastAsia="Arial" w:hAnsi="Arial"/>
          <w:color w:val="333333"/>
          <w:sz w:val="21"/>
          <w:szCs w:val="21"/>
        </w:rPr>
        <w:t xml:space="preserve">When patient moves between units (e.g., ICU to floor), reconcile ICU medication orders with new unit-appropriate orders.</w:t>
      </w:r>
    </w:p>
    <w:p>
      <w:pPr>
        <w:pStyle w:val="ListParagraph"/>
        <w:numPr>
          <w:ilvl w:val="0"/>
          <w:numId w:val="2"/>
        </w:numPr>
        <w:spacing w:after="80" w:line="276"/>
      </w:pPr>
      <w:r>
        <w:rPr>
          <w:rFonts w:ascii="Arial" w:cs="Arial" w:eastAsia="Arial" w:hAnsi="Arial"/>
          <w:b/>
          <w:bCs/>
          <w:color w:val="333333"/>
          <w:sz w:val="21"/>
          <w:szCs w:val="21"/>
        </w:rPr>
        <w:t xml:space="preserve">Discharge Reconciliation: </w:t>
      </w:r>
      <w:r>
        <w:rPr>
          <w:rFonts w:ascii="Arial" w:cs="Arial" w:eastAsia="Arial" w:hAnsi="Arial"/>
          <w:color w:val="333333"/>
          <w:sz w:val="21"/>
          <w:szCs w:val="21"/>
        </w:rPr>
        <w:t xml:space="preserve">Compare discharge medications with pre-admission medications and inpatient medications. Ensure appropriate medications are resumed, new medications are prescribed, and discontinued medications are clearly communicated.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IT Challenge</w:t>
            </w:r>
          </w:p>
          <w:p>
            <w:pPr>
              <w:spacing w:after="0" w:line="276"/>
            </w:pPr>
            <w:r>
              <w:rPr>
                <w:rFonts w:ascii="Arial" w:cs="Arial" w:eastAsia="Arial" w:hAnsi="Arial"/>
                <w:i/>
                <w:iCs/>
                <w:color w:val="333333"/>
                <w:sz w:val="20"/>
                <w:szCs w:val="20"/>
              </w:rPr>
              <w:t xml:space="preserve">Medication reconciliation is one of the most error-prone workflows in healthcare. The best medication list is only as good as the data sources — which often include patient self-report (unreliable), pharmacy claims data (delayed), and medication history from multiple EHR systems (fragmented). FHIR-based medication history exchange and Surescripts Medication History are improving data quality but significant gaps remain.</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9. Laboratory Workflows</w:t>
      </w:r>
    </w:p>
    <w:p>
      <w:pPr>
        <w:spacing w:after="160" w:line="276"/>
      </w:pPr>
      <w:r>
        <w:rPr>
          <w:rFonts w:ascii="Arial" w:cs="Arial" w:eastAsia="Arial" w:hAnsi="Arial"/>
          <w:color w:val="333333"/>
          <w:sz w:val="21"/>
          <w:szCs w:val="21"/>
        </w:rPr>
        <w:t xml:space="preserve">The clinical laboratory is one of the most integration-intensive departments in healthcare. Laboratory results influence over 70% of clinical decisions, making the accuracy, timeliness, and reliability of lab IT systems critically important.</w:t>
      </w:r>
    </w:p>
    <w:p>
      <w:pPr>
        <w:pStyle w:val="Heading2"/>
        <w:spacing w:before="280" w:after="160"/>
      </w:pPr>
      <w:r>
        <w:rPr>
          <w:rFonts w:ascii="Arial" w:cs="Arial" w:eastAsia="Arial" w:hAnsi="Arial"/>
          <w:b/>
          <w:bCs/>
          <w:color w:val="2E75B6"/>
          <w:sz w:val="26"/>
          <w:szCs w:val="26"/>
        </w:rPr>
        <w:t xml:space="preserve">9.1 Laboratory Workflow: End-to-End</w:t>
      </w:r>
    </w:p>
    <w:p>
      <w:pPr>
        <w:pStyle w:val="Heading3"/>
        <w:spacing w:before="200" w:after="120"/>
      </w:pPr>
      <w:r>
        <w:rPr>
          <w:rFonts w:ascii="Arial" w:cs="Arial" w:eastAsia="Arial" w:hAnsi="Arial"/>
          <w:b/>
          <w:bCs/>
          <w:color w:val="1B3A5C"/>
          <w:sz w:val="22"/>
          <w:szCs w:val="22"/>
        </w:rPr>
        <w:t xml:space="preserve">9.1.1 Order Entry (Pre-Analytical Phase)</w:t>
      </w:r>
    </w:p>
    <w:p>
      <w:pPr>
        <w:pStyle w:val="ListParagraph"/>
        <w:numPr>
          <w:ilvl w:val="0"/>
          <w:numId w:val="3"/>
        </w:numPr>
        <w:spacing w:after="80" w:line="276"/>
      </w:pPr>
      <w:r>
        <w:rPr>
          <w:rFonts w:ascii="Arial" w:cs="Arial" w:eastAsia="Arial" w:hAnsi="Arial"/>
          <w:b/>
          <w:bCs/>
          <w:color w:val="333333"/>
          <w:sz w:val="21"/>
          <w:szCs w:val="21"/>
        </w:rPr>
        <w:t xml:space="preserve">Order Placement: </w:t>
      </w:r>
      <w:r>
        <w:rPr>
          <w:rFonts w:ascii="Arial" w:cs="Arial" w:eastAsia="Arial" w:hAnsi="Arial"/>
          <w:color w:val="333333"/>
          <w:sz w:val="21"/>
          <w:szCs w:val="21"/>
        </w:rPr>
        <w:t xml:space="preserve">Provider places lab order via CPOE. Order includes test(s), priority (routine, STAT, timed), clinical indication, and specimen type. CDS checks for duplicate orders, appropriate test selection, and frequency limits.</w:t>
      </w:r>
    </w:p>
    <w:p>
      <w:pPr>
        <w:pStyle w:val="ListParagraph"/>
        <w:numPr>
          <w:ilvl w:val="0"/>
          <w:numId w:val="3"/>
        </w:numPr>
        <w:spacing w:after="80" w:line="276"/>
      </w:pPr>
      <w:r>
        <w:rPr>
          <w:rFonts w:ascii="Arial" w:cs="Arial" w:eastAsia="Arial" w:hAnsi="Arial"/>
          <w:b/>
          <w:bCs/>
          <w:color w:val="333333"/>
          <w:sz w:val="21"/>
          <w:szCs w:val="21"/>
        </w:rPr>
        <w:t xml:space="preserve">Order Routing: </w:t>
      </w:r>
      <w:r>
        <w:rPr>
          <w:rFonts w:ascii="Arial" w:cs="Arial" w:eastAsia="Arial" w:hAnsi="Arial"/>
          <w:color w:val="333333"/>
          <w:sz w:val="21"/>
          <w:szCs w:val="21"/>
        </w:rPr>
        <w:t xml:space="preserve">HL7 ORM (Order Message) transmitted from EHR to Laboratory Information System (LIS). Order appears on phlebotomy worklist or collection queue.</w:t>
      </w:r>
    </w:p>
    <w:p>
      <w:pPr>
        <w:pStyle w:val="ListParagraph"/>
        <w:numPr>
          <w:ilvl w:val="0"/>
          <w:numId w:val="3"/>
        </w:numPr>
        <w:spacing w:after="80" w:line="276"/>
      </w:pPr>
      <w:r>
        <w:rPr>
          <w:rFonts w:ascii="Arial" w:cs="Arial" w:eastAsia="Arial" w:hAnsi="Arial"/>
          <w:b/>
          <w:bCs/>
          <w:color w:val="333333"/>
          <w:sz w:val="21"/>
          <w:szCs w:val="21"/>
        </w:rPr>
        <w:t xml:space="preserve">Specimen Collection: </w:t>
      </w:r>
      <w:r>
        <w:rPr>
          <w:rFonts w:ascii="Arial" w:cs="Arial" w:eastAsia="Arial" w:hAnsi="Arial"/>
          <w:color w:val="333333"/>
          <w:sz w:val="21"/>
          <w:szCs w:val="21"/>
        </w:rPr>
        <w:t xml:space="preserve">Phlebotomist or nurse collects specimen. Barcode label generated and applied to specimen tube. Two-patient-identifier verification at bedside. Collection time, collector ID, and specimen type documented.</w:t>
      </w:r>
    </w:p>
    <w:p>
      <w:pPr>
        <w:pStyle w:val="ListParagraph"/>
        <w:numPr>
          <w:ilvl w:val="0"/>
          <w:numId w:val="3"/>
        </w:numPr>
        <w:spacing w:after="80" w:line="276"/>
      </w:pPr>
      <w:r>
        <w:rPr>
          <w:rFonts w:ascii="Arial" w:cs="Arial" w:eastAsia="Arial" w:hAnsi="Arial"/>
          <w:b/>
          <w:bCs/>
          <w:color w:val="333333"/>
          <w:sz w:val="21"/>
          <w:szCs w:val="21"/>
        </w:rPr>
        <w:t xml:space="preserve">Specimen Transport: </w:t>
      </w:r>
      <w:r>
        <w:rPr>
          <w:rFonts w:ascii="Arial" w:cs="Arial" w:eastAsia="Arial" w:hAnsi="Arial"/>
          <w:color w:val="333333"/>
          <w:sz w:val="21"/>
          <w:szCs w:val="21"/>
        </w:rPr>
        <w:t xml:space="preserve">Specimen transported to lab via pneumatic tube system, manual runner, or centralized processing. Chain of custody maintained.</w:t>
      </w:r>
    </w:p>
    <w:p>
      <w:pPr>
        <w:pStyle w:val="ListParagraph"/>
        <w:numPr>
          <w:ilvl w:val="0"/>
          <w:numId w:val="3"/>
        </w:numPr>
        <w:spacing w:after="80" w:line="276"/>
      </w:pPr>
      <w:r>
        <w:rPr>
          <w:rFonts w:ascii="Arial" w:cs="Arial" w:eastAsia="Arial" w:hAnsi="Arial"/>
          <w:b/>
          <w:bCs/>
          <w:color w:val="333333"/>
          <w:sz w:val="21"/>
          <w:szCs w:val="21"/>
        </w:rPr>
        <w:t xml:space="preserve">Specimen Receipt &amp; Processing: </w:t>
      </w:r>
      <w:r>
        <w:rPr>
          <w:rFonts w:ascii="Arial" w:cs="Arial" w:eastAsia="Arial" w:hAnsi="Arial"/>
          <w:color w:val="333333"/>
          <w:sz w:val="21"/>
          <w:szCs w:val="21"/>
        </w:rPr>
        <w:t xml:space="preserve">Lab receives specimen, verifies label matches order, checks specimen adequacy (volume, hemolysis, clotting), and logs receipt time. Rejected specimens trigger re-collection notification.</w:t>
      </w:r>
    </w:p>
    <w:p>
      <w:pPr>
        <w:pStyle w:val="Heading3"/>
        <w:spacing w:before="200" w:after="120"/>
      </w:pPr>
      <w:r>
        <w:rPr>
          <w:rFonts w:ascii="Arial" w:cs="Arial" w:eastAsia="Arial" w:hAnsi="Arial"/>
          <w:b/>
          <w:bCs/>
          <w:color w:val="1B3A5C"/>
          <w:sz w:val="22"/>
          <w:szCs w:val="22"/>
        </w:rPr>
        <w:t xml:space="preserve">9.1.2 Analysis (Analytical Phase)</w:t>
      </w:r>
    </w:p>
    <w:p>
      <w:pPr>
        <w:pStyle w:val="ListParagraph"/>
        <w:numPr>
          <w:ilvl w:val="0"/>
          <w:numId w:val="2"/>
        </w:numPr>
        <w:spacing w:after="80" w:line="276"/>
      </w:pPr>
      <w:r>
        <w:rPr>
          <w:rFonts w:ascii="Arial" w:cs="Arial" w:eastAsia="Arial" w:hAnsi="Arial"/>
          <w:b/>
          <w:bCs/>
          <w:color w:val="333333"/>
          <w:sz w:val="21"/>
          <w:szCs w:val="21"/>
        </w:rPr>
        <w:t xml:space="preserve">Instrument Interface: </w:t>
      </w:r>
      <w:r>
        <w:rPr>
          <w:rFonts w:ascii="Arial" w:cs="Arial" w:eastAsia="Arial" w:hAnsi="Arial"/>
          <w:color w:val="333333"/>
          <w:sz w:val="21"/>
          <w:szCs w:val="21"/>
        </w:rPr>
        <w:t xml:space="preserve">LIS sends test orders to analyzers via instrument interfaces. Results returned automatically. Bidirectional instrument interfaces eliminate manual result entry.</w:t>
      </w:r>
    </w:p>
    <w:p>
      <w:pPr>
        <w:pStyle w:val="ListParagraph"/>
        <w:numPr>
          <w:ilvl w:val="0"/>
          <w:numId w:val="2"/>
        </w:numPr>
        <w:spacing w:after="80" w:line="276"/>
      </w:pPr>
      <w:r>
        <w:rPr>
          <w:rFonts w:ascii="Arial" w:cs="Arial" w:eastAsia="Arial" w:hAnsi="Arial"/>
          <w:b/>
          <w:bCs/>
          <w:color w:val="333333"/>
          <w:sz w:val="21"/>
          <w:szCs w:val="21"/>
        </w:rPr>
        <w:t xml:space="preserve">Quality Control: </w:t>
      </w:r>
      <w:r>
        <w:rPr>
          <w:rFonts w:ascii="Arial" w:cs="Arial" w:eastAsia="Arial" w:hAnsi="Arial"/>
          <w:color w:val="333333"/>
          <w:sz w:val="21"/>
          <w:szCs w:val="21"/>
        </w:rPr>
        <w:t xml:space="preserve">QC results verified before patient results are released. Levey-Jennings charts track QC trends. Westgard rules flag out-of-control conditions.</w:t>
      </w:r>
    </w:p>
    <w:p>
      <w:pPr>
        <w:pStyle w:val="ListParagraph"/>
        <w:numPr>
          <w:ilvl w:val="0"/>
          <w:numId w:val="2"/>
        </w:numPr>
        <w:spacing w:after="80" w:line="276"/>
      </w:pPr>
      <w:r>
        <w:rPr>
          <w:rFonts w:ascii="Arial" w:cs="Arial" w:eastAsia="Arial" w:hAnsi="Arial"/>
          <w:b/>
          <w:bCs/>
          <w:color w:val="333333"/>
          <w:sz w:val="21"/>
          <w:szCs w:val="21"/>
        </w:rPr>
        <w:t xml:space="preserve">Reflex Testing: </w:t>
      </w:r>
      <w:r>
        <w:rPr>
          <w:rFonts w:ascii="Arial" w:cs="Arial" w:eastAsia="Arial" w:hAnsi="Arial"/>
          <w:color w:val="333333"/>
          <w:sz w:val="21"/>
          <w:szCs w:val="21"/>
        </w:rPr>
        <w:t xml:space="preserve">Automatic additional testing triggered by initial results (e.g., if TSH is abnormal, automatically add Free T4). Configured as rules in LIS.</w:t>
      </w:r>
    </w:p>
    <w:p>
      <w:pPr>
        <w:pStyle w:val="ListParagraph"/>
        <w:numPr>
          <w:ilvl w:val="0"/>
          <w:numId w:val="2"/>
        </w:numPr>
        <w:spacing w:after="80" w:line="276"/>
      </w:pPr>
      <w:r>
        <w:rPr>
          <w:rFonts w:ascii="Arial" w:cs="Arial" w:eastAsia="Arial" w:hAnsi="Arial"/>
          <w:b/>
          <w:bCs/>
          <w:color w:val="333333"/>
          <w:sz w:val="21"/>
          <w:szCs w:val="21"/>
        </w:rPr>
        <w:t xml:space="preserve">Manual Testing: </w:t>
      </w:r>
      <w:r>
        <w:rPr>
          <w:rFonts w:ascii="Arial" w:cs="Arial" w:eastAsia="Arial" w:hAnsi="Arial"/>
          <w:color w:val="333333"/>
          <w:sz w:val="21"/>
          <w:szCs w:val="21"/>
        </w:rPr>
        <w:t xml:space="preserve">Some tests require manual performance (microscopy, special stains, culture identification). Results entered manually into LIS with verification.</w:t>
      </w:r>
    </w:p>
    <w:p>
      <w:pPr>
        <w:pStyle w:val="Heading3"/>
        <w:spacing w:before="200" w:after="120"/>
      </w:pPr>
      <w:r>
        <w:rPr>
          <w:rFonts w:ascii="Arial" w:cs="Arial" w:eastAsia="Arial" w:hAnsi="Arial"/>
          <w:b/>
          <w:bCs/>
          <w:color w:val="1B3A5C"/>
          <w:sz w:val="22"/>
          <w:szCs w:val="22"/>
        </w:rPr>
        <w:t xml:space="preserve">9.1.3 Result Reporting (Post-Analytical Phase)</w:t>
      </w:r>
    </w:p>
    <w:p>
      <w:pPr>
        <w:pStyle w:val="ListParagraph"/>
        <w:numPr>
          <w:ilvl w:val="0"/>
          <w:numId w:val="3"/>
        </w:numPr>
        <w:spacing w:after="80" w:line="276"/>
      </w:pPr>
      <w:r>
        <w:rPr>
          <w:rFonts w:ascii="Arial" w:cs="Arial" w:eastAsia="Arial" w:hAnsi="Arial"/>
          <w:b/>
          <w:bCs/>
          <w:color w:val="333333"/>
          <w:sz w:val="21"/>
          <w:szCs w:val="21"/>
        </w:rPr>
        <w:t xml:space="preserve">Result Verification: </w:t>
      </w:r>
      <w:r>
        <w:rPr>
          <w:rFonts w:ascii="Arial" w:cs="Arial" w:eastAsia="Arial" w:hAnsi="Arial"/>
          <w:color w:val="333333"/>
          <w:sz w:val="21"/>
          <w:szCs w:val="21"/>
        </w:rPr>
        <w:t xml:space="preserve">Medical technologist reviews and verifies results before release. Auto-verification rules allow normal results meeting specific criteria to be released automatically without manual review.</w:t>
      </w:r>
    </w:p>
    <w:p>
      <w:pPr>
        <w:pStyle w:val="ListParagraph"/>
        <w:numPr>
          <w:ilvl w:val="0"/>
          <w:numId w:val="3"/>
        </w:numPr>
        <w:spacing w:after="80" w:line="276"/>
      </w:pPr>
      <w:r>
        <w:rPr>
          <w:rFonts w:ascii="Arial" w:cs="Arial" w:eastAsia="Arial" w:hAnsi="Arial"/>
          <w:b/>
          <w:bCs/>
          <w:color w:val="333333"/>
          <w:sz w:val="21"/>
          <w:szCs w:val="21"/>
        </w:rPr>
        <w:t xml:space="preserve">Result Transmission: </w:t>
      </w:r>
      <w:r>
        <w:rPr>
          <w:rFonts w:ascii="Arial" w:cs="Arial" w:eastAsia="Arial" w:hAnsi="Arial"/>
          <w:color w:val="333333"/>
          <w:sz w:val="21"/>
          <w:szCs w:val="21"/>
        </w:rPr>
        <w:t xml:space="preserve">HL7 ORU (Observation Result) message transmitted from LIS to EHR. Results appear in patient chart, provider inbox, and nursing flowsheets.</w:t>
      </w:r>
    </w:p>
    <w:p>
      <w:pPr>
        <w:pStyle w:val="ListParagraph"/>
        <w:numPr>
          <w:ilvl w:val="0"/>
          <w:numId w:val="3"/>
        </w:numPr>
        <w:spacing w:after="80" w:line="276"/>
      </w:pPr>
      <w:r>
        <w:rPr>
          <w:rFonts w:ascii="Arial" w:cs="Arial" w:eastAsia="Arial" w:hAnsi="Arial"/>
          <w:b/>
          <w:bCs/>
          <w:color w:val="333333"/>
          <w:sz w:val="21"/>
          <w:szCs w:val="21"/>
        </w:rPr>
        <w:t xml:space="preserve">Critical Value Alerting: </w:t>
      </w:r>
      <w:r>
        <w:rPr>
          <w:rFonts w:ascii="Arial" w:cs="Arial" w:eastAsia="Arial" w:hAnsi="Arial"/>
          <w:color w:val="333333"/>
          <w:sz w:val="21"/>
          <w:szCs w:val="21"/>
        </w:rPr>
        <w:t xml:space="preserve">Results falling outside critical limits (e.g., potassium &lt;2.5 or &gt;6.5 mEq/L, glucose &lt;40 mg/dL) trigger immediate critical value notification. Lab personnel must verbally notify the responsible provider and document the read-back. This is a Joint Commission NPSG (National Patient Safety Goal) requirement.</w:t>
      </w:r>
    </w:p>
    <w:p>
      <w:pPr>
        <w:pStyle w:val="ListParagraph"/>
        <w:numPr>
          <w:ilvl w:val="0"/>
          <w:numId w:val="3"/>
        </w:numPr>
        <w:spacing w:after="80" w:line="276"/>
      </w:pPr>
      <w:r>
        <w:rPr>
          <w:rFonts w:ascii="Arial" w:cs="Arial" w:eastAsia="Arial" w:hAnsi="Arial"/>
          <w:b/>
          <w:bCs/>
          <w:color w:val="333333"/>
          <w:sz w:val="21"/>
          <w:szCs w:val="21"/>
        </w:rPr>
        <w:t xml:space="preserve">Result Routing: </w:t>
      </w:r>
      <w:r>
        <w:rPr>
          <w:rFonts w:ascii="Arial" w:cs="Arial" w:eastAsia="Arial" w:hAnsi="Arial"/>
          <w:color w:val="333333"/>
          <w:sz w:val="21"/>
          <w:szCs w:val="21"/>
        </w:rPr>
        <w:t xml:space="preserve">Results routed to ordering provider, attending physician, and care team. Abnormal results flagged visually. Critical results generate high-priority alerts.</w:t>
      </w:r>
    </w:p>
    <w:p>
      <w:pPr>
        <w:pStyle w:val="Heading2"/>
        <w:spacing w:before="280" w:after="160"/>
      </w:pPr>
      <w:r>
        <w:rPr>
          <w:rFonts w:ascii="Arial" w:cs="Arial" w:eastAsia="Arial" w:hAnsi="Arial"/>
          <w:b/>
          <w:bCs/>
          <w:color w:val="2E75B6"/>
          <w:sz w:val="26"/>
          <w:szCs w:val="26"/>
        </w:rPr>
        <w:t xml:space="preserve">9.2 Critical Value Notification</w:t>
      </w:r>
    </w:p>
    <w:p>
      <w:pPr>
        <w:spacing w:after="160" w:line="276"/>
      </w:pPr>
      <w:r>
        <w:rPr>
          <w:rFonts w:ascii="Arial" w:cs="Arial" w:eastAsia="Arial" w:hAnsi="Arial"/>
          <w:color w:val="333333"/>
          <w:sz w:val="21"/>
          <w:szCs w:val="21"/>
        </w:rPr>
        <w:t xml:space="preserve">Critical value reporting is one of the most important patient safety workflows in laboratory medicine. Delays in critical value notification can directly lead to patient harm.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Critical Value Category</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Critical Values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Notification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Chemistry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Potassium &lt;2.5 or &gt;6.5, Glucose &lt;40 or &gt;500, Calcium &lt;6.0 or &gt;13.0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verbal notification to responsible provider with read-back confirmation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Hematology</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WBC &lt;2.0 or &gt;30.0, Hemoglobin &lt;7.0, Platelets &lt;20,000 or &gt;1,000,000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 — documented in LIS with provider name, date, time, and read-back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Coagulation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INR &gt;5.0, PTT &gt;100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 especially critical for patients on anticoagulant therapy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Blood Bank</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Positive antibody screen, transfusion reaction workup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Immediate notification; may require holding blood products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Microbiology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Positive blood cultures, CSF Gram stain results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notification with preliminary identification and susceptibilities when available</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9.3 Key Laboratory IT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 (Laboratory Information System)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lab workflow: orders, results, QC, billing, workload management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(HL7 ORM/ORU), instruments, reference labs, public health reporting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Instrument Interfaces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Bidirectional communication between LIS and analyzers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Chemistry, hematology, coagulation, urinalysis analyzers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Blood Bank System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Blood product inventory, crossmatch, transfusion tracking, antibody history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orders, blood bank instruments, donor center interfaces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Microbiology Module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Culture workup, organism identification, susceptibility testing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 core, MALDI-TOF identification, antibiogram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Anatomic Pathology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Surgical pathology, cytology, autopsy, molecular pathology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Specimen tracking, digital pathology imaging, cancer registry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Reference Lab Interface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Send-out testing to reference laboratories (Quest, LabCorp)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Electronic order transmission, result retrieval, billing coordination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Point-of-Care Testing (POCT)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Bedside testing: glucose, blood gas, pregnancy, rapid strep, COVID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Result upload to EHR, operator competency tracking, QC management</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10. Radiology Workflows</w:t>
      </w:r>
    </w:p>
    <w:p>
      <w:pPr>
        <w:spacing w:after="160" w:line="276"/>
      </w:pPr>
      <w:r>
        <w:rPr>
          <w:rFonts w:ascii="Arial" w:cs="Arial" w:eastAsia="Arial" w:hAnsi="Arial"/>
          <w:color w:val="333333"/>
          <w:sz w:val="21"/>
          <w:szCs w:val="21"/>
        </w:rPr>
        <w:t xml:space="preserve">Radiology is one of the most technology-dependent departments in healthcare. The workflow spans order entry, scheduling, image acquisition, interpretation, report distribution, and archival — all supported by specialized IT systems.</w:t>
      </w:r>
    </w:p>
    <w:p>
      <w:pPr>
        <w:pStyle w:val="Heading2"/>
        <w:spacing w:before="280" w:after="160"/>
      </w:pPr>
      <w:r>
        <w:rPr>
          <w:rFonts w:ascii="Arial" w:cs="Arial" w:eastAsia="Arial" w:hAnsi="Arial"/>
          <w:b/>
          <w:bCs/>
          <w:color w:val="2E75B6"/>
          <w:sz w:val="26"/>
          <w:szCs w:val="26"/>
        </w:rPr>
        <w:t xml:space="preserve">10.1 Radiology Workflow: End-to-End</w:t>
      </w:r>
    </w:p>
    <w:p>
      <w:pPr>
        <w:pStyle w:val="ListParagraph"/>
        <w:numPr>
          <w:ilvl w:val="0"/>
          <w:numId w:val="3"/>
        </w:numPr>
        <w:spacing w:after="80" w:line="276"/>
      </w:pPr>
      <w:r>
        <w:rPr>
          <w:rFonts w:ascii="Arial" w:cs="Arial" w:eastAsia="Arial" w:hAnsi="Arial"/>
          <w:b/>
          <w:bCs/>
          <w:color w:val="333333"/>
          <w:sz w:val="21"/>
          <w:szCs w:val="21"/>
        </w:rPr>
        <w:t xml:space="preserve">Order Entry: </w:t>
      </w:r>
      <w:r>
        <w:rPr>
          <w:rFonts w:ascii="Arial" w:cs="Arial" w:eastAsia="Arial" w:hAnsi="Arial"/>
          <w:color w:val="333333"/>
          <w:sz w:val="21"/>
          <w:szCs w:val="21"/>
        </w:rPr>
        <w:t xml:space="preserve">Provider places imaging order via CPOE specifying exam type, clinical indication (required for Medicare compliance — Appropriate Use Criteria under PAMA), laterality, contrast requirements, and priority (routine/STAT/urgent). CDS checks for appropriate use, pregnancy screening, and contrast allergy.</w:t>
      </w:r>
    </w:p>
    <w:p>
      <w:pPr>
        <w:pStyle w:val="ListParagraph"/>
        <w:numPr>
          <w:ilvl w:val="0"/>
          <w:numId w:val="3"/>
        </w:numPr>
        <w:spacing w:after="80" w:line="276"/>
      </w:pPr>
      <w:r>
        <w:rPr>
          <w:rFonts w:ascii="Arial" w:cs="Arial" w:eastAsia="Arial" w:hAnsi="Arial"/>
          <w:b/>
          <w:bCs/>
          <w:color w:val="333333"/>
          <w:sz w:val="21"/>
          <w:szCs w:val="21"/>
        </w:rPr>
        <w:t xml:space="preserve">Scheduling: </w:t>
      </w:r>
      <w:r>
        <w:rPr>
          <w:rFonts w:ascii="Arial" w:cs="Arial" w:eastAsia="Arial" w:hAnsi="Arial"/>
          <w:color w:val="333333"/>
          <w:sz w:val="21"/>
          <w:szCs w:val="21"/>
        </w:rPr>
        <w:t xml:space="preserve">Radiology scheduling considers modality availability (CT, MRI, ultrasound, X-ray, nuclear medicine, PET), patient preparation requirements (fasting, contrast prep, sedation), technologist staffing, and equipment maintenance schedules.</w:t>
      </w:r>
    </w:p>
    <w:p>
      <w:pPr>
        <w:pStyle w:val="ListParagraph"/>
        <w:numPr>
          <w:ilvl w:val="0"/>
          <w:numId w:val="3"/>
        </w:numPr>
        <w:spacing w:after="80" w:line="276"/>
      </w:pPr>
      <w:r>
        <w:rPr>
          <w:rFonts w:ascii="Arial" w:cs="Arial" w:eastAsia="Arial" w:hAnsi="Arial"/>
          <w:b/>
          <w:bCs/>
          <w:color w:val="333333"/>
          <w:sz w:val="21"/>
          <w:szCs w:val="21"/>
        </w:rPr>
        <w:t xml:space="preserve">Patient Preparation: </w:t>
      </w:r>
      <w:r>
        <w:rPr>
          <w:rFonts w:ascii="Arial" w:cs="Arial" w:eastAsia="Arial" w:hAnsi="Arial"/>
          <w:color w:val="333333"/>
          <w:sz w:val="21"/>
          <w:szCs w:val="21"/>
        </w:rPr>
        <w:t xml:space="preserve">Pre-procedure protocols: NPO requirements, contrast allergy premedication, renal function check (eGFR for contrast), diabetic medication management (metformin hold), and IV access for contrast studies.</w:t>
      </w:r>
    </w:p>
    <w:p>
      <w:pPr>
        <w:pStyle w:val="ListParagraph"/>
        <w:numPr>
          <w:ilvl w:val="0"/>
          <w:numId w:val="3"/>
        </w:numPr>
        <w:spacing w:after="80" w:line="276"/>
      </w:pPr>
      <w:r>
        <w:rPr>
          <w:rFonts w:ascii="Arial" w:cs="Arial" w:eastAsia="Arial" w:hAnsi="Arial"/>
          <w:b/>
          <w:bCs/>
          <w:color w:val="333333"/>
          <w:sz w:val="21"/>
          <w:szCs w:val="21"/>
        </w:rPr>
        <w:t xml:space="preserve">Image Acquisition: </w:t>
      </w:r>
      <w:r>
        <w:rPr>
          <w:rFonts w:ascii="Arial" w:cs="Arial" w:eastAsia="Arial" w:hAnsi="Arial"/>
          <w:color w:val="333333"/>
          <w:sz w:val="21"/>
          <w:szCs w:val="21"/>
        </w:rPr>
        <w:t xml:space="preserve">Technologist performs the study, verifying patient identity, correct exam, and correct laterality. DICOM images generated by modality and sent to PACS. Technologist documents technical factors and any issues.</w:t>
      </w:r>
    </w:p>
    <w:p>
      <w:pPr>
        <w:pStyle w:val="ListParagraph"/>
        <w:numPr>
          <w:ilvl w:val="0"/>
          <w:numId w:val="3"/>
        </w:numPr>
        <w:spacing w:after="80" w:line="276"/>
      </w:pPr>
      <w:r>
        <w:rPr>
          <w:rFonts w:ascii="Arial" w:cs="Arial" w:eastAsia="Arial" w:hAnsi="Arial"/>
          <w:b/>
          <w:bCs/>
          <w:color w:val="333333"/>
          <w:sz w:val="21"/>
          <w:szCs w:val="21"/>
        </w:rPr>
        <w:t xml:space="preserve">Image Interpretation: </w:t>
      </w:r>
      <w:r>
        <w:rPr>
          <w:rFonts w:ascii="Arial" w:cs="Arial" w:eastAsia="Arial" w:hAnsi="Arial"/>
          <w:color w:val="333333"/>
          <w:sz w:val="21"/>
          <w:szCs w:val="21"/>
        </w:rPr>
        <w:t xml:space="preserve">Radiologist reviews images on diagnostic workstation, comparing with prior studies. Reads are performed from worklist managed by RIS, prioritized by STAT/urgent status and turnaround time targets.</w:t>
      </w:r>
    </w:p>
    <w:p>
      <w:pPr>
        <w:pStyle w:val="ListParagraph"/>
        <w:numPr>
          <w:ilvl w:val="0"/>
          <w:numId w:val="3"/>
        </w:numPr>
        <w:spacing w:after="80" w:line="276"/>
      </w:pPr>
      <w:r>
        <w:rPr>
          <w:rFonts w:ascii="Arial" w:cs="Arial" w:eastAsia="Arial" w:hAnsi="Arial"/>
          <w:b/>
          <w:bCs/>
          <w:color w:val="333333"/>
          <w:sz w:val="21"/>
          <w:szCs w:val="21"/>
        </w:rPr>
        <w:t xml:space="preserve">Report Dictation &amp; Signing: </w:t>
      </w:r>
      <w:r>
        <w:rPr>
          <w:rFonts w:ascii="Arial" w:cs="Arial" w:eastAsia="Arial" w:hAnsi="Arial"/>
          <w:color w:val="333333"/>
          <w:sz w:val="21"/>
          <w:szCs w:val="21"/>
        </w:rPr>
        <w:t xml:space="preserve">Radiologist dictates report using voice recognition (Nuance PowerScribe/Dragon Medical) or structured reporting templates. Report follows ACR structured reporting standards: clinical indication, technique, comparison, findings, and impression. Preliminary report available immediately; final report after attending radiologist review and electronic signature.</w:t>
      </w:r>
    </w:p>
    <w:p>
      <w:pPr>
        <w:pStyle w:val="ListParagraph"/>
        <w:numPr>
          <w:ilvl w:val="0"/>
          <w:numId w:val="3"/>
        </w:numPr>
        <w:spacing w:after="80" w:line="276"/>
      </w:pPr>
      <w:r>
        <w:rPr>
          <w:rFonts w:ascii="Arial" w:cs="Arial" w:eastAsia="Arial" w:hAnsi="Arial"/>
          <w:b/>
          <w:bCs/>
          <w:color w:val="333333"/>
          <w:sz w:val="21"/>
          <w:szCs w:val="21"/>
        </w:rPr>
        <w:t xml:space="preserve">Result Distribution: </w:t>
      </w:r>
      <w:r>
        <w:rPr>
          <w:rFonts w:ascii="Arial" w:cs="Arial" w:eastAsia="Arial" w:hAnsi="Arial"/>
          <w:color w:val="333333"/>
          <w:sz w:val="21"/>
          <w:szCs w:val="21"/>
        </w:rPr>
        <w:t xml:space="preserve">Signed report transmitted via HL7 ORU to EHR. Report appears in ordering provider’s results inbox and patient chart. Critical/urgent findings require direct verbal communication to ordering provider (ACR Practice Parameter).</w:t>
      </w:r>
    </w:p>
    <w:p>
      <w:pPr>
        <w:pStyle w:val="ListParagraph"/>
        <w:numPr>
          <w:ilvl w:val="0"/>
          <w:numId w:val="3"/>
        </w:numPr>
        <w:spacing w:after="80" w:line="276"/>
      </w:pPr>
      <w:r>
        <w:rPr>
          <w:rFonts w:ascii="Arial" w:cs="Arial" w:eastAsia="Arial" w:hAnsi="Arial"/>
          <w:b/>
          <w:bCs/>
          <w:color w:val="333333"/>
          <w:sz w:val="21"/>
          <w:szCs w:val="21"/>
        </w:rPr>
        <w:t xml:space="preserve">Image Archival: </w:t>
      </w:r>
      <w:r>
        <w:rPr>
          <w:rFonts w:ascii="Arial" w:cs="Arial" w:eastAsia="Arial" w:hAnsi="Arial"/>
          <w:color w:val="333333"/>
          <w:sz w:val="21"/>
          <w:szCs w:val="21"/>
        </w:rPr>
        <w:t xml:space="preserve">DICOM images stored in PACS with long-term retention (typically 7–10+ years). Images accessible for comparison on future studies. Cloud PACS and vendor-neutral archives (VNA) increasingly used for enterprise imaging.</w:t>
      </w:r>
    </w:p>
    <w:p>
      <w:pPr>
        <w:pStyle w:val="Heading2"/>
        <w:spacing w:before="280" w:after="160"/>
      </w:pPr>
      <w:r>
        <w:rPr>
          <w:rFonts w:ascii="Arial" w:cs="Arial" w:eastAsia="Arial" w:hAnsi="Arial"/>
          <w:b/>
          <w:bCs/>
          <w:color w:val="2E75B6"/>
          <w:sz w:val="26"/>
          <w:szCs w:val="26"/>
        </w:rPr>
        <w:t xml:space="preserve">10.2 Key Radiology IT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Standards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 (Radiology Information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 management, scheduling, worklist, reporting workflow, billing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HL7 ORM/ORU, IHE SWF (Scheduled Workflow)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PACS (Picture Archiving &amp; Communication)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Image storage, retrieval, display, and distribution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DICOM, IHE XDS-I, vendor-neutral archive (VNA)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Recognition / Reporting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Speech-to-text for radiology report dictation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Nuance PowerScribe, structured reporting templates, ACR standards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Diagnostic Viewer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High-resolution display for image interpretation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DICOM viewers, 3D reconstruction, MPR/MIP, AI overlay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Image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Computer-aided detection and diagnosis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FDA-cleared AI algorithms (chest X-ray, mammography, CT PE, stroke), DICOM SR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Dose Monitoring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Radiation dose tracking and reporting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ACR Dose Index Registry, DICOM dose reports, dose alerts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 Imaging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Non-radiology images: wound photos, dermatology, endoscopy, ophthalmology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DICOM, VNA, universal viewer, XDS integration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10.3 DICOM: The Imaging Data Standard</w:t>
      </w:r>
    </w:p>
    <w:p>
      <w:pPr>
        <w:spacing w:after="160" w:line="276"/>
      </w:pPr>
      <w:r>
        <w:rPr>
          <w:rFonts w:ascii="Arial" w:cs="Arial" w:eastAsia="Arial" w:hAnsi="Arial"/>
          <w:color w:val="333333"/>
          <w:sz w:val="21"/>
          <w:szCs w:val="21"/>
        </w:rPr>
        <w:t xml:space="preserve">DICOM (Digital Imaging and Communications in Medicine) is the universal standard for medical imaging data. IT professionals working with imaging systems must understand its fundamentals.</w:t>
      </w:r>
    </w:p>
    <w:p>
      <w:pPr>
        <w:pStyle w:val="ListParagraph"/>
        <w:numPr>
          <w:ilvl w:val="0"/>
          <w:numId w:val="2"/>
        </w:numPr>
        <w:spacing w:after="80" w:line="276"/>
      </w:pPr>
      <w:r>
        <w:rPr>
          <w:rFonts w:ascii="Arial" w:cs="Arial" w:eastAsia="Arial" w:hAnsi="Arial"/>
          <w:b/>
          <w:bCs/>
          <w:color w:val="333333"/>
          <w:sz w:val="21"/>
          <w:szCs w:val="21"/>
        </w:rPr>
        <w:t xml:space="preserve">DICOM Objects: </w:t>
      </w:r>
      <w:r>
        <w:rPr>
          <w:rFonts w:ascii="Arial" w:cs="Arial" w:eastAsia="Arial" w:hAnsi="Arial"/>
          <w:color w:val="333333"/>
          <w:sz w:val="21"/>
          <w:szCs w:val="21"/>
        </w:rPr>
        <w:t xml:space="preserve">Every medical image is a DICOM object containing both pixel data and metadata (patient demographics, study information, acquisition parameters, and equipment details).</w:t>
      </w:r>
    </w:p>
    <w:p>
      <w:pPr>
        <w:pStyle w:val="ListParagraph"/>
        <w:numPr>
          <w:ilvl w:val="0"/>
          <w:numId w:val="2"/>
        </w:numPr>
        <w:spacing w:after="80" w:line="276"/>
      </w:pPr>
      <w:r>
        <w:rPr>
          <w:rFonts w:ascii="Arial" w:cs="Arial" w:eastAsia="Arial" w:hAnsi="Arial"/>
          <w:b/>
          <w:bCs/>
          <w:color w:val="333333"/>
          <w:sz w:val="21"/>
          <w:szCs w:val="21"/>
        </w:rPr>
        <w:t xml:space="preserve">DICOM Services: </w:t>
      </w:r>
      <w:r>
        <w:rPr>
          <w:rFonts w:ascii="Arial" w:cs="Arial" w:eastAsia="Arial" w:hAnsi="Arial"/>
          <w:color w:val="333333"/>
          <w:sz w:val="21"/>
          <w:szCs w:val="21"/>
        </w:rPr>
        <w:t xml:space="preserve">Store (C-STORE), Query/Retrieve (C-FIND/C-MOVE/C-GET), Worklist Management (MWL), and Print. These services enable communication between modalities, PACS, workstations, and printers.</w:t>
      </w:r>
    </w:p>
    <w:p>
      <w:pPr>
        <w:pStyle w:val="ListParagraph"/>
        <w:numPr>
          <w:ilvl w:val="0"/>
          <w:numId w:val="2"/>
        </w:numPr>
        <w:spacing w:after="80" w:line="276"/>
      </w:pPr>
      <w:r>
        <w:rPr>
          <w:rFonts w:ascii="Arial" w:cs="Arial" w:eastAsia="Arial" w:hAnsi="Arial"/>
          <w:b/>
          <w:bCs/>
          <w:color w:val="333333"/>
          <w:sz w:val="21"/>
          <w:szCs w:val="21"/>
        </w:rPr>
        <w:t xml:space="preserve">DICOM Hierarchy: </w:t>
      </w:r>
      <w:r>
        <w:rPr>
          <w:rFonts w:ascii="Arial" w:cs="Arial" w:eastAsia="Arial" w:hAnsi="Arial"/>
          <w:color w:val="333333"/>
          <w:sz w:val="21"/>
          <w:szCs w:val="21"/>
        </w:rPr>
        <w:t xml:space="preserve">Patient → Study → Series → Instance. A single CT scan of the abdomen might contain 500+ individual DICOM instances (images) organized into series.</w:t>
      </w:r>
    </w:p>
    <w:p>
      <w:pPr>
        <w:pStyle w:val="ListParagraph"/>
        <w:numPr>
          <w:ilvl w:val="0"/>
          <w:numId w:val="2"/>
        </w:numPr>
        <w:spacing w:after="80" w:line="276"/>
      </w:pPr>
      <w:r>
        <w:rPr>
          <w:rFonts w:ascii="Arial" w:cs="Arial" w:eastAsia="Arial" w:hAnsi="Arial"/>
          <w:b/>
          <w:bCs/>
          <w:color w:val="333333"/>
          <w:sz w:val="21"/>
          <w:szCs w:val="21"/>
        </w:rPr>
        <w:t xml:space="preserve">DICOM Web: </w:t>
      </w:r>
      <w:r>
        <w:rPr>
          <w:rFonts w:ascii="Arial" w:cs="Arial" w:eastAsia="Arial" w:hAnsi="Arial"/>
          <w:color w:val="333333"/>
          <w:sz w:val="21"/>
          <w:szCs w:val="21"/>
        </w:rPr>
        <w:t xml:space="preserve">RESTful APIs (WADO-RS, STOW-RS, QIDO-RS) enabling web-based access to DICOM images. Increasingly important for cloud PACS and mobile image viewing.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B35A00"/>
                <w:sz w:val="21"/>
                <w:szCs w:val="21"/>
              </w:rPr>
              <w:t xml:space="preserve">Critical Radiology Safety Alert</w:t>
            </w:r>
          </w:p>
          <w:p>
            <w:pPr>
              <w:spacing w:after="0" w:line="276"/>
            </w:pPr>
            <w:r>
              <w:rPr>
                <w:rFonts w:ascii="Arial" w:cs="Arial" w:eastAsia="Arial" w:hAnsi="Arial"/>
                <w:i/>
                <w:iCs/>
                <w:color w:val="333333"/>
                <w:sz w:val="20"/>
                <w:szCs w:val="20"/>
              </w:rPr>
              <w:t xml:space="preserve">Wrong-patient and wrong-laterality errors in radiology can lead to serious patient harm. IT systems must enforce two-patient-identifier verification at order entry, scheduling, and image acquisition. Laterality markers (right/left) must be captured as discrete data elements and verified at multiple workflow checkpoints. Radiology AI systems detecting discrepancies between ordered laterality and imaged laterality are an emerging safety innovation.</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11. Nursing Documentation: Comprehensive Reference</w:t>
      </w:r>
    </w:p>
    <w:p>
      <w:pPr>
        <w:spacing w:after="160" w:line="276"/>
      </w:pPr>
      <w:r>
        <w:rPr>
          <w:rFonts w:ascii="Arial" w:cs="Arial" w:eastAsia="Arial" w:hAnsi="Arial"/>
          <w:color w:val="333333"/>
          <w:sz w:val="21"/>
          <w:szCs w:val="21"/>
        </w:rPr>
        <w:t xml:space="preserve">Nursing documentation is the most voluminous and clinically detailed documentation in healthcare. It serves multiple purposes: clinical communication, legal defense, quality measurement, regulatory compliance, and reimbursement support. Poorly designed documentation systems contribute directly to clinician burnout.</w:t>
      </w:r>
    </w:p>
    <w:p>
      <w:pPr>
        <w:pStyle w:val="Heading2"/>
        <w:spacing w:before="280" w:after="160"/>
      </w:pPr>
      <w:r>
        <w:rPr>
          <w:rFonts w:ascii="Arial" w:cs="Arial" w:eastAsia="Arial" w:hAnsi="Arial"/>
          <w:b/>
          <w:bCs/>
          <w:color w:val="2E75B6"/>
          <w:sz w:val="26"/>
          <w:szCs w:val="26"/>
        </w:rPr>
        <w:t xml:space="preserve">11.1 Standardized Nursing Terminologies</w:t>
      </w:r>
    </w:p>
    <w:p>
      <w:pPr>
        <w:spacing w:after="160" w:line="276"/>
      </w:pPr>
      <w:r>
        <w:rPr>
          <w:rFonts w:ascii="Arial" w:cs="Arial" w:eastAsia="Arial" w:hAnsi="Arial"/>
          <w:color w:val="333333"/>
          <w:sz w:val="21"/>
          <w:szCs w:val="21"/>
        </w:rPr>
        <w:t xml:space="preserve">Standardized nursing terminologies enable consistent documentation, outcome measurement, and research. IT professionals configuring nursing documentation must understand these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Terminology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 in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NANDA-I (Nursing Diagnoses)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Standardized nursing problem identification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Nursing problem list, care plan generation, risk-based interventions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NIC (Nursing Interventions Classification)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Standardized nursing interventions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Care plan intervention selection, workload measurement, outcomes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NOC (Nursing Outcomes 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Standardized patient outcomes for nursing care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Outcome measurement, quality indicators, effectiveness research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LOINC (Nursing Section)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Standardized codes for nursing assessments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Flowsheet data coding, interoperability, quality measure 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ICNP (International Classification for Nursing Practice)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International nursing terminology (WHO-endorsed)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nursing documentation standards, cross-country comparison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11.2 SBAR Handoff Communication</w:t>
      </w:r>
    </w:p>
    <w:p>
      <w:pPr>
        <w:spacing w:after="160" w:line="276"/>
      </w:pPr>
      <w:r>
        <w:rPr>
          <w:rFonts w:ascii="Arial" w:cs="Arial" w:eastAsia="Arial" w:hAnsi="Arial"/>
          <w:color w:val="333333"/>
          <w:sz w:val="21"/>
          <w:szCs w:val="21"/>
        </w:rPr>
        <w:t xml:space="preserve">SBAR (Situation, Background, Assessment, Recommendation) is the gold standard for clinical handoff communication. EHR-generated SBAR reports pull discrete data to create standardized handoff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SBAR Element</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EHR Data Sources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Situation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name, room, diagnosis, current condition, recent changes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ADT data, problem list, recent vital sign trends, new orders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Background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Admission reason, pertinent medical history, recent procedures, current medications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Admission diagnosis, history, surgical log, active medication 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clinical status, vital sign trends, recent lab results, pain 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Flowsheet data, lab results, assessment documentation, pain scores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Recommendation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Pending orders, follow-up needed, anticipated changes, safety concerns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Pending orders, care plan, scheduled procedures, fall/pressure injury risk</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11.3 Critical Nursing Safety Documentation</w:t>
      </w:r>
    </w:p>
    <w:p>
      <w:pPr>
        <w:pStyle w:val="Heading3"/>
        <w:spacing w:before="200" w:after="120"/>
      </w:pPr>
      <w:r>
        <w:rPr>
          <w:rFonts w:ascii="Arial" w:cs="Arial" w:eastAsia="Arial" w:hAnsi="Arial"/>
          <w:b/>
          <w:bCs/>
          <w:color w:val="1B3A5C"/>
          <w:sz w:val="22"/>
          <w:szCs w:val="22"/>
        </w:rPr>
        <w:t xml:space="preserve">11.3.1 Fall Prevention</w:t>
      </w:r>
    </w:p>
    <w:p>
      <w:pPr>
        <w:pStyle w:val="ListParagraph"/>
        <w:numPr>
          <w:ilvl w:val="0"/>
          <w:numId w:val="2"/>
        </w:numPr>
        <w:spacing w:after="80" w:line="276"/>
      </w:pPr>
      <w:r>
        <w:rPr>
          <w:rFonts w:ascii="Arial" w:cs="Arial" w:eastAsia="Arial" w:hAnsi="Arial"/>
          <w:b/>
          <w:bCs/>
          <w:color w:val="333333"/>
          <w:sz w:val="21"/>
          <w:szCs w:val="21"/>
        </w:rPr>
        <w:t xml:space="preserve">Fall Risk Assessment: </w:t>
      </w:r>
      <w:r>
        <w:rPr>
          <w:rFonts w:ascii="Arial" w:cs="Arial" w:eastAsia="Arial" w:hAnsi="Arial"/>
          <w:color w:val="333333"/>
          <w:sz w:val="21"/>
          <w:szCs w:val="21"/>
        </w:rPr>
        <w:t xml:space="preserve">Morse Fall Scale (scored 0-125: low &lt;25, moderate 25-44, high ≥45) assesses history of falling, secondary diagnosis, ambulatory aid use, IV access, gait, and mental status.</w:t>
      </w:r>
    </w:p>
    <w:p>
      <w:pPr>
        <w:pStyle w:val="ListParagraph"/>
        <w:numPr>
          <w:ilvl w:val="0"/>
          <w:numId w:val="2"/>
        </w:numPr>
        <w:spacing w:after="80" w:line="276"/>
      </w:pPr>
      <w:r>
        <w:rPr>
          <w:rFonts w:ascii="Arial" w:cs="Arial" w:eastAsia="Arial" w:hAnsi="Arial"/>
          <w:b/>
          <w:bCs/>
          <w:color w:val="333333"/>
          <w:sz w:val="21"/>
          <w:szCs w:val="21"/>
        </w:rPr>
        <w:t xml:space="preserve">Fall Prevention Interventions: </w:t>
      </w:r>
      <w:r>
        <w:rPr>
          <w:rFonts w:ascii="Arial" w:cs="Arial" w:eastAsia="Arial" w:hAnsi="Arial"/>
          <w:color w:val="333333"/>
          <w:sz w:val="21"/>
          <w:szCs w:val="21"/>
        </w:rPr>
        <w:t xml:space="preserve">Risk-based bundle: bed alarm activation, non-skid footwear, call light within reach, toileting schedule, and environment modification. IT systems auto-activate interventions based on risk score.</w:t>
      </w:r>
    </w:p>
    <w:p>
      <w:pPr>
        <w:pStyle w:val="ListParagraph"/>
        <w:numPr>
          <w:ilvl w:val="0"/>
          <w:numId w:val="2"/>
        </w:numPr>
        <w:spacing w:after="80" w:line="276"/>
      </w:pPr>
      <w:r>
        <w:rPr>
          <w:rFonts w:ascii="Arial" w:cs="Arial" w:eastAsia="Arial" w:hAnsi="Arial"/>
          <w:b/>
          <w:bCs/>
          <w:color w:val="333333"/>
          <w:sz w:val="21"/>
          <w:szCs w:val="21"/>
        </w:rPr>
        <w:t xml:space="preserve">Post-Fall Documentation: </w:t>
      </w:r>
      <w:r>
        <w:rPr>
          <w:rFonts w:ascii="Arial" w:cs="Arial" w:eastAsia="Arial" w:hAnsi="Arial"/>
          <w:color w:val="333333"/>
          <w:sz w:val="21"/>
          <w:szCs w:val="21"/>
        </w:rPr>
        <w:t xml:space="preserve">Immediate assessment, injury evaluation, provider notification, event report, and post-fall huddle documentation. Falls are a CMS quality measure and Never Event when resulting in serious injury.</w:t>
      </w:r>
    </w:p>
    <w:p>
      <w:pPr>
        <w:pStyle w:val="Heading3"/>
        <w:spacing w:before="200" w:after="120"/>
      </w:pPr>
      <w:r>
        <w:rPr>
          <w:rFonts w:ascii="Arial" w:cs="Arial" w:eastAsia="Arial" w:hAnsi="Arial"/>
          <w:b/>
          <w:bCs/>
          <w:color w:val="1B3A5C"/>
          <w:sz w:val="22"/>
          <w:szCs w:val="22"/>
        </w:rPr>
        <w:t xml:space="preserve">11.3.2 Pressure Injury Prevention</w:t>
      </w:r>
    </w:p>
    <w:p>
      <w:pPr>
        <w:pStyle w:val="ListParagraph"/>
        <w:numPr>
          <w:ilvl w:val="0"/>
          <w:numId w:val="2"/>
        </w:numPr>
        <w:spacing w:after="80" w:line="276"/>
      </w:pPr>
      <w:r>
        <w:rPr>
          <w:rFonts w:ascii="Arial" w:cs="Arial" w:eastAsia="Arial" w:hAnsi="Arial"/>
          <w:b/>
          <w:bCs/>
          <w:color w:val="333333"/>
          <w:sz w:val="21"/>
          <w:szCs w:val="21"/>
        </w:rPr>
        <w:t xml:space="preserve">Braden Scale: </w:t>
      </w:r>
      <w:r>
        <w:rPr>
          <w:rFonts w:ascii="Arial" w:cs="Arial" w:eastAsia="Arial" w:hAnsi="Arial"/>
          <w:color w:val="333333"/>
          <w:sz w:val="21"/>
          <w:szCs w:val="21"/>
        </w:rPr>
        <w:t xml:space="preserve">Risk assessment scoring sensory perception, moisture, activity, mobility, nutrition, and friction/shear. Score ≤18 = at risk; ≤12 = high risk. IT systems auto-calculate and trigger prevention protocols.</w:t>
      </w:r>
    </w:p>
    <w:p>
      <w:pPr>
        <w:pStyle w:val="ListParagraph"/>
        <w:numPr>
          <w:ilvl w:val="0"/>
          <w:numId w:val="2"/>
        </w:numPr>
        <w:spacing w:after="80" w:line="276"/>
      </w:pPr>
      <w:r>
        <w:rPr>
          <w:rFonts w:ascii="Arial" w:cs="Arial" w:eastAsia="Arial" w:hAnsi="Arial"/>
          <w:b/>
          <w:bCs/>
          <w:color w:val="333333"/>
          <w:sz w:val="21"/>
          <w:szCs w:val="21"/>
        </w:rPr>
        <w:t xml:space="preserve">Skin Assessment Documentation: </w:t>
      </w:r>
      <w:r>
        <w:rPr>
          <w:rFonts w:ascii="Arial" w:cs="Arial" w:eastAsia="Arial" w:hAnsi="Arial"/>
          <w:color w:val="333333"/>
          <w:sz w:val="21"/>
          <w:szCs w:val="21"/>
        </w:rPr>
        <w:t xml:space="preserve">Head-to-toe skin assessment on admission and regularly thereafter. Wound staging (Stages 1-4, Unstageable, Deep Tissue Injury). Photo documentation with measurement tools.</w:t>
      </w:r>
    </w:p>
    <w:p>
      <w:pPr>
        <w:pStyle w:val="Heading3"/>
        <w:spacing w:before="200" w:after="120"/>
      </w:pPr>
      <w:r>
        <w:rPr>
          <w:rFonts w:ascii="Arial" w:cs="Arial" w:eastAsia="Arial" w:hAnsi="Arial"/>
          <w:b/>
          <w:bCs/>
          <w:color w:val="1B3A5C"/>
          <w:sz w:val="22"/>
          <w:szCs w:val="22"/>
        </w:rPr>
        <w:t xml:space="preserve">11.3.3 Pain Assessment</w:t>
      </w:r>
    </w:p>
    <w:p>
      <w:pPr>
        <w:pStyle w:val="ListParagraph"/>
        <w:numPr>
          <w:ilvl w:val="0"/>
          <w:numId w:val="2"/>
        </w:numPr>
        <w:spacing w:after="80" w:line="276"/>
      </w:pPr>
      <w:r>
        <w:rPr>
          <w:rFonts w:ascii="Arial" w:cs="Arial" w:eastAsia="Arial" w:hAnsi="Arial"/>
          <w:b/>
          <w:bCs/>
          <w:color w:val="333333"/>
          <w:sz w:val="21"/>
          <w:szCs w:val="21"/>
        </w:rPr>
        <w:t xml:space="preserve">Pain Scales: </w:t>
      </w:r>
      <w:r>
        <w:rPr>
          <w:rFonts w:ascii="Arial" w:cs="Arial" w:eastAsia="Arial" w:hAnsi="Arial"/>
          <w:color w:val="333333"/>
          <w:sz w:val="21"/>
          <w:szCs w:val="21"/>
        </w:rPr>
        <w:t xml:space="preserve">Numeric Rating Scale (NRS 0-10) for verbal adults; Wong-Baker FACES for pediatric/limited communication; FLACC (Face, Legs, Activity, Cry, Consolability) for nonverbal patients; CPOT (Critical-Care Pain Observation Tool) for ICU patients.</w:t>
      </w:r>
    </w:p>
    <w:p>
      <w:pPr>
        <w:pStyle w:val="ListParagraph"/>
        <w:numPr>
          <w:ilvl w:val="0"/>
          <w:numId w:val="2"/>
        </w:numPr>
        <w:spacing w:after="80" w:line="276"/>
      </w:pPr>
      <w:r>
        <w:rPr>
          <w:rFonts w:ascii="Arial" w:cs="Arial" w:eastAsia="Arial" w:hAnsi="Arial"/>
          <w:b/>
          <w:bCs/>
          <w:color w:val="333333"/>
          <w:sz w:val="21"/>
          <w:szCs w:val="21"/>
        </w:rPr>
        <w:t xml:space="preserve">Pain Reassessment: </w:t>
      </w:r>
      <w:r>
        <w:rPr>
          <w:rFonts w:ascii="Arial" w:cs="Arial" w:eastAsia="Arial" w:hAnsi="Arial"/>
          <w:color w:val="333333"/>
          <w:sz w:val="21"/>
          <w:szCs w:val="21"/>
        </w:rPr>
        <w:t xml:space="preserve">Mandatory reassessment within specified time after intervention (typically 30-60 minutes). IT systems enforce reassessment timing with alerts.</w:t>
      </w:r>
    </w:p>
    <w:p>
      <w:r>
        <w:br w:type="page"/>
      </w:r>
    </w:p>
    <w:p>
      <w:pPr>
        <w:pStyle w:val="Heading1"/>
        <w:spacing w:before="360" w:after="200"/>
      </w:pPr>
      <w:r>
        <w:rPr>
          <w:rFonts w:ascii="Arial" w:cs="Arial" w:eastAsia="Arial" w:hAnsi="Arial"/>
          <w:b/>
          <w:bCs/>
          <w:color w:val="1B3A5C"/>
          <w:sz w:val="32"/>
          <w:szCs w:val="32"/>
        </w:rPr>
        <w:t xml:space="preserve">12. Summary &amp; Key Takeaways</w:t>
      </w:r>
    </w:p>
    <w:p>
      <w:pPr>
        <w:spacing w:after="160" w:line="276"/>
      </w:pPr>
      <w:r>
        <w:rPr>
          <w:rFonts w:ascii="Arial" w:cs="Arial" w:eastAsia="Arial" w:hAnsi="Arial"/>
          <w:color w:val="333333"/>
          <w:sz w:val="21"/>
          <w:szCs w:val="21"/>
        </w:rPr>
        <w:t xml:space="preserve">Clinical workflows are the foundation upon which all healthcare IT is built. Every system configuration, interface specification, CDS rule, and analytics dashboard exists to support a clinical workflow. The following key takeaways summarize the essential knowledge from this section:</w:t>
      </w:r>
    </w:p>
    <w:p>
      <w:pPr>
        <w:pStyle w:val="ListParagraph"/>
        <w:numPr>
          <w:ilvl w:val="0"/>
          <w:numId w:val="3"/>
        </w:numPr>
        <w:spacing w:after="80" w:line="276"/>
      </w:pPr>
      <w:r>
        <w:rPr>
          <w:rFonts w:ascii="Arial" w:cs="Arial" w:eastAsia="Arial" w:hAnsi="Arial"/>
          <w:b/>
          <w:bCs/>
          <w:color w:val="333333"/>
          <w:sz w:val="21"/>
          <w:szCs w:val="21"/>
        </w:rPr>
        <w:t xml:space="preserve">Medical terminology is your professional language: </w:t>
      </w:r>
      <w:r>
        <w:rPr>
          <w:rFonts w:ascii="Arial" w:cs="Arial" w:eastAsia="Arial" w:hAnsi="Arial"/>
          <w:color w:val="333333"/>
          <w:sz w:val="21"/>
          <w:szCs w:val="21"/>
        </w:rPr>
        <w:t xml:space="preserve">You cannot effectively communicate with clinicians, configure EHR systems, or interpret clinical data without a working knowledge of anatomy, conditions, medications, and procedures.</w:t>
      </w:r>
    </w:p>
    <w:p>
      <w:pPr>
        <w:pStyle w:val="ListParagraph"/>
        <w:numPr>
          <w:ilvl w:val="0"/>
          <w:numId w:val="3"/>
        </w:numPr>
        <w:spacing w:after="80" w:line="276"/>
      </w:pPr>
      <w:r>
        <w:rPr>
          <w:rFonts w:ascii="Arial" w:cs="Arial" w:eastAsia="Arial" w:hAnsi="Arial"/>
          <w:b/>
          <w:bCs/>
          <w:color w:val="333333"/>
          <w:sz w:val="21"/>
          <w:szCs w:val="21"/>
        </w:rPr>
        <w:t xml:space="preserve">The patient journey drives IT architecture: </w:t>
      </w:r>
      <w:r>
        <w:rPr>
          <w:rFonts w:ascii="Arial" w:cs="Arial" w:eastAsia="Arial" w:hAnsi="Arial"/>
          <w:color w:val="333333"/>
          <w:sz w:val="21"/>
          <w:szCs w:val="21"/>
        </w:rPr>
        <w:t xml:space="preserve">From scheduling through follow-up, every step is supported by interconnected IT systems. Understanding the end-to-end flow is essential for integration design and workflow optimization.</w:t>
      </w:r>
    </w:p>
    <w:p>
      <w:pPr>
        <w:pStyle w:val="ListParagraph"/>
        <w:numPr>
          <w:ilvl w:val="0"/>
          <w:numId w:val="3"/>
        </w:numPr>
        <w:spacing w:after="80" w:line="276"/>
      </w:pPr>
      <w:r>
        <w:rPr>
          <w:rFonts w:ascii="Arial" w:cs="Arial" w:eastAsia="Arial" w:hAnsi="Arial"/>
          <w:b/>
          <w:bCs/>
          <w:color w:val="333333"/>
          <w:sz w:val="21"/>
          <w:szCs w:val="21"/>
        </w:rPr>
        <w:t xml:space="preserve">ADT is the heartbeat of the hospital: </w:t>
      </w:r>
      <w:r>
        <w:rPr>
          <w:rFonts w:ascii="Arial" w:cs="Arial" w:eastAsia="Arial" w:hAnsi="Arial"/>
          <w:color w:val="333333"/>
          <w:sz w:val="21"/>
          <w:szCs w:val="21"/>
        </w:rPr>
        <w:t xml:space="preserve">Admission, Discharge, and Transfer events trigger cascading actions across every hospital system. ADT interface reliability is non-negotiable.</w:t>
      </w:r>
    </w:p>
    <w:p>
      <w:pPr>
        <w:pStyle w:val="ListParagraph"/>
        <w:numPr>
          <w:ilvl w:val="0"/>
          <w:numId w:val="3"/>
        </w:numPr>
        <w:spacing w:after="80" w:line="276"/>
      </w:pPr>
      <w:r>
        <w:rPr>
          <w:rFonts w:ascii="Arial" w:cs="Arial" w:eastAsia="Arial" w:hAnsi="Arial"/>
          <w:b/>
          <w:bCs/>
          <w:color w:val="333333"/>
          <w:sz w:val="21"/>
          <w:szCs w:val="21"/>
        </w:rPr>
        <w:t xml:space="preserve">Medication workflows are safety-critical: </w:t>
      </w:r>
      <w:r>
        <w:rPr>
          <w:rFonts w:ascii="Arial" w:cs="Arial" w:eastAsia="Arial" w:hAnsi="Arial"/>
          <w:color w:val="333333"/>
          <w:sz w:val="21"/>
          <w:szCs w:val="21"/>
        </w:rPr>
        <w:t xml:space="preserve">CPOE, pharmacy verification, BCMA, and medication reconciliation form a multi-layered safety net. Every component depends on accurate IT system configuration.</w:t>
      </w:r>
    </w:p>
    <w:p>
      <w:pPr>
        <w:pStyle w:val="ListParagraph"/>
        <w:numPr>
          <w:ilvl w:val="0"/>
          <w:numId w:val="3"/>
        </w:numPr>
        <w:spacing w:after="80" w:line="276"/>
      </w:pPr>
      <w:r>
        <w:rPr>
          <w:rFonts w:ascii="Arial" w:cs="Arial" w:eastAsia="Arial" w:hAnsi="Arial"/>
          <w:b/>
          <w:bCs/>
          <w:color w:val="333333"/>
          <w:sz w:val="21"/>
          <w:szCs w:val="21"/>
        </w:rPr>
        <w:t xml:space="preserve">The ED demands real-time IT performance: </w:t>
      </w:r>
      <w:r>
        <w:rPr>
          <w:rFonts w:ascii="Arial" w:cs="Arial" w:eastAsia="Arial" w:hAnsi="Arial"/>
          <w:color w:val="333333"/>
          <w:sz w:val="21"/>
          <w:szCs w:val="21"/>
        </w:rPr>
        <w:t xml:space="preserve">ESI triage, tracking boards, time-sensitive protocols (stroke, STEMI, sepsis), and rapid disposition decisions all require systems that perform under extreme time pressure.</w:t>
      </w:r>
    </w:p>
    <w:p>
      <w:pPr>
        <w:pStyle w:val="ListParagraph"/>
        <w:numPr>
          <w:ilvl w:val="0"/>
          <w:numId w:val="3"/>
        </w:numPr>
        <w:spacing w:after="80" w:line="276"/>
      </w:pPr>
      <w:r>
        <w:rPr>
          <w:rFonts w:ascii="Arial" w:cs="Arial" w:eastAsia="Arial" w:hAnsi="Arial"/>
          <w:b/>
          <w:bCs/>
          <w:color w:val="333333"/>
          <w:sz w:val="21"/>
          <w:szCs w:val="21"/>
        </w:rPr>
        <w:t xml:space="preserve">Surgical workflows span departments and phases: </w:t>
      </w:r>
      <w:r>
        <w:rPr>
          <w:rFonts w:ascii="Arial" w:cs="Arial" w:eastAsia="Arial" w:hAnsi="Arial"/>
          <w:color w:val="333333"/>
          <w:sz w:val="21"/>
          <w:szCs w:val="21"/>
        </w:rPr>
        <w:t xml:space="preserve">Pre-operative through post-operative care involves scheduling, safety checklists, anesthesia documentation, implant tracking, and recovery protocols — all requiring seamless IT coordination.</w:t>
      </w:r>
    </w:p>
    <w:p>
      <w:pPr>
        <w:pStyle w:val="ListParagraph"/>
        <w:numPr>
          <w:ilvl w:val="0"/>
          <w:numId w:val="3"/>
        </w:numPr>
        <w:spacing w:after="80" w:line="276"/>
      </w:pPr>
      <w:r>
        <w:rPr>
          <w:rFonts w:ascii="Arial" w:cs="Arial" w:eastAsia="Arial" w:hAnsi="Arial"/>
          <w:b/>
          <w:bCs/>
          <w:color w:val="333333"/>
          <w:sz w:val="21"/>
          <w:szCs w:val="21"/>
        </w:rPr>
        <w:t xml:space="preserve">Laboratory integration influences 70% of clinical decisions: </w:t>
      </w:r>
      <w:r>
        <w:rPr>
          <w:rFonts w:ascii="Arial" w:cs="Arial" w:eastAsia="Arial" w:hAnsi="Arial"/>
          <w:color w:val="333333"/>
          <w:sz w:val="21"/>
          <w:szCs w:val="21"/>
        </w:rPr>
        <w:t xml:space="preserve">Order entry, specimen tracking, instrument interfaces, result reporting, and critical value alerting form a mission-critical IT pipeline.</w:t>
      </w:r>
    </w:p>
    <w:p>
      <w:pPr>
        <w:pStyle w:val="ListParagraph"/>
        <w:numPr>
          <w:ilvl w:val="0"/>
          <w:numId w:val="3"/>
        </w:numPr>
        <w:spacing w:after="80" w:line="276"/>
      </w:pPr>
      <w:r>
        <w:rPr>
          <w:rFonts w:ascii="Arial" w:cs="Arial" w:eastAsia="Arial" w:hAnsi="Arial"/>
          <w:b/>
          <w:bCs/>
          <w:color w:val="333333"/>
          <w:sz w:val="21"/>
          <w:szCs w:val="21"/>
        </w:rPr>
        <w:t xml:space="preserve">Radiology is the most imaging-data-intensive domain: </w:t>
      </w:r>
      <w:r>
        <w:rPr>
          <w:rFonts w:ascii="Arial" w:cs="Arial" w:eastAsia="Arial" w:hAnsi="Arial"/>
          <w:color w:val="333333"/>
          <w:sz w:val="21"/>
          <w:szCs w:val="21"/>
        </w:rPr>
        <w:t xml:space="preserve">DICOM, PACS, RIS, voice recognition, and emerging AI capabilities make radiology one of the most technology-dependent specialties.</w:t>
      </w:r>
    </w:p>
    <w:p>
      <w:pPr>
        <w:pStyle w:val="ListParagraph"/>
        <w:numPr>
          <w:ilvl w:val="0"/>
          <w:numId w:val="3"/>
        </w:numPr>
        <w:spacing w:after="80" w:line="276"/>
      </w:pPr>
      <w:r>
        <w:rPr>
          <w:rFonts w:ascii="Arial" w:cs="Arial" w:eastAsia="Arial" w:hAnsi="Arial"/>
          <w:b/>
          <w:bCs/>
          <w:color w:val="333333"/>
          <w:sz w:val="21"/>
          <w:szCs w:val="21"/>
        </w:rPr>
        <w:t xml:space="preserve">Nursing documentation is the most voluminous: </w:t>
      </w:r>
      <w:r>
        <w:rPr>
          <w:rFonts w:ascii="Arial" w:cs="Arial" w:eastAsia="Arial" w:hAnsi="Arial"/>
          <w:color w:val="333333"/>
          <w:sz w:val="21"/>
          <w:szCs w:val="21"/>
        </w:rPr>
        <w:t xml:space="preserve">Assessment, flowsheets, MAR, care plans, handoffs, and safety documentation demand EHR designs that minimize cognitive burden while ensuring completeness.</w:t>
      </w:r>
    </w:p>
    <w:p>
      <w:pPr>
        <w:pStyle w:val="ListParagraph"/>
        <w:numPr>
          <w:ilvl w:val="0"/>
          <w:numId w:val="3"/>
        </w:numPr>
        <w:spacing w:after="80" w:line="276"/>
      </w:pPr>
      <w:r>
        <w:rPr>
          <w:rFonts w:ascii="Arial" w:cs="Arial" w:eastAsia="Arial" w:hAnsi="Arial"/>
          <w:b/>
          <w:bCs/>
          <w:color w:val="333333"/>
          <w:sz w:val="21"/>
          <w:szCs w:val="21"/>
        </w:rPr>
        <w:t xml:space="preserve">Safety is the ultimate measure: </w:t>
      </w:r>
      <w:r>
        <w:rPr>
          <w:rFonts w:ascii="Arial" w:cs="Arial" w:eastAsia="Arial" w:hAnsi="Arial"/>
          <w:color w:val="333333"/>
          <w:sz w:val="21"/>
          <w:szCs w:val="21"/>
        </w:rPr>
        <w:t xml:space="preserve">Every workflow described in this document has patient safety implications. IT professionals must design systems that prevent errors, catch near-misses, and support evidence-based care.</w:t>
      </w:r>
    </w:p>
    <w:p>
      <w:pPr>
        <w:pBdr>
          <w:bottom w:val="single" w:color="2E75B6" w:sz="6" w:space="1"/>
        </w:pBdr>
        <w:spacing w:before="200" w:after="200"/>
      </w:pPr>
    </w:p>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Final Thought</w:t>
            </w:r>
          </w:p>
          <w:p>
            <w:pPr>
              <w:spacing w:after="0" w:line="276"/>
            </w:pPr>
            <w:r>
              <w:rPr>
                <w:rFonts w:ascii="Arial" w:cs="Arial" w:eastAsia="Arial" w:hAnsi="Arial"/>
                <w:i/>
                <w:iCs/>
                <w:color w:val="333333"/>
                <w:sz w:val="20"/>
                <w:szCs w:val="20"/>
              </w:rPr>
              <w:t xml:space="preserve">The best healthcare IT professionals are those who can see technology through the eyes of the clinician standing at the bedside. When you understand the workflow, you build better systems. When you understand the urgency, you design better interfaces. When you understand the stakes, you build technology that saves lives.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666666"/>
        <w:sz w:val="18"/>
        <w:szCs w:val="18"/>
      </w:rPr>
      <w:t xml:space="preserve">Clinical Workflows &amp; Medical Terminology</w:t>
    </w:r>
    <w:r>
      <w:rPr>
        <w:rFonts w:ascii="Arial" w:cs="Arial" w:eastAsia="Arial" w:hAnsi="Arial"/>
        <w:i/>
        <w:iCs/>
        <w:color w:val="666666"/>
        <w:sz w:val="18"/>
        <w:szCs w:val="18"/>
      </w:rPr>
      <w:t xml:space="preserve">	Section 1.2 — Healthcare Domain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2026-02-27T00:26:50.899Z</dcterms:created>
  <dcterms:modified xsi:type="dcterms:W3CDTF">2026-02-27T00:26:50.900Z</dcterms:modified>
</cp:coreProperties>
</file>

<file path=docProps/custom.xml><?xml version="1.0" encoding="utf-8"?>
<Properties xmlns="http://schemas.openxmlformats.org/officeDocument/2006/custom-properties" xmlns:vt="http://schemas.openxmlformats.org/officeDocument/2006/docPropsVTypes"/>
</file>