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2"/>
          <w:szCs w:val="52"/>
        </w:rPr>
        <w:t xml:space="preserve">HEALTHCARE CODING</w:t>
      </w:r>
    </w:p>
    <w:p>
      <w:pPr>
        <w:spacing w:after="100"/>
        <w:jc w:val="center"/>
      </w:pPr>
      <w:r>
        <w:rPr>
          <w:rFonts w:ascii="Arial" w:cs="Arial" w:eastAsia="Arial" w:hAnsi="Arial"/>
          <w:b/>
          <w:bCs/>
          <w:color w:val="1B3A5C"/>
          <w:sz w:val="52"/>
          <w:szCs w:val="52"/>
        </w:rPr>
        <w:t xml:space="preserve">&amp; CLASSIFICATION SYSTEMS</w:t>
      </w:r>
    </w:p>
    <w:p>
      <w:pPr>
        <w:pBdr>
          <w:bottom w:val="single" w:color="2E75B6" w:sz="8" w:space="1"/>
        </w:pBdr>
        <w:spacing w:after="400"/>
        <w:jc w:val="center"/>
      </w:pPr>
    </w:p>
    <w:p>
      <w:pPr>
        <w:spacing w:after="120"/>
        <w:jc w:val="center"/>
      </w:pPr>
      <w:r>
        <w:rPr>
          <w:rFonts w:ascii="Arial" w:cs="Arial" w:eastAsia="Arial" w:hAnsi="Arial"/>
          <w:i/>
          <w:iCs/>
          <w:color w:val="2E75B6"/>
          <w:sz w:val="28"/>
          <w:szCs w:val="28"/>
        </w:rPr>
        <w:t xml:space="preserve">A Comprehensive Technical Reference for Healthcare IT Professionals</w:t>
      </w:r>
    </w:p>
    <w:p>
      <w:pPr>
        <w:spacing w:after="120"/>
        <w:jc w:val="center"/>
      </w:pPr>
      <w:r>
        <w:rPr>
          <w:rFonts w:ascii="Arial" w:cs="Arial" w:eastAsia="Arial" w:hAnsi="Arial"/>
          <w:color w:val="666666"/>
          <w:sz w:val="22"/>
          <w:szCs w:val="22"/>
        </w:rPr>
        <w:t xml:space="preserve">Section 1.3 — Healthcare Domain Mastery Learning Path</w:t>
      </w:r>
    </w:p>
    <w:p>
      <w:pPr>
        <w:spacing w:after="2000"/>
        <w:jc w:val="center"/>
      </w:pPr>
      <w:r>
        <w:rPr>
          <w:rFonts w:ascii="Arial" w:cs="Arial" w:eastAsia="Arial" w:hAnsi="Arial"/>
          <w:color w:val="666666"/>
          <w:sz w:val="20"/>
          <w:szCs w:val="20"/>
        </w:rPr>
        <w:t xml:space="preserve">Covering ICD-10-CM/PCS, CPT, HCPCS, SNOMED CT, LOINC, RxNorm, NDC, DRG, APC, Terminology Mapping, Crosswalks &amp; Terminology Services Architecture</w:t>
      </w:r>
    </w:p>
    <w:p>
      <w:pPr>
        <w:spacing w:after="200"/>
        <w:jc w:val="center"/>
      </w:pPr>
      <w:r>
        <w:rPr>
          <w:rFonts w:ascii="Arial" w:cs="Arial" w:eastAsia="Arial" w:hAnsi="Arial"/>
          <w:color w:val="666666"/>
          <w:sz w:val="22"/>
          <w:szCs w:val="22"/>
        </w:rPr>
        <w:t xml:space="preserve">February 2026</w:t>
      </w:r>
    </w:p>
    <w:p>
      <w:r>
        <w:br w:type="page"/>
      </w:r>
    </w:p>
    <w:p>
      <w:pPr>
        <w:pStyle w:val="Heading1"/>
        <w:spacing w:before="360" w:after="20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3A5C"/>
          <w:sz w:val="32"/>
          <w:szCs w:val="32"/>
        </w:rPr>
        <w:t xml:space="preserve">1. Introduction &amp; Purpose</w:t>
      </w:r>
    </w:p>
    <w:p>
      <w:pPr>
        <w:spacing w:after="160" w:line="276"/>
      </w:pPr>
      <w:r>
        <w:rPr>
          <w:rFonts w:ascii="Arial" w:cs="Arial" w:eastAsia="Arial" w:hAnsi="Arial"/>
          <w:color w:val="333333"/>
          <w:sz w:val="21"/>
          <w:szCs w:val="21"/>
        </w:rPr>
        <w:t xml:space="preserve">Healthcare coding and classification systems are the standardized languages that transform clinical encounters into computable data. They are the bridge between clinical care and every downstream function — billing, reimbursement, quality measurement, public health surveillance, clinical research, population health analytics, and regulatory reporting.</w:t>
      </w:r>
    </w:p>
    <w:p>
      <w:pPr>
        <w:spacing w:after="160" w:line="276"/>
      </w:pPr>
      <w:r>
        <w:rPr>
          <w:rFonts w:ascii="Arial" w:cs="Arial" w:eastAsia="Arial" w:hAnsi="Arial"/>
          <w:color w:val="333333"/>
          <w:sz w:val="21"/>
          <w:szCs w:val="21"/>
        </w:rPr>
        <w:t xml:space="preserve">For IT professionals, coding systems are not abstract academic concepts — they are the data elements that flow through every interface, populate every database field, drive every CDS alert, and determine every claim’s payment. Understanding these systems deeply is essential for designing EHR configurations, building integration interfaces, creating analytics solutions, and supporting revenue cycle operations.</w:t>
      </w:r>
    </w:p>
    <w:p>
      <w:pPr>
        <w:spacing w:after="160" w:line="276"/>
      </w:pPr>
      <w:r>
        <w:rPr>
          <w:rFonts w:ascii="Arial" w:cs="Arial" w:eastAsia="Arial" w:hAnsi="Arial"/>
          <w:color w:val="333333"/>
          <w:sz w:val="21"/>
          <w:szCs w:val="21"/>
        </w:rPr>
        <w:t xml:space="preserve">This document provides an exhaustive technical reference covering every major healthcare coding and classification system, with a focus on the IT architecture, integration, and implementation implications that health IT professionals encounter daily.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DF3FA" w:val="clear"/>
            <w:tcMar>
              <w:top w:type="dxa" w:w="120"/>
              <w:left w:type="dxa" w:w="200"/>
              <w:bottom w:type="dxa" w:w="120"/>
              <w:right w:type="dxa" w:w="200"/>
            </w:tcMar>
          </w:tcPr>
          <w:p>
            <w:pPr>
              <w:spacing w:after="80"/>
            </w:pPr>
            <w:r>
              <w:rPr>
                <w:rFonts w:ascii="Arial" w:cs="Arial" w:eastAsia="Arial" w:hAnsi="Arial"/>
                <w:b/>
                <w:bCs/>
                <w:color w:val="2E75B6"/>
                <w:sz w:val="21"/>
                <w:szCs w:val="21"/>
              </w:rPr>
              <w:t xml:space="preserve">Why This Matters for IT Professionals</w:t>
            </w:r>
          </w:p>
          <w:p>
            <w:pPr>
              <w:spacing w:after="0" w:line="276"/>
            </w:pPr>
            <w:r>
              <w:rPr>
                <w:rFonts w:ascii="Arial" w:cs="Arial" w:eastAsia="Arial" w:hAnsi="Arial"/>
                <w:i/>
                <w:iCs/>
                <w:color w:val="333333"/>
                <w:sz w:val="20"/>
                <w:szCs w:val="20"/>
              </w:rPr>
              <w:t xml:space="preserve">Every HL7 message contains coded data. Every FHIR resource references terminologies. Every quality measure depends on accurate coding. Every claim is accepted or rejected based on coding validity. When you understand healthcare coding systems, you understand the language that every healthcare IT system speaks.</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1.1 The Coding Landscape: How Systems Relate</w:t>
      </w:r>
    </w:p>
    <w:p>
      <w:pPr>
        <w:spacing w:after="160" w:line="276"/>
      </w:pPr>
      <w:r>
        <w:rPr>
          <w:rFonts w:ascii="Arial" w:cs="Arial" w:eastAsia="Arial" w:hAnsi="Arial"/>
          <w:color w:val="333333"/>
          <w:sz w:val="21"/>
          <w:szCs w:val="21"/>
        </w:rPr>
        <w:t xml:space="preserve">Healthcare uses multiple overlapping coding systems, each serving different purposes. Understanding how they relate to each other is the first step toward mastery.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5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Primary Purpose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Maintained By</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Used 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ICD-10-CM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Diagnosis coding (morbidity)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CDC / NCHS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Claims, problem lists, quality measures, public health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ICD-10-PCS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Inpatient procedure coding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CMS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Inpatient facility claims (UB-04 / 837I)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CPT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Professional procedure/service coding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AMA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Professional claims (CMS-1500 / 837P), outpatient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HCPCS Level II</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Supplies, equipment, drugs, non-physician services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CMS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Medicare/Medicaid claims, DME, ambulance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SNOMED 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Clinical terminology (comprehensive)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SNOMED International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EHR documentation, CDS, interoperability (FHIR)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LOINC</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Lab tests &amp; clinical observations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Regenstrief Institute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Lab results, vital signs, assessments, FHIR resources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RxNorm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Drug nomenclature normalization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NLM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Medication lists, e-prescribing, drug interaction CDS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NDC</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Drug product identification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FDA</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Pharmacy dispensing, 340B, drug supply chain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DRG (MS-DRG)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Inpatient payment classification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CMS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Medicare inpatient reimbursement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APC</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Outpatient payment classification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CMS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Medicare outpatient reimbursement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CVX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Vaccine administered codes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CDC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Immunization registries, IIS, EHR vaccines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CDT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Dental procedure codes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ADA</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Dental claims and EHR</w:t>
            </w:r>
          </w:p>
        </w:tc>
      </w:tr>
    </w:tbl>
    <w:p>
      <w:pPr>
        <w:spacing w:after="160" w:line="276"/>
      </w:pPr>
      <w:r>
        <w:rPr>
          <w:rFonts w:ascii="Arial" w:cs="Arial" w:eastAsia="Arial" w:hAnsi="Arial"/>
          <w:color w:val="333333"/>
          <w:sz w:val="21"/>
          <w:szCs w:val="21"/>
        </w:rPr>
        <w:t xml:space="preserve"/>
      </w:r>
    </w:p>
    <w:p>
      <w:r>
        <w:br w:type="page"/>
      </w:r>
    </w:p>
    <w:p>
      <w:pPr>
        <w:pStyle w:val="Heading1"/>
        <w:spacing w:before="360" w:after="200"/>
      </w:pPr>
      <w:r>
        <w:rPr>
          <w:rFonts w:ascii="Arial" w:cs="Arial" w:eastAsia="Arial" w:hAnsi="Arial"/>
          <w:b/>
          <w:bCs/>
          <w:color w:val="1B3A5C"/>
          <w:sz w:val="32"/>
          <w:szCs w:val="32"/>
        </w:rPr>
        <w:t xml:space="preserve">2. ICD-10-CM: Diagnosis Coding</w:t>
      </w:r>
    </w:p>
    <w:p>
      <w:pPr>
        <w:spacing w:after="160" w:line="276"/>
      </w:pPr>
      <w:r>
        <w:rPr>
          <w:rFonts w:ascii="Arial" w:cs="Arial" w:eastAsia="Arial" w:hAnsi="Arial"/>
          <w:color w:val="333333"/>
          <w:sz w:val="21"/>
          <w:szCs w:val="21"/>
        </w:rPr>
        <w:t xml:space="preserve">ICD-10-CM (International Classification of Diseases, 10th Revision, Clinical Modification) is the diagnosis coding system used in the United States for reporting diagnoses across all healthcare settings. It is the clinical modification of the WHO’s ICD-10, adapted by the CDC’s National Center for Health Statistics (NCHS) for use in the US healthcare system.</w:t>
      </w:r>
    </w:p>
    <w:p>
      <w:pPr>
        <w:pStyle w:val="Heading2"/>
        <w:spacing w:before="280" w:after="160"/>
      </w:pPr>
      <w:r>
        <w:rPr>
          <w:rFonts w:ascii="Arial" w:cs="Arial" w:eastAsia="Arial" w:hAnsi="Arial"/>
          <w:b/>
          <w:bCs/>
          <w:color w:val="2E75B6"/>
          <w:sz w:val="26"/>
          <w:szCs w:val="26"/>
        </w:rPr>
        <w:t xml:space="preserve">2.1 Code Structure &amp; Format</w:t>
      </w:r>
    </w:p>
    <w:p>
      <w:pPr>
        <w:spacing w:after="160" w:line="276"/>
      </w:pPr>
      <w:r>
        <w:rPr>
          <w:rFonts w:ascii="Arial" w:cs="Arial" w:eastAsia="Arial" w:hAnsi="Arial"/>
          <w:color w:val="333333"/>
          <w:sz w:val="21"/>
          <w:szCs w:val="21"/>
        </w:rPr>
        <w:t xml:space="preserve">ICD-10-CM codes have a hierarchical alphanumeric structure with 3 to 7 characters. Understanding this structure is essential for IT professionals building code validation, search, and mapping functionality.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400"/>
        <w:gridCol w:w="356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Position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 (S52.501A)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Category (letter)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Alpha (A–Z, excluding U)</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 — Injury, poisoning</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Category (digit)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Numeric (0–9)</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 — Injuries of elbow and forearm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Category (digit)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Numeric (0–9)</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 Fracture of lower end of radius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Subcategory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Alphanumeric</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 — Unspecified fracture of lower end of radius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Subcategory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Alphanumeric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 — Right side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Subcategory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Alphanumeric</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 — Further specificity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Extension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Alpha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 Initial encounter</w:t>
            </w:r>
          </w:p>
        </w:tc>
      </w:tr>
    </w:tbl>
    <w:p>
      <w:pPr>
        <w:spacing w:after="160" w:line="276"/>
      </w:pPr>
      <w:r>
        <w:rPr>
          <w:rFonts w:ascii="Arial" w:cs="Arial" w:eastAsia="Arial" w:hAnsi="Arial"/>
          <w:color w:val="333333"/>
          <w:sz w:val="21"/>
          <w:szCs w:val="21"/>
        </w:rPr>
        <w:t xml:space="preserve"/>
      </w:r>
    </w:p>
    <w:p>
      <w:pPr>
        <w:pStyle w:val="Heading3"/>
        <w:spacing w:before="200" w:after="120"/>
      </w:pPr>
      <w:r>
        <w:rPr>
          <w:rFonts w:ascii="Arial" w:cs="Arial" w:eastAsia="Arial" w:hAnsi="Arial"/>
          <w:b/>
          <w:bCs/>
          <w:color w:val="1B3A5C"/>
          <w:sz w:val="22"/>
          <w:szCs w:val="22"/>
        </w:rPr>
        <w:t xml:space="preserve">2.1.1 7th Character Extensions</w:t>
      </w:r>
    </w:p>
    <w:p>
      <w:pPr>
        <w:spacing w:after="160" w:line="276"/>
      </w:pPr>
      <w:r>
        <w:rPr>
          <w:rFonts w:ascii="Arial" w:cs="Arial" w:eastAsia="Arial" w:hAnsi="Arial"/>
          <w:color w:val="333333"/>
          <w:sz w:val="21"/>
          <w:szCs w:val="21"/>
        </w:rPr>
        <w:t xml:space="preserve">Many ICD-10-CM codes, particularly in the injury and musculoskeletal chapters, require a 7th character extension that indicates the encounter type or healing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Extension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Clinical Context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Initial encounter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First active treatment of the condition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Subsequent encounter</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Follow-up care during healing phase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Sequela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Late effect / residual condition from a previous injury or illness</w:t>
            </w:r>
          </w:p>
        </w:tc>
      </w:tr>
    </w:tbl>
    <w:p>
      <w:pPr>
        <w:spacing w:after="160" w:line="276"/>
      </w:pPr>
      <w:r>
        <w:rPr>
          <w:rFonts w:ascii="Arial" w:cs="Arial" w:eastAsia="Arial" w:hAnsi="Arial"/>
          <w:color w:val="333333"/>
          <w:sz w:val="21"/>
          <w:szCs w:val="21"/>
        </w:rPr>
        <w:t xml:space="preserve"/>
      </w:r>
    </w:p>
    <w:p>
      <w:pPr>
        <w:spacing w:after="160" w:line="276"/>
      </w:pPr>
      <w:r>
        <w:rPr>
          <w:rFonts w:ascii="Arial" w:cs="Arial" w:eastAsia="Arial" w:hAnsi="Arial"/>
          <w:b/>
          <w:bCs/>
          <w:color w:val="333333"/>
          <w:sz w:val="21"/>
          <w:szCs w:val="21"/>
        </w:rPr>
        <w:t xml:space="preserve">IT Implication: </w:t>
      </w:r>
      <w:r>
        <w:rPr>
          <w:rFonts w:ascii="Arial" w:cs="Arial" w:eastAsia="Arial" w:hAnsi="Arial"/>
          <w:color w:val="333333"/>
          <w:sz w:val="21"/>
          <w:szCs w:val="21"/>
        </w:rPr>
        <w:t xml:space="preserve">When codes require a 7th character but have fewer than 6 characters, placeholder ‘X’ characters fill the gap. Example: T36.0X5A (adverse effect of penicillins, initial encounter). IT systems must validate code length and placeholder rules during order entry and claim scrubbing.</w:t>
      </w:r>
    </w:p>
    <w:p>
      <w:pPr>
        <w:pStyle w:val="Heading3"/>
        <w:spacing w:before="200" w:after="120"/>
      </w:pPr>
      <w:r>
        <w:rPr>
          <w:rFonts w:ascii="Arial" w:cs="Arial" w:eastAsia="Arial" w:hAnsi="Arial"/>
          <w:b/>
          <w:bCs/>
          <w:color w:val="1B3A5C"/>
          <w:sz w:val="22"/>
          <w:szCs w:val="22"/>
        </w:rPr>
        <w:t xml:space="preserve">2.1.2 ICD-10-CM Chapter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200"/>
        <w:gridCol w:w="3860"/>
      </w:tblGrid>
      <w:tr>
        <w:trPr>
          <w:tblHeader/>
        </w:trP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Chapter</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Code Range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 Codes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A00–B99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Infectious and parasitic diseases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A41.9 (Sepsis, unspecified), B20 (HIV)</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C00–D49</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Neoplasms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C34.90 (Lung cancer), C50.911 (Breast cancer)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D50–D89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Blood diseases and immune disorders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D64.9 (Anemia), D69.6 (Thrombocytopenia)</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E00–E89</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Endocrine, nutritional, metabolic</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E11.65 (Type 2 DM with hyperglycemia), E78.5 (Hyperlipidemia)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F01–F99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Mental, behavioral, neurodevelopmental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F32.9 (Major depression), F10.20 (Alcohol dependence)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H00–H59</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Eye and adnexa diseases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H40.10 (Open-angle glaucoma)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I00–I99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Circulatory system diseases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I10 (Essential hypertension), I25.10 (CAD), I50.9 (Heart failure)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J00–J99</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Respiratory system diseases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J18.9 (Pneumonia), J44.1 (COPD with exacerbation)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M00–M99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Musculoskeletal and connective tissue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M54.5 (Low back pain), M17.11 (OA right knee)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18</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R00–R99</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Signs, symptoms, abnormal findings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R10.9 (Abdominal pain), R05.9 (Cough)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S00–T88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Injury, poisoning, external causes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S72.001A (Femur fracture), T39.1X5A (NSAID adverse effect)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Z00–Z99</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Factors influencing health status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Z23 (Immunization encounter), Z87.11 (Hx of peptic ulcer)</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2.2 Coding Conventions &amp; Rules</w:t>
      </w:r>
    </w:p>
    <w:p>
      <w:pPr>
        <w:spacing w:after="160" w:line="276"/>
      </w:pPr>
      <w:r>
        <w:rPr>
          <w:rFonts w:ascii="Arial" w:cs="Arial" w:eastAsia="Arial" w:hAnsi="Arial"/>
          <w:color w:val="333333"/>
          <w:sz w:val="21"/>
          <w:szCs w:val="21"/>
        </w:rPr>
        <w:t xml:space="preserve">IT systems must enforce ICD-10-CM coding conventions to ensure valid code capture and clean claims submission.</w:t>
      </w:r>
    </w:p>
    <w:p>
      <w:pPr>
        <w:pStyle w:val="ListParagraph"/>
        <w:numPr>
          <w:ilvl w:val="0"/>
          <w:numId w:val="2"/>
        </w:numPr>
        <w:spacing w:after="80" w:line="276"/>
      </w:pPr>
      <w:r>
        <w:rPr>
          <w:rFonts w:ascii="Arial" w:cs="Arial" w:eastAsia="Arial" w:hAnsi="Arial"/>
          <w:b/>
          <w:bCs/>
          <w:color w:val="333333"/>
          <w:sz w:val="21"/>
          <w:szCs w:val="21"/>
        </w:rPr>
        <w:t xml:space="preserve">Code to highest specificity: </w:t>
      </w:r>
      <w:r>
        <w:rPr>
          <w:rFonts w:ascii="Arial" w:cs="Arial" w:eastAsia="Arial" w:hAnsi="Arial"/>
          <w:color w:val="333333"/>
          <w:sz w:val="21"/>
          <w:szCs w:val="21"/>
        </w:rPr>
        <w:t xml:space="preserve">Systems must require the most specific code available. A 3-character code should not be accepted if 4–7 character options exist. Code validation engines compare submitted codes against the valid code list to reject truncated codes.</w:t>
      </w:r>
    </w:p>
    <w:p>
      <w:pPr>
        <w:pStyle w:val="ListParagraph"/>
        <w:numPr>
          <w:ilvl w:val="0"/>
          <w:numId w:val="2"/>
        </w:numPr>
        <w:spacing w:after="80" w:line="276"/>
      </w:pPr>
      <w:r>
        <w:rPr>
          <w:rFonts w:ascii="Arial" w:cs="Arial" w:eastAsia="Arial" w:hAnsi="Arial"/>
          <w:b/>
          <w:bCs/>
          <w:color w:val="333333"/>
          <w:sz w:val="21"/>
          <w:szCs w:val="21"/>
        </w:rPr>
        <w:t xml:space="preserve">Primary vs. secondary diagnosis: </w:t>
      </w:r>
      <w:r>
        <w:rPr>
          <w:rFonts w:ascii="Arial" w:cs="Arial" w:eastAsia="Arial" w:hAnsi="Arial"/>
          <w:color w:val="333333"/>
          <w:sz w:val="21"/>
          <w:szCs w:val="21"/>
        </w:rPr>
        <w:t xml:space="preserve">The principal/primary diagnosis drives payment classification (DRG/APC). EHR and coding systems must support diagnosis sequencing and allow reordering of diagnosis positions.</w:t>
      </w:r>
    </w:p>
    <w:p>
      <w:pPr>
        <w:pStyle w:val="ListParagraph"/>
        <w:numPr>
          <w:ilvl w:val="0"/>
          <w:numId w:val="2"/>
        </w:numPr>
        <w:spacing w:after="80" w:line="276"/>
      </w:pPr>
      <w:r>
        <w:rPr>
          <w:rFonts w:ascii="Arial" w:cs="Arial" w:eastAsia="Arial" w:hAnsi="Arial"/>
          <w:b/>
          <w:bCs/>
          <w:color w:val="333333"/>
          <w:sz w:val="21"/>
          <w:szCs w:val="21"/>
        </w:rPr>
        <w:t xml:space="preserve">Excludes1 vs. Excludes2: </w:t>
      </w:r>
      <w:r>
        <w:rPr>
          <w:rFonts w:ascii="Arial" w:cs="Arial" w:eastAsia="Arial" w:hAnsi="Arial"/>
          <w:color w:val="333333"/>
          <w:sz w:val="21"/>
          <w:szCs w:val="21"/>
        </w:rPr>
        <w:t xml:space="preserve">Excludes1 means the two conditions cannot occur together (mutually exclusive). Excludes2 means the conditions can co-exist but the excluded condition is not included in the code. IT systems should enforce Excludes1 edits in coding tools.</w:t>
      </w:r>
    </w:p>
    <w:p>
      <w:pPr>
        <w:pStyle w:val="ListParagraph"/>
        <w:numPr>
          <w:ilvl w:val="0"/>
          <w:numId w:val="2"/>
        </w:numPr>
        <w:spacing w:after="80" w:line="276"/>
      </w:pPr>
      <w:r>
        <w:rPr>
          <w:rFonts w:ascii="Arial" w:cs="Arial" w:eastAsia="Arial" w:hAnsi="Arial"/>
          <w:b/>
          <w:bCs/>
          <w:color w:val="333333"/>
          <w:sz w:val="21"/>
          <w:szCs w:val="21"/>
        </w:rPr>
        <w:t xml:space="preserve">Code First / Use Additional Code: </w:t>
      </w:r>
      <w:r>
        <w:rPr>
          <w:rFonts w:ascii="Arial" w:cs="Arial" w:eastAsia="Arial" w:hAnsi="Arial"/>
          <w:color w:val="333333"/>
          <w:sz w:val="21"/>
          <w:szCs w:val="21"/>
        </w:rPr>
        <w:t xml:space="preserve">Sequencing instructions require specific diagnosis ordering. Example: Diabetic nephropathy requires E11.22 (diabetes) first, then N08 (glomerular disorder). IT systems must flag sequencing errors.</w:t>
      </w:r>
    </w:p>
    <w:p>
      <w:pPr>
        <w:pStyle w:val="ListParagraph"/>
        <w:numPr>
          <w:ilvl w:val="0"/>
          <w:numId w:val="2"/>
        </w:numPr>
        <w:spacing w:after="80" w:line="276"/>
      </w:pPr>
      <w:r>
        <w:rPr>
          <w:rFonts w:ascii="Arial" w:cs="Arial" w:eastAsia="Arial" w:hAnsi="Arial"/>
          <w:b/>
          <w:bCs/>
          <w:color w:val="333333"/>
          <w:sz w:val="21"/>
          <w:szCs w:val="21"/>
        </w:rPr>
        <w:t xml:space="preserve">Laterality: </w:t>
      </w:r>
      <w:r>
        <w:rPr>
          <w:rFonts w:ascii="Arial" w:cs="Arial" w:eastAsia="Arial" w:hAnsi="Arial"/>
          <w:color w:val="333333"/>
          <w:sz w:val="21"/>
          <w:szCs w:val="21"/>
        </w:rPr>
        <w:t xml:space="preserve">Many codes specify right, left, or bilateral. IT systems should auto-suggest laterality-specific codes and reject unspecified laterality when specific codes exist.</w:t>
      </w:r>
    </w:p>
    <w:p>
      <w:pPr>
        <w:pStyle w:val="ListParagraph"/>
        <w:numPr>
          <w:ilvl w:val="0"/>
          <w:numId w:val="2"/>
        </w:numPr>
        <w:spacing w:after="80" w:line="276"/>
      </w:pPr>
      <w:r>
        <w:rPr>
          <w:rFonts w:ascii="Arial" w:cs="Arial" w:eastAsia="Arial" w:hAnsi="Arial"/>
          <w:b/>
          <w:bCs/>
          <w:color w:val="333333"/>
          <w:sz w:val="21"/>
          <w:szCs w:val="21"/>
        </w:rPr>
        <w:t xml:space="preserve">Combination codes: </w:t>
      </w:r>
      <w:r>
        <w:rPr>
          <w:rFonts w:ascii="Arial" w:cs="Arial" w:eastAsia="Arial" w:hAnsi="Arial"/>
          <w:color w:val="333333"/>
          <w:sz w:val="21"/>
          <w:szCs w:val="21"/>
        </w:rPr>
        <w:t xml:space="preserve">Single codes capture both a condition and its complication/manifestation. Example: E11.65 captures both Type 2 diabetes and hyperglycemia in one code. IT systems should guide coders to combination codes rather than separate codes.</w:t>
      </w:r>
    </w:p>
    <w:p>
      <w:pPr>
        <w:pStyle w:val="Heading2"/>
        <w:spacing w:before="280" w:after="160"/>
      </w:pPr>
      <w:r>
        <w:rPr>
          <w:rFonts w:ascii="Arial" w:cs="Arial" w:eastAsia="Arial" w:hAnsi="Arial"/>
          <w:b/>
          <w:bCs/>
          <w:color w:val="2E75B6"/>
          <w:sz w:val="26"/>
          <w:szCs w:val="26"/>
        </w:rPr>
        <w:t xml:space="preserve">2.3 IT System Implications for ICD-10-CM</w:t>
      </w:r>
    </w:p>
    <w:p>
      <w:pPr>
        <w:pStyle w:val="ListParagraph"/>
        <w:numPr>
          <w:ilvl w:val="0"/>
          <w:numId w:val="2"/>
        </w:numPr>
        <w:spacing w:after="80" w:line="276"/>
      </w:pPr>
      <w:r>
        <w:rPr>
          <w:rFonts w:ascii="Arial" w:cs="Arial" w:eastAsia="Arial" w:hAnsi="Arial"/>
          <w:b/>
          <w:bCs/>
          <w:color w:val="333333"/>
          <w:sz w:val="21"/>
          <w:szCs w:val="21"/>
        </w:rPr>
        <w:t xml:space="preserve">Code validation engines: </w:t>
      </w:r>
      <w:r>
        <w:rPr>
          <w:rFonts w:ascii="Arial" w:cs="Arial" w:eastAsia="Arial" w:hAnsi="Arial"/>
          <w:color w:val="333333"/>
          <w:sz w:val="21"/>
          <w:szCs w:val="21"/>
        </w:rPr>
        <w:t xml:space="preserve">Must validate against current-year ICD-10-CM code tables (updated annually October 1). Invalid codes must be rejected at point of entry or during claim scrubbing.</w:t>
      </w:r>
    </w:p>
    <w:p>
      <w:pPr>
        <w:pStyle w:val="ListParagraph"/>
        <w:numPr>
          <w:ilvl w:val="0"/>
          <w:numId w:val="2"/>
        </w:numPr>
        <w:spacing w:after="80" w:line="276"/>
      </w:pPr>
      <w:r>
        <w:rPr>
          <w:rFonts w:ascii="Arial" w:cs="Arial" w:eastAsia="Arial" w:hAnsi="Arial"/>
          <w:b/>
          <w:bCs/>
          <w:color w:val="333333"/>
          <w:sz w:val="21"/>
          <w:szCs w:val="21"/>
        </w:rPr>
        <w:t xml:space="preserve">Code search functionality: </w:t>
      </w:r>
      <w:r>
        <w:rPr>
          <w:rFonts w:ascii="Arial" w:cs="Arial" w:eastAsia="Arial" w:hAnsi="Arial"/>
          <w:color w:val="333333"/>
          <w:sz w:val="21"/>
          <w:szCs w:val="21"/>
        </w:rPr>
        <w:t xml:space="preserve">EHR and coding systems must support flexible search by code, keyword, body system, and synonym. Auto-suggest with context awareness improves coding accuracy and speed.</w:t>
      </w:r>
    </w:p>
    <w:p>
      <w:pPr>
        <w:pStyle w:val="ListParagraph"/>
        <w:numPr>
          <w:ilvl w:val="0"/>
          <w:numId w:val="2"/>
        </w:numPr>
        <w:spacing w:after="80" w:line="276"/>
      </w:pPr>
      <w:r>
        <w:rPr>
          <w:rFonts w:ascii="Arial" w:cs="Arial" w:eastAsia="Arial" w:hAnsi="Arial"/>
          <w:b/>
          <w:bCs/>
          <w:color w:val="333333"/>
          <w:sz w:val="21"/>
          <w:szCs w:val="21"/>
        </w:rPr>
        <w:t xml:space="preserve">Annual updates: </w:t>
      </w:r>
      <w:r>
        <w:rPr>
          <w:rFonts w:ascii="Arial" w:cs="Arial" w:eastAsia="Arial" w:hAnsi="Arial"/>
          <w:color w:val="333333"/>
          <w:sz w:val="21"/>
          <w:szCs w:val="21"/>
        </w:rPr>
        <w:t xml:space="preserve">New, revised, and deleted codes take effect October 1 each year. IT systems must implement annual code table updates, manage version transitions for claims spanning the effective date, and update CDS rules referencing specific codes.</w:t>
      </w:r>
    </w:p>
    <w:p>
      <w:pPr>
        <w:pStyle w:val="ListParagraph"/>
        <w:numPr>
          <w:ilvl w:val="0"/>
          <w:numId w:val="2"/>
        </w:numPr>
        <w:spacing w:after="80" w:line="276"/>
      </w:pPr>
      <w:r>
        <w:rPr>
          <w:rFonts w:ascii="Arial" w:cs="Arial" w:eastAsia="Arial" w:hAnsi="Arial"/>
          <w:b/>
          <w:bCs/>
          <w:color w:val="333333"/>
          <w:sz w:val="21"/>
          <w:szCs w:val="21"/>
        </w:rPr>
        <w:t xml:space="preserve">Problem list management: </w:t>
      </w:r>
      <w:r>
        <w:rPr>
          <w:rFonts w:ascii="Arial" w:cs="Arial" w:eastAsia="Arial" w:hAnsi="Arial"/>
          <w:color w:val="333333"/>
          <w:sz w:val="21"/>
          <w:szCs w:val="21"/>
        </w:rPr>
        <w:t xml:space="preserve">ICD-10-CM codes on patient problem lists must be periodically reviewed for accuracy and updated when code revisions occur. Automated tools can flag deprecated codes.</w:t>
      </w:r>
    </w:p>
    <w:p>
      <w:pPr>
        <w:pStyle w:val="ListParagraph"/>
        <w:numPr>
          <w:ilvl w:val="0"/>
          <w:numId w:val="2"/>
        </w:numPr>
        <w:spacing w:after="80" w:line="276"/>
      </w:pPr>
      <w:r>
        <w:rPr>
          <w:rFonts w:ascii="Arial" w:cs="Arial" w:eastAsia="Arial" w:hAnsi="Arial"/>
          <w:b/>
          <w:bCs/>
          <w:color w:val="333333"/>
          <w:sz w:val="21"/>
          <w:szCs w:val="21"/>
        </w:rPr>
        <w:t xml:space="preserve">Quality measure dependencies: </w:t>
      </w:r>
      <w:r>
        <w:rPr>
          <w:rFonts w:ascii="Arial" w:cs="Arial" w:eastAsia="Arial" w:hAnsi="Arial"/>
          <w:color w:val="333333"/>
          <w:sz w:val="21"/>
          <w:szCs w:val="21"/>
        </w:rPr>
        <w:t xml:space="preserve">Clinical quality measures (eCQMs) reference specific ICD-10-CM value sets. Code changes can affect measure numerator/denominator inclusion. IT teams must update value sets annually.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2"/>
              <w:bottom w:val="single" w:color="E67E22" w:sz="1"/>
              <w:right w:val="single" w:color="E67E22" w:sz="1"/>
            </w:tcBorders>
            <w:shd w:fill="FEF5E7" w:val="clear"/>
            <w:tcMar>
              <w:top w:type="dxa" w:w="120"/>
              <w:left w:type="dxa" w:w="200"/>
              <w:bottom w:type="dxa" w:w="120"/>
              <w:right w:type="dxa" w:w="200"/>
            </w:tcMar>
          </w:tcPr>
          <w:p>
            <w:pPr>
              <w:spacing w:after="80"/>
            </w:pPr>
            <w:r>
              <w:rPr>
                <w:rFonts w:ascii="Arial" w:cs="Arial" w:eastAsia="Arial" w:hAnsi="Arial"/>
                <w:b/>
                <w:bCs/>
                <w:color w:val="E67E22"/>
                <w:sz w:val="21"/>
                <w:szCs w:val="21"/>
              </w:rPr>
              <w:t xml:space="preserve">Critical IT Consideration</w:t>
            </w:r>
          </w:p>
          <w:p>
            <w:pPr>
              <w:spacing w:after="0" w:line="276"/>
            </w:pPr>
            <w:r>
              <w:rPr>
                <w:rFonts w:ascii="Arial" w:cs="Arial" w:eastAsia="Arial" w:hAnsi="Arial"/>
                <w:i/>
                <w:iCs/>
                <w:color w:val="333333"/>
                <w:sz w:val="20"/>
                <w:szCs w:val="20"/>
              </w:rPr>
              <w:t xml:space="preserve">ICD-10-CM annual updates (effective October 1) often add hundreds of new codes and delete others. IT systems processing claims that span the October 1 date must apply the correct code version based on the date of service, not the date of claim submission. Failure to manage version transitions results in claim rejections.</w:t>
            </w:r>
          </w:p>
        </w:tc>
      </w:tr>
    </w:tbl>
    <w:p>
      <w:pPr>
        <w:spacing w:after="160" w:line="276"/>
      </w:pPr>
      <w:r>
        <w:rPr>
          <w:rFonts w:ascii="Arial" w:cs="Arial" w:eastAsia="Arial" w:hAnsi="Arial"/>
          <w:color w:val="333333"/>
          <w:sz w:val="21"/>
          <w:szCs w:val="21"/>
        </w:rPr>
        <w:t xml:space="preserve"/>
      </w:r>
    </w:p>
    <w:p>
      <w:r>
        <w:br w:type="page"/>
      </w:r>
    </w:p>
    <w:p>
      <w:pPr>
        <w:pStyle w:val="Heading1"/>
        <w:spacing w:before="360" w:after="200"/>
      </w:pPr>
      <w:r>
        <w:rPr>
          <w:rFonts w:ascii="Arial" w:cs="Arial" w:eastAsia="Arial" w:hAnsi="Arial"/>
          <w:b/>
          <w:bCs/>
          <w:color w:val="1B3A5C"/>
          <w:sz w:val="32"/>
          <w:szCs w:val="32"/>
        </w:rPr>
        <w:t xml:space="preserve">3. ICD-10-PCS: Inpatient Procedure Coding</w:t>
      </w:r>
    </w:p>
    <w:p>
      <w:pPr>
        <w:spacing w:after="160" w:line="276"/>
      </w:pPr>
      <w:r>
        <w:rPr>
          <w:rFonts w:ascii="Arial" w:cs="Arial" w:eastAsia="Arial" w:hAnsi="Arial"/>
          <w:color w:val="333333"/>
          <w:sz w:val="21"/>
          <w:szCs w:val="21"/>
        </w:rPr>
        <w:t xml:space="preserve">ICD-10-PCS (Procedure Coding System) is used exclusively for coding inpatient hospital procedures on facility claims (UB-04 / 837I). It was developed by CMS as a replacement for ICD-9-CM Volume 3 and is fundamentally different from CPT in its design philosophy.</w:t>
      </w:r>
    </w:p>
    <w:p>
      <w:pPr>
        <w:pStyle w:val="Heading2"/>
        <w:spacing w:before="280" w:after="160"/>
      </w:pPr>
      <w:r>
        <w:rPr>
          <w:rFonts w:ascii="Arial" w:cs="Arial" w:eastAsia="Arial" w:hAnsi="Arial"/>
          <w:b/>
          <w:bCs/>
          <w:color w:val="2E75B6"/>
          <w:sz w:val="26"/>
          <w:szCs w:val="26"/>
        </w:rPr>
        <w:t xml:space="preserve">3.1 Code Structure: 7-Character Multiaxial System</w:t>
      </w:r>
    </w:p>
    <w:p>
      <w:pPr>
        <w:spacing w:after="160" w:line="276"/>
      </w:pPr>
      <w:r>
        <w:rPr>
          <w:rFonts w:ascii="Arial" w:cs="Arial" w:eastAsia="Arial" w:hAnsi="Arial"/>
          <w:color w:val="333333"/>
          <w:sz w:val="21"/>
          <w:szCs w:val="21"/>
        </w:rPr>
        <w:t xml:space="preserve">Every ICD-10-PCS code is exactly 7 characters long, with each position representing a specific axis of classification. This multiaxial structure is what makes PCS unique — codes are constructed character by character rather than looked up from a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000"/>
        <w:gridCol w:w="3860"/>
      </w:tblGrid>
      <w:tr>
        <w:trPr>
          <w:tblHeader/>
        </w:trP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Position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Axis</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 Values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Broad category of procedure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 = Medical/Surgical, 1 = Obstetrics, 5 = Nuclear Medicine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Body System</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Physiological system or anatomical region</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 = Central Nervous, D = Gastrointestinal, L = Tendons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Root Operation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Objective of the procedure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 = Reposition, J = Inspection, T = Resection, B = Excision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Body Part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Specific anatomical site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 = Brain, 8 = Femoral Shaft, K = Kidney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Approach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How the procedure site was reached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 = Open, 3 = Percutaneous, 4 = Perc Endoscopic, 7 = Via Natural Opening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Device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Device that remains after procedure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 = Drainage Device, J = Synthetic Substitute, Z = No Device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Qualifier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Additional specificity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 = Diagnostic, Z = No Qualifier, 1 = Autologous</w:t>
            </w:r>
          </w:p>
        </w:tc>
      </w:tr>
    </w:tbl>
    <w:p>
      <w:pPr>
        <w:spacing w:after="160" w:line="276"/>
      </w:pPr>
      <w:r>
        <w:rPr>
          <w:rFonts w:ascii="Arial" w:cs="Arial" w:eastAsia="Arial" w:hAnsi="Arial"/>
          <w:color w:val="333333"/>
          <w:sz w:val="21"/>
          <w:szCs w:val="21"/>
        </w:rPr>
        <w:t xml:space="preserve"/>
      </w:r>
    </w:p>
    <w:p>
      <w:pPr>
        <w:pStyle w:val="Heading3"/>
        <w:spacing w:before="200" w:after="120"/>
      </w:pPr>
      <w:r>
        <w:rPr>
          <w:rFonts w:ascii="Arial" w:cs="Arial" w:eastAsia="Arial" w:hAnsi="Arial"/>
          <w:b/>
          <w:bCs/>
          <w:color w:val="1B3A5C"/>
          <w:sz w:val="22"/>
          <w:szCs w:val="22"/>
        </w:rPr>
        <w:t xml:space="preserve">3.1.1 Root Operations (Position 3)</w:t>
      </w:r>
    </w:p>
    <w:p>
      <w:pPr>
        <w:spacing w:after="160" w:line="276"/>
      </w:pPr>
      <w:r>
        <w:rPr>
          <w:rFonts w:ascii="Arial" w:cs="Arial" w:eastAsia="Arial" w:hAnsi="Arial"/>
          <w:color w:val="333333"/>
          <w:sz w:val="21"/>
          <w:szCs w:val="21"/>
        </w:rPr>
        <w:t xml:space="preserve">Root operations define the objective of the procedure and are the most critical axis for accurate PCS coding. There are 31 root operations in the Medical/Surgical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9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Root Operation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Distinction</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Excision (B)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Cutting out/off a portion of a body part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Partial removal without replacement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Breast lumpectomy, liver biopsy</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Resection (T)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Cutting out/off all of a body part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Complete removal without replacement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Total knee replacement (bone resection), appendectomy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Replacement (R)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Putting in biological/synthetic material that takes the place of a body part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Replaces function of removed body part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hip arthroplasty, heart valve replacement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Repair (Q)</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Restoring a body part to its normal structure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Does not involve replacement or moving</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Hernia repair, suturing a laceration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Bypass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Altering the route of passage of a body part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Creates new route around blocked passage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CABG (coronary artery bypass graft)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Drainage (9)</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Taking or letting out fluids/gases from a body part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Removing fluid, not tissue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Thoracentesis, paracentesis, abscess drainage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Insertion (H)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Putting in a nonbiological device that monitors, assists, or prevents function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Device remains in body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Central line insertion, pacemaker insertion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Removal (P)</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Taking out a device from a body part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Previously placed device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Pacemaker removal, hardware removal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Inspection (J)</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Visually and/or manually exploring a body part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Diagnostic visualization only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Diagnostic arthroscopy, exploratory laparotomy</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Dilation (7)</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Expanding an orifice or lumen of a body part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Widening passage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Percutaneous coronary angioplasty, esophageal dilation</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3.2 IT System Implications for ICD-10-PCS</w:t>
      </w:r>
    </w:p>
    <w:p>
      <w:pPr>
        <w:pStyle w:val="ListParagraph"/>
        <w:numPr>
          <w:ilvl w:val="0"/>
          <w:numId w:val="2"/>
        </w:numPr>
        <w:spacing w:after="80" w:line="276"/>
      </w:pPr>
      <w:r>
        <w:rPr>
          <w:rFonts w:ascii="Arial" w:cs="Arial" w:eastAsia="Arial" w:hAnsi="Arial"/>
          <w:b/>
          <w:bCs/>
          <w:color w:val="333333"/>
          <w:sz w:val="21"/>
          <w:szCs w:val="21"/>
        </w:rPr>
        <w:t xml:space="preserve">Code construction tools: </w:t>
      </w:r>
      <w:r>
        <w:rPr>
          <w:rFonts w:ascii="Arial" w:cs="Arial" w:eastAsia="Arial" w:hAnsi="Arial"/>
          <w:color w:val="333333"/>
          <w:sz w:val="21"/>
          <w:szCs w:val="21"/>
        </w:rPr>
        <w:t xml:space="preserve">Unlike ICD-10-CM where codes are looked up, PCS codes are built character by character. IT systems must provide interactive code builders that guide users through valid character combinations at each position.</w:t>
      </w:r>
    </w:p>
    <w:p>
      <w:pPr>
        <w:pStyle w:val="ListParagraph"/>
        <w:numPr>
          <w:ilvl w:val="0"/>
          <w:numId w:val="2"/>
        </w:numPr>
        <w:spacing w:after="80" w:line="276"/>
      </w:pPr>
      <w:r>
        <w:rPr>
          <w:rFonts w:ascii="Arial" w:cs="Arial" w:eastAsia="Arial" w:hAnsi="Arial"/>
          <w:b/>
          <w:bCs/>
          <w:color w:val="333333"/>
          <w:sz w:val="21"/>
          <w:szCs w:val="21"/>
        </w:rPr>
        <w:t xml:space="preserve">Tables and valid combinations: </w:t>
      </w:r>
      <w:r>
        <w:rPr>
          <w:rFonts w:ascii="Arial" w:cs="Arial" w:eastAsia="Arial" w:hAnsi="Arial"/>
          <w:color w:val="333333"/>
          <w:sz w:val="21"/>
          <w:szCs w:val="21"/>
        </w:rPr>
        <w:t xml:space="preserve">PCS uses reference tables defining which character combinations are valid. Code builders must enforce these constraints — not every combination of characters produces a valid code.</w:t>
      </w:r>
    </w:p>
    <w:p>
      <w:pPr>
        <w:pStyle w:val="ListParagraph"/>
        <w:numPr>
          <w:ilvl w:val="0"/>
          <w:numId w:val="2"/>
        </w:numPr>
        <w:spacing w:after="80" w:line="276"/>
      </w:pPr>
      <w:r>
        <w:rPr>
          <w:rFonts w:ascii="Arial" w:cs="Arial" w:eastAsia="Arial" w:hAnsi="Arial"/>
          <w:b/>
          <w:bCs/>
          <w:color w:val="333333"/>
          <w:sz w:val="21"/>
          <w:szCs w:val="21"/>
        </w:rPr>
        <w:t xml:space="preserve">No decimal points: </w:t>
      </w:r>
      <w:r>
        <w:rPr>
          <w:rFonts w:ascii="Arial" w:cs="Arial" w:eastAsia="Arial" w:hAnsi="Arial"/>
          <w:color w:val="333333"/>
          <w:sz w:val="21"/>
          <w:szCs w:val="21"/>
        </w:rPr>
        <w:t xml:space="preserve">PCS codes never contain decimal points (unlike ICD-10-CM which uses a decimal after position 3). IT systems must handle this format difference in validation and display.</w:t>
      </w:r>
    </w:p>
    <w:p>
      <w:pPr>
        <w:pStyle w:val="ListParagraph"/>
        <w:numPr>
          <w:ilvl w:val="0"/>
          <w:numId w:val="2"/>
        </w:numPr>
        <w:spacing w:after="80" w:line="276"/>
      </w:pPr>
      <w:r>
        <w:rPr>
          <w:rFonts w:ascii="Arial" w:cs="Arial" w:eastAsia="Arial" w:hAnsi="Arial"/>
          <w:b/>
          <w:bCs/>
          <w:color w:val="333333"/>
          <w:sz w:val="21"/>
          <w:szCs w:val="21"/>
        </w:rPr>
        <w:t xml:space="preserve">Facility claims only: </w:t>
      </w:r>
      <w:r>
        <w:rPr>
          <w:rFonts w:ascii="Arial" w:cs="Arial" w:eastAsia="Arial" w:hAnsi="Arial"/>
          <w:color w:val="333333"/>
          <w:sz w:val="21"/>
          <w:szCs w:val="21"/>
        </w:rPr>
        <w:t xml:space="preserve">PCS codes appear only on inpatient facility claims (837I). They should never appear on professional claims (837P) or outpatient claims.</w:t>
      </w:r>
    </w:p>
    <w:p>
      <w:pPr>
        <w:pStyle w:val="ListParagraph"/>
        <w:numPr>
          <w:ilvl w:val="0"/>
          <w:numId w:val="2"/>
        </w:numPr>
        <w:spacing w:after="80" w:line="276"/>
      </w:pPr>
      <w:r>
        <w:rPr>
          <w:rFonts w:ascii="Arial" w:cs="Arial" w:eastAsia="Arial" w:hAnsi="Arial"/>
          <w:b/>
          <w:bCs/>
          <w:color w:val="333333"/>
          <w:sz w:val="21"/>
          <w:szCs w:val="21"/>
        </w:rPr>
        <w:t xml:space="preserve">DRG assignment dependency: </w:t>
      </w:r>
      <w:r>
        <w:rPr>
          <w:rFonts w:ascii="Arial" w:cs="Arial" w:eastAsia="Arial" w:hAnsi="Arial"/>
          <w:color w:val="333333"/>
          <w:sz w:val="21"/>
          <w:szCs w:val="21"/>
        </w:rPr>
        <w:t xml:space="preserve">PCS codes are a primary input to the MS-DRG grouper. Accurate PCS coding directly affects inpatient reimbursement. IT systems must support PCS-to-DRG mapping for revenue forecasting.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DF3FA" w:val="clear"/>
            <w:tcMar>
              <w:top w:type="dxa" w:w="120"/>
              <w:left w:type="dxa" w:w="200"/>
              <w:bottom w:type="dxa" w:w="120"/>
              <w:right w:type="dxa" w:w="200"/>
            </w:tcMar>
          </w:tcPr>
          <w:p>
            <w:pPr>
              <w:spacing w:after="80"/>
            </w:pPr>
            <w:r>
              <w:rPr>
                <w:rFonts w:ascii="Arial" w:cs="Arial" w:eastAsia="Arial" w:hAnsi="Arial"/>
                <w:b/>
                <w:bCs/>
                <w:color w:val="2E75B6"/>
                <w:sz w:val="21"/>
                <w:szCs w:val="21"/>
              </w:rPr>
              <w:t xml:space="preserve">IT Architecture Note</w:t>
            </w:r>
          </w:p>
          <w:p>
            <w:pPr>
              <w:spacing w:after="0" w:line="276"/>
            </w:pPr>
            <w:r>
              <w:rPr>
                <w:rFonts w:ascii="Arial" w:cs="Arial" w:eastAsia="Arial" w:hAnsi="Arial"/>
                <w:i/>
                <w:iCs/>
                <w:color w:val="333333"/>
                <w:sz w:val="20"/>
                <w:szCs w:val="20"/>
              </w:rPr>
              <w:t xml:space="preserve">ICD-10-PCS code tables are distributed by CMS in XML format, making them directly consumable by IT systems. The official PCS tables file includes all valid code combinations organized by section, body system, and root operation. Many EHR encoder modules parse this XML to build interactive code construction interfaces.</w:t>
            </w:r>
          </w:p>
        </w:tc>
      </w:tr>
    </w:tbl>
    <w:p>
      <w:pPr>
        <w:spacing w:after="160" w:line="276"/>
      </w:pPr>
      <w:r>
        <w:rPr>
          <w:rFonts w:ascii="Arial" w:cs="Arial" w:eastAsia="Arial" w:hAnsi="Arial"/>
          <w:color w:val="333333"/>
          <w:sz w:val="21"/>
          <w:szCs w:val="21"/>
        </w:rPr>
        <w:t xml:space="preserve"/>
      </w:r>
    </w:p>
    <w:p>
      <w:r>
        <w:br w:type="page"/>
      </w:r>
    </w:p>
    <w:p>
      <w:pPr>
        <w:pStyle w:val="Heading1"/>
        <w:spacing w:before="360" w:after="200"/>
      </w:pPr>
      <w:r>
        <w:rPr>
          <w:rFonts w:ascii="Arial" w:cs="Arial" w:eastAsia="Arial" w:hAnsi="Arial"/>
          <w:b/>
          <w:bCs/>
          <w:color w:val="1B3A5C"/>
          <w:sz w:val="32"/>
          <w:szCs w:val="32"/>
        </w:rPr>
        <w:t xml:space="preserve">4. CPT: Current Procedural Terminology</w:t>
      </w:r>
    </w:p>
    <w:p>
      <w:pPr>
        <w:spacing w:after="160" w:line="276"/>
      </w:pPr>
      <w:r>
        <w:rPr>
          <w:rFonts w:ascii="Arial" w:cs="Arial" w:eastAsia="Arial" w:hAnsi="Arial"/>
          <w:color w:val="333333"/>
          <w:sz w:val="21"/>
          <w:szCs w:val="21"/>
        </w:rPr>
        <w:t xml:space="preserve">CPT (Current Procedural Terminology) is maintained by the American Medical Association (AMA) and is the standard code set for reporting medical, surgical, and diagnostic procedures and services performed by physicians and other qualified healthcare professionals. CPT is used on professional claims (CMS-1500 / 837P) and hospital outpatient claims.</w:t>
      </w:r>
    </w:p>
    <w:p>
      <w:pPr>
        <w:pStyle w:val="Heading2"/>
        <w:spacing w:before="280" w:after="160"/>
      </w:pPr>
      <w:r>
        <w:rPr>
          <w:rFonts w:ascii="Arial" w:cs="Arial" w:eastAsia="Arial" w:hAnsi="Arial"/>
          <w:b/>
          <w:bCs/>
          <w:color w:val="2E75B6"/>
          <w:sz w:val="26"/>
          <w:szCs w:val="26"/>
        </w:rPr>
        <w:t xml:space="preserve">4.1 CPT Code Categories &amp; Structure</w:t>
      </w:r>
    </w:p>
    <w:p>
      <w:pPr>
        <w:pStyle w:val="Heading3"/>
        <w:spacing w:before="200" w:after="120"/>
      </w:pPr>
      <w:r>
        <w:rPr>
          <w:rFonts w:ascii="Arial" w:cs="Arial" w:eastAsia="Arial" w:hAnsi="Arial"/>
          <w:b/>
          <w:bCs/>
          <w:color w:val="1B3A5C"/>
          <w:sz w:val="22"/>
          <w:szCs w:val="22"/>
        </w:rPr>
        <w:t xml:space="preserve">4.1.1 Category I Codes</w:t>
      </w:r>
    </w:p>
    <w:p>
      <w:pPr>
        <w:spacing w:after="160" w:line="276"/>
      </w:pPr>
      <w:r>
        <w:rPr>
          <w:rFonts w:ascii="Arial" w:cs="Arial" w:eastAsia="Arial" w:hAnsi="Arial"/>
          <w:color w:val="333333"/>
          <w:sz w:val="21"/>
          <w:szCs w:val="21"/>
        </w:rPr>
        <w:t xml:space="preserve">Category I codes are the primary CPT codes representing procedures and services that have received FDA approval, are commonly performed, and have documented clinical efficacy. They are 5-digit numeric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Code Range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99202–99499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Evaluation &amp; Management (E/M)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99213 (Office visit, established, moderate), 99223 (Inpatient admit, high), 99285 (ED visit, high)</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00100–01999</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Anesthesia</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00140 (Anesthesia for eye procedures), 01996 (Daily hospital management of epidural)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10004–69990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Surgery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27447 (Total knee arthroplasty), 33533 (CABG), 47562 (Lap cholecystectomy)</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70010–79999</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Radiology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71046 (Chest X-ray 2 views), 74177 (CT abdomen with contrast), 70553 (MRI brain w/ and w/o contrast)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80047–89398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Pathology &amp; Laboratory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80053 (CMP), 85025 (CBC), 87635 (COVID-19 test)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90281–99607</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Medicine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90658 (Flu vaccine), 96372 (Therapeutic injection), 99421 (Online digital E/M)</w:t>
            </w:r>
          </w:p>
        </w:tc>
      </w:tr>
    </w:tbl>
    <w:p>
      <w:pPr>
        <w:spacing w:after="160" w:line="276"/>
      </w:pPr>
      <w:r>
        <w:rPr>
          <w:rFonts w:ascii="Arial" w:cs="Arial" w:eastAsia="Arial" w:hAnsi="Arial"/>
          <w:color w:val="333333"/>
          <w:sz w:val="21"/>
          <w:szCs w:val="21"/>
        </w:rPr>
        <w:t xml:space="preserve"/>
      </w:r>
    </w:p>
    <w:p>
      <w:pPr>
        <w:pStyle w:val="Heading3"/>
        <w:spacing w:before="200" w:after="120"/>
      </w:pPr>
      <w:r>
        <w:rPr>
          <w:rFonts w:ascii="Arial" w:cs="Arial" w:eastAsia="Arial" w:hAnsi="Arial"/>
          <w:b/>
          <w:bCs/>
          <w:color w:val="1B3A5C"/>
          <w:sz w:val="22"/>
          <w:szCs w:val="22"/>
        </w:rPr>
        <w:t xml:space="preserve">4.1.2 Category II Codes</w:t>
      </w:r>
    </w:p>
    <w:p>
      <w:pPr>
        <w:spacing w:after="160" w:line="276"/>
      </w:pPr>
      <w:r>
        <w:rPr>
          <w:rFonts w:ascii="Arial" w:cs="Arial" w:eastAsia="Arial" w:hAnsi="Arial"/>
          <w:color w:val="333333"/>
          <w:sz w:val="21"/>
          <w:szCs w:val="21"/>
        </w:rPr>
        <w:t xml:space="preserve">Category II codes are supplemental tracking codes used for performance measurement and quality reporting. They are 5-digit codes ending in ‘F’ (e.g., 0001F — heart failure assessed). These codes are optional, do not affect reimbursement, and are used to simplify data collection for MIPS and other quality programs.</w:t>
      </w:r>
    </w:p>
    <w:p>
      <w:pPr>
        <w:pStyle w:val="Heading3"/>
        <w:spacing w:before="200" w:after="120"/>
      </w:pPr>
      <w:r>
        <w:rPr>
          <w:rFonts w:ascii="Arial" w:cs="Arial" w:eastAsia="Arial" w:hAnsi="Arial"/>
          <w:b/>
          <w:bCs/>
          <w:color w:val="1B3A5C"/>
          <w:sz w:val="22"/>
          <w:szCs w:val="22"/>
        </w:rPr>
        <w:t xml:space="preserve">4.1.3 Category III Codes</w:t>
      </w:r>
    </w:p>
    <w:p>
      <w:pPr>
        <w:spacing w:after="160" w:line="276"/>
      </w:pPr>
      <w:r>
        <w:rPr>
          <w:rFonts w:ascii="Arial" w:cs="Arial" w:eastAsia="Arial" w:hAnsi="Arial"/>
          <w:color w:val="333333"/>
          <w:sz w:val="21"/>
          <w:szCs w:val="21"/>
        </w:rPr>
        <w:t xml:space="preserve">Category III codes are temporary codes for emerging technology, services, and procedures that do not yet meet Category I criteria. They are 5-digit codes ending in ‘T’ (e.g., 0071T). These codes have a sunset date and are either promoted to Category I or archived. They are important for IT because they establish billing pathways for innovative services like AI-assisted diagnostics and digital therapeutics.</w:t>
      </w:r>
    </w:p>
    <w:p>
      <w:pPr>
        <w:pStyle w:val="Heading2"/>
        <w:spacing w:before="280" w:after="160"/>
      </w:pPr>
      <w:r>
        <w:rPr>
          <w:rFonts w:ascii="Arial" w:cs="Arial" w:eastAsia="Arial" w:hAnsi="Arial"/>
          <w:b/>
          <w:bCs/>
          <w:color w:val="2E75B6"/>
          <w:sz w:val="26"/>
          <w:szCs w:val="26"/>
        </w:rPr>
        <w:t xml:space="preserve">4.2 CPT Modifiers</w:t>
      </w:r>
    </w:p>
    <w:p>
      <w:pPr>
        <w:spacing w:after="160" w:line="276"/>
      </w:pPr>
      <w:r>
        <w:rPr>
          <w:rFonts w:ascii="Arial" w:cs="Arial" w:eastAsia="Arial" w:hAnsi="Arial"/>
          <w:color w:val="333333"/>
          <w:sz w:val="21"/>
          <w:szCs w:val="21"/>
        </w:rPr>
        <w:t xml:space="preserve">CPT modifiers are two-character suffixes appended to CPT codes to provide additional information about the service performed without changing the fundamental code definition. Modifiers affect reimbursement and are critical for claim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4960"/>
      </w:tblGrid>
      <w:tr>
        <w:trPr>
          <w:tblHeader/>
        </w:trP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Modifier</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 Implications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Significant, separately identifiable E/M service on the same day as a procedure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Prevents bundling denial; must be supported in CPOE and charge capture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26</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Professional component only</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Splits payment between facility (TC) and physician (26); radiology billing logic</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Technical component only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Facility billing for equipment/staff; complementary to modifier 26</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59</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Distinct procedural service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Overrides NCCI bundling edits; audit-sensitive — high override rates trigger payer review</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 RT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Left side / Right side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Laterality for bilateral procedures; IT must enforce laterality matching with documentation</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76</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Repeat procedure by same physician</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Same-day repeat; requires distinct documentation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77</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Repeat procedure by different physician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Same-day repeat by different provider; provider NPI tracking</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50</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Bilateral procedure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Indicates procedure performed on both sides; payment adjustment rules vary by payer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Increased procedural services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Additional work beyond typical; requires supporting documentation</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GY</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Item or service excluded from Medicare benefit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Used to generate a denial for secondary payer billing</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4.3 E/M Coding: 2021+ Guidelines</w:t>
      </w:r>
    </w:p>
    <w:p>
      <w:pPr>
        <w:spacing w:after="160" w:line="276"/>
      </w:pPr>
      <w:r>
        <w:rPr>
          <w:rFonts w:ascii="Arial" w:cs="Arial" w:eastAsia="Arial" w:hAnsi="Arial"/>
          <w:color w:val="333333"/>
          <w:sz w:val="21"/>
          <w:szCs w:val="21"/>
        </w:rPr>
        <w:t xml:space="preserve">Evaluation and Management (E/M) codes were significantly restructured in 2021, simplifying documentation requirements and basing code level selection on Medical Decision Making (MDM) complexity or total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00"/>
        <w:gridCol w:w="27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E/M Level</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Office Visit (Established)</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MDM Complexity</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Typical Total Time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Level 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99212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Straightforward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10–19 minutes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Level 3</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99213</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Low complexity</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20–29 minutes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Level 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99214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Moderate complexity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30–39 minutes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Level 5</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99215</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High complexity</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40–54 minutes</w:t>
            </w:r>
          </w:p>
        </w:tc>
      </w:tr>
    </w:tbl>
    <w:p>
      <w:pPr>
        <w:spacing w:after="160" w:line="276"/>
      </w:pPr>
      <w:r>
        <w:rPr>
          <w:rFonts w:ascii="Arial" w:cs="Arial" w:eastAsia="Arial" w:hAnsi="Arial"/>
          <w:color w:val="333333"/>
          <w:sz w:val="21"/>
          <w:szCs w:val="21"/>
        </w:rPr>
        <w:t xml:space="preserve"/>
      </w:r>
    </w:p>
    <w:p>
      <w:pPr>
        <w:spacing w:after="160" w:line="276"/>
      </w:pPr>
      <w:r>
        <w:rPr>
          <w:rFonts w:ascii="Arial" w:cs="Arial" w:eastAsia="Arial" w:hAnsi="Arial"/>
          <w:b/>
          <w:bCs/>
          <w:color w:val="333333"/>
          <w:sz w:val="21"/>
          <w:szCs w:val="21"/>
        </w:rPr>
        <w:t xml:space="preserve">IT Implications: </w:t>
      </w:r>
      <w:r>
        <w:rPr>
          <w:rFonts w:ascii="Arial" w:cs="Arial" w:eastAsia="Arial" w:hAnsi="Arial"/>
          <w:color w:val="333333"/>
          <w:sz w:val="21"/>
          <w:szCs w:val="21"/>
        </w:rPr>
        <w:t xml:space="preserve">EHR documentation templates must capture the elements required for MDM determination: number and complexity of problems addressed, amount and complexity of data reviewed (ordering/reviewing tests, obtaining records, independent interpretation), and risk of complications, morbidity, or mortality. Time-based billing requires accurate time tracking functionality in the EHR.</w:t>
      </w:r>
    </w:p>
    <w:p>
      <w:pPr>
        <w:pStyle w:val="Heading2"/>
        <w:spacing w:before="280" w:after="160"/>
      </w:pPr>
      <w:r>
        <w:rPr>
          <w:rFonts w:ascii="Arial" w:cs="Arial" w:eastAsia="Arial" w:hAnsi="Arial"/>
          <w:b/>
          <w:bCs/>
          <w:color w:val="2E75B6"/>
          <w:sz w:val="26"/>
          <w:szCs w:val="26"/>
        </w:rPr>
        <w:t xml:space="preserve">4.4 IT System Implications for CPT</w:t>
      </w:r>
    </w:p>
    <w:p>
      <w:pPr>
        <w:pStyle w:val="ListParagraph"/>
        <w:numPr>
          <w:ilvl w:val="0"/>
          <w:numId w:val="2"/>
        </w:numPr>
        <w:spacing w:after="80" w:line="276"/>
      </w:pPr>
      <w:r>
        <w:rPr>
          <w:rFonts w:ascii="Arial" w:cs="Arial" w:eastAsia="Arial" w:hAnsi="Arial"/>
          <w:b/>
          <w:bCs/>
          <w:color w:val="333333"/>
          <w:sz w:val="21"/>
          <w:szCs w:val="21"/>
        </w:rPr>
        <w:t xml:space="preserve">Licensing requirements: </w:t>
      </w:r>
      <w:r>
        <w:rPr>
          <w:rFonts w:ascii="Arial" w:cs="Arial" w:eastAsia="Arial" w:hAnsi="Arial"/>
          <w:color w:val="333333"/>
          <w:sz w:val="21"/>
          <w:szCs w:val="21"/>
        </w:rPr>
        <w:t xml:space="preserve">CPT is proprietary (AMA-owned). IT systems must license CPT content. This affects code display in patient portals, analytics tools, and interoperability interfaces. FHIR servers must manage CPT licensing when serving coded data.</w:t>
      </w:r>
    </w:p>
    <w:p>
      <w:pPr>
        <w:pStyle w:val="ListParagraph"/>
        <w:numPr>
          <w:ilvl w:val="0"/>
          <w:numId w:val="2"/>
        </w:numPr>
        <w:spacing w:after="80" w:line="276"/>
      </w:pPr>
      <w:r>
        <w:rPr>
          <w:rFonts w:ascii="Arial" w:cs="Arial" w:eastAsia="Arial" w:hAnsi="Arial"/>
          <w:b/>
          <w:bCs/>
          <w:color w:val="333333"/>
          <w:sz w:val="21"/>
          <w:szCs w:val="21"/>
        </w:rPr>
        <w:t xml:space="preserve">NCCI bundling edits: </w:t>
      </w:r>
      <w:r>
        <w:rPr>
          <w:rFonts w:ascii="Arial" w:cs="Arial" w:eastAsia="Arial" w:hAnsi="Arial"/>
          <w:color w:val="333333"/>
          <w:sz w:val="21"/>
          <w:szCs w:val="21"/>
        </w:rPr>
        <w:t xml:space="preserve">CMS maintains the National Correct Coding Initiative (NCCI) edit tables defining which CPT code pairs cannot be billed together. Claim scrubbing systems must implement NCCI edits with column 1/column 2 logic and modifier exceptions.</w:t>
      </w:r>
    </w:p>
    <w:p>
      <w:pPr>
        <w:pStyle w:val="ListParagraph"/>
        <w:numPr>
          <w:ilvl w:val="0"/>
          <w:numId w:val="2"/>
        </w:numPr>
        <w:spacing w:after="80" w:line="276"/>
      </w:pPr>
      <w:r>
        <w:rPr>
          <w:rFonts w:ascii="Arial" w:cs="Arial" w:eastAsia="Arial" w:hAnsi="Arial"/>
          <w:b/>
          <w:bCs/>
          <w:color w:val="333333"/>
          <w:sz w:val="21"/>
          <w:szCs w:val="21"/>
        </w:rPr>
        <w:t xml:space="preserve">Annual updates: </w:t>
      </w:r>
      <w:r>
        <w:rPr>
          <w:rFonts w:ascii="Arial" w:cs="Arial" w:eastAsia="Arial" w:hAnsi="Arial"/>
          <w:color w:val="333333"/>
          <w:sz w:val="21"/>
          <w:szCs w:val="21"/>
        </w:rPr>
        <w:t xml:space="preserve">CPT codes update January 1 annually. New codes, deletions, and descriptor changes require IT system updates to code tables, charge masters, order catalogs, CDS rules, and quality measure value sets.</w:t>
      </w:r>
    </w:p>
    <w:p>
      <w:pPr>
        <w:pStyle w:val="ListParagraph"/>
        <w:numPr>
          <w:ilvl w:val="0"/>
          <w:numId w:val="2"/>
        </w:numPr>
        <w:spacing w:after="80" w:line="276"/>
      </w:pPr>
      <w:r>
        <w:rPr>
          <w:rFonts w:ascii="Arial" w:cs="Arial" w:eastAsia="Arial" w:hAnsi="Arial"/>
          <w:b/>
          <w:bCs/>
          <w:color w:val="333333"/>
          <w:sz w:val="21"/>
          <w:szCs w:val="21"/>
        </w:rPr>
        <w:t xml:space="preserve">Fee schedule mapping: </w:t>
      </w:r>
      <w:r>
        <w:rPr>
          <w:rFonts w:ascii="Arial" w:cs="Arial" w:eastAsia="Arial" w:hAnsi="Arial"/>
          <w:color w:val="333333"/>
          <w:sz w:val="21"/>
          <w:szCs w:val="21"/>
        </w:rPr>
        <w:t xml:space="preserve">Each CPT code maps to an RVU (Relative Value Unit) in the Medicare Physician Fee Schedule. RVUs drive payment calculations and are used for physician productivity and compensation models.</w:t>
      </w:r>
    </w:p>
    <w:p>
      <w:pPr>
        <w:pStyle w:val="ListParagraph"/>
        <w:numPr>
          <w:ilvl w:val="0"/>
          <w:numId w:val="2"/>
        </w:numPr>
        <w:spacing w:after="80" w:line="276"/>
      </w:pPr>
      <w:r>
        <w:rPr>
          <w:rFonts w:ascii="Arial" w:cs="Arial" w:eastAsia="Arial" w:hAnsi="Arial"/>
          <w:b/>
          <w:bCs/>
          <w:color w:val="333333"/>
          <w:sz w:val="21"/>
          <w:szCs w:val="21"/>
        </w:rPr>
        <w:t xml:space="preserve">Global surgical packages: </w:t>
      </w:r>
      <w:r>
        <w:rPr>
          <w:rFonts w:ascii="Arial" w:cs="Arial" w:eastAsia="Arial" w:hAnsi="Arial"/>
          <w:color w:val="333333"/>
          <w:sz w:val="21"/>
          <w:szCs w:val="21"/>
        </w:rPr>
        <w:t xml:space="preserve">Surgical CPT codes include a global period (0, 10, or 90 days) during which follow-up care is included in the surgical fee. Billing systems must prevent separate billing for included services within the global period.</w:t>
      </w:r>
    </w:p>
    <w:p>
      <w:r>
        <w:br w:type="page"/>
      </w:r>
    </w:p>
    <w:p>
      <w:pPr>
        <w:pStyle w:val="Heading1"/>
        <w:spacing w:before="360" w:after="200"/>
      </w:pPr>
      <w:r>
        <w:rPr>
          <w:rFonts w:ascii="Arial" w:cs="Arial" w:eastAsia="Arial" w:hAnsi="Arial"/>
          <w:b/>
          <w:bCs/>
          <w:color w:val="1B3A5C"/>
          <w:sz w:val="32"/>
          <w:szCs w:val="32"/>
        </w:rPr>
        <w:t xml:space="preserve">5. HCPCS Level II: Supplies, Equipment &amp; Services</w:t>
      </w:r>
    </w:p>
    <w:p>
      <w:pPr>
        <w:spacing w:after="160" w:line="276"/>
      </w:pPr>
      <w:r>
        <w:rPr>
          <w:rFonts w:ascii="Arial" w:cs="Arial" w:eastAsia="Arial" w:hAnsi="Arial"/>
          <w:color w:val="333333"/>
          <w:sz w:val="21"/>
          <w:szCs w:val="21"/>
        </w:rPr>
        <w:t xml:space="preserve">HCPCS (Healthcare Common Procedure Coding System) Level II codes are maintained by CMS and cover items and services not included in CPT, including durable medical equipment (DME), prosthetics, orthotics, supplies, ambulance services, and drugs administered by providers.</w:t>
      </w:r>
    </w:p>
    <w:p>
      <w:pPr>
        <w:pStyle w:val="Heading2"/>
        <w:spacing w:before="280" w:after="160"/>
      </w:pPr>
      <w:r>
        <w:rPr>
          <w:rFonts w:ascii="Arial" w:cs="Arial" w:eastAsia="Arial" w:hAnsi="Arial"/>
          <w:b/>
          <w:bCs/>
          <w:color w:val="2E75B6"/>
          <w:sz w:val="26"/>
          <w:szCs w:val="26"/>
        </w:rPr>
        <w:t xml:space="preserve">5.1 Code Structure</w:t>
      </w:r>
    </w:p>
    <w:p>
      <w:pPr>
        <w:spacing w:after="160" w:line="276"/>
      </w:pPr>
      <w:r>
        <w:rPr>
          <w:rFonts w:ascii="Arial" w:cs="Arial" w:eastAsia="Arial" w:hAnsi="Arial"/>
          <w:color w:val="333333"/>
          <w:sz w:val="21"/>
          <w:szCs w:val="21"/>
        </w:rPr>
        <w:t xml:space="preserve">HCPCS Level II codes are alphanumeric, consisting of one letter (A–V) followed by four digits.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Letter Range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A0000–A0999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Ambulance and transportation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A0427 (ALS emergency ambulance)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A4000–A8999</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Medical/surgical supplies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A4253 (Blood glucose test strips)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B4000–B9999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Enteral and parenteral therapy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B4150 (Enteral formula)</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C1000–C9999</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Hospital outpatient PPS (temporary)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C1713 (Anchor/screw for tissue to bone)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E0100–E9999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Durable medical equipment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E0601 (CPAP device)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G0000–G9999</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Temporary procedures/professional services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G0438 (Annual wellness visit, initial)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J0000–J9999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Drugs administered other than oral method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J1745 (Infliximab injection), J0171 (Adrenalin injection)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K0000–K9999</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DME (temporary codes)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K0823 (Power wheelchair, group 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L0000–L9999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Orthotic/prosthetic procedures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L1832 (Knee orthosis)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Q0000–Q9999</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Temporary codes (miscellaneous)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Q0144 (Azithromycin IV)</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S0000–S9999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Private payer codes (non-Medicare)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S0390 (Routine foot care)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V0000–V5999</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Vision and hearing services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V2020 (Eyeglass frames)</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5.2 J-Codes: Drug Administration</w:t>
      </w:r>
    </w:p>
    <w:p>
      <w:pPr>
        <w:spacing w:after="160" w:line="276"/>
      </w:pPr>
      <w:r>
        <w:rPr>
          <w:rFonts w:ascii="Arial" w:cs="Arial" w:eastAsia="Arial" w:hAnsi="Arial"/>
          <w:color w:val="333333"/>
          <w:sz w:val="21"/>
          <w:szCs w:val="21"/>
        </w:rPr>
        <w:t xml:space="preserve">J-codes are particularly important for healthcare IT because they drive medication billing for drugs administered in clinical settings (infusions, injections, chemotherapy).</w:t>
      </w:r>
    </w:p>
    <w:p>
      <w:pPr>
        <w:pStyle w:val="ListParagraph"/>
        <w:numPr>
          <w:ilvl w:val="0"/>
          <w:numId w:val="2"/>
        </w:numPr>
        <w:spacing w:after="80" w:line="276"/>
      </w:pPr>
      <w:r>
        <w:rPr>
          <w:rFonts w:ascii="Arial" w:cs="Arial" w:eastAsia="Arial" w:hAnsi="Arial"/>
          <w:b/>
          <w:bCs/>
          <w:color w:val="333333"/>
          <w:sz w:val="21"/>
          <w:szCs w:val="21"/>
        </w:rPr>
        <w:t xml:space="preserve">Unit definitions: </w:t>
      </w:r>
      <w:r>
        <w:rPr>
          <w:rFonts w:ascii="Arial" w:cs="Arial" w:eastAsia="Arial" w:hAnsi="Arial"/>
          <w:color w:val="333333"/>
          <w:sz w:val="21"/>
          <w:szCs w:val="21"/>
        </w:rPr>
        <w:t xml:space="preserve">Each J-code has a specific unit definition (e.g., J1745 = Infliximab, 10 mg). Billing systems must calculate units based on administered dose divided by the per-unit definition, rounding according to payer rules.</w:t>
      </w:r>
    </w:p>
    <w:p>
      <w:pPr>
        <w:pStyle w:val="ListParagraph"/>
        <w:numPr>
          <w:ilvl w:val="0"/>
          <w:numId w:val="2"/>
        </w:numPr>
        <w:spacing w:after="80" w:line="276"/>
      </w:pPr>
      <w:r>
        <w:rPr>
          <w:rFonts w:ascii="Arial" w:cs="Arial" w:eastAsia="Arial" w:hAnsi="Arial"/>
          <w:b/>
          <w:bCs/>
          <w:color w:val="333333"/>
          <w:sz w:val="21"/>
          <w:szCs w:val="21"/>
        </w:rPr>
        <w:t xml:space="preserve">NDC-to-HCPCS mapping: </w:t>
      </w:r>
      <w:r>
        <w:rPr>
          <w:rFonts w:ascii="Arial" w:cs="Arial" w:eastAsia="Arial" w:hAnsi="Arial"/>
          <w:color w:val="333333"/>
          <w:sz w:val="21"/>
          <w:szCs w:val="21"/>
        </w:rPr>
        <w:t xml:space="preserve">Pharmacy systems dispense by NDC; billing systems bill by J-code. IT systems must maintain accurate NDC-to-HCPCS crosswalks for charge capture.</w:t>
      </w:r>
    </w:p>
    <w:p>
      <w:pPr>
        <w:pStyle w:val="ListParagraph"/>
        <w:numPr>
          <w:ilvl w:val="0"/>
          <w:numId w:val="2"/>
        </w:numPr>
        <w:spacing w:after="80" w:line="276"/>
      </w:pPr>
      <w:r>
        <w:rPr>
          <w:rFonts w:ascii="Arial" w:cs="Arial" w:eastAsia="Arial" w:hAnsi="Arial"/>
          <w:b/>
          <w:bCs/>
          <w:color w:val="333333"/>
          <w:sz w:val="21"/>
          <w:szCs w:val="21"/>
        </w:rPr>
        <w:t xml:space="preserve">Drug waste documentation: </w:t>
      </w:r>
      <w:r>
        <w:rPr>
          <w:rFonts w:ascii="Arial" w:cs="Arial" w:eastAsia="Arial" w:hAnsi="Arial"/>
          <w:color w:val="333333"/>
          <w:sz w:val="21"/>
          <w:szCs w:val="21"/>
        </w:rPr>
        <w:t xml:space="preserve">When single-use vials have remaining drug after administration, waste must be documented and may be billable with modifier JW. IT systems must capture waste quantities.</w:t>
      </w:r>
    </w:p>
    <w:p>
      <w:pPr>
        <w:pStyle w:val="ListParagraph"/>
        <w:numPr>
          <w:ilvl w:val="0"/>
          <w:numId w:val="2"/>
        </w:numPr>
        <w:spacing w:after="80" w:line="276"/>
      </w:pPr>
      <w:r>
        <w:rPr>
          <w:rFonts w:ascii="Arial" w:cs="Arial" w:eastAsia="Arial" w:hAnsi="Arial"/>
          <w:b/>
          <w:bCs/>
          <w:color w:val="333333"/>
          <w:sz w:val="21"/>
          <w:szCs w:val="21"/>
        </w:rPr>
        <w:t xml:space="preserve">Buy-and-bill complexity: </w:t>
      </w:r>
      <w:r>
        <w:rPr>
          <w:rFonts w:ascii="Arial" w:cs="Arial" w:eastAsia="Arial" w:hAnsi="Arial"/>
          <w:color w:val="333333"/>
          <w:sz w:val="21"/>
          <w:szCs w:val="21"/>
        </w:rPr>
        <w:t xml:space="preserve">Provider-administered drugs are purchased by the provider (buy) and billed to the payer (bill). ASP (Average Sales Price) + 6% reimbursement for Medicare Part B drugs requires IT tracking of acquisition cost vs. reimbursement.</w:t>
      </w:r>
    </w:p>
    <w:p>
      <w:pPr>
        <w:pStyle w:val="Heading2"/>
        <w:spacing w:before="280" w:after="160"/>
      </w:pPr>
      <w:r>
        <w:rPr>
          <w:rFonts w:ascii="Arial" w:cs="Arial" w:eastAsia="Arial" w:hAnsi="Arial"/>
          <w:b/>
          <w:bCs/>
          <w:color w:val="2E75B6"/>
          <w:sz w:val="26"/>
          <w:szCs w:val="26"/>
        </w:rPr>
        <w:t xml:space="preserve">5.3 IT Implications for HCPCS</w:t>
      </w:r>
    </w:p>
    <w:p>
      <w:pPr>
        <w:pStyle w:val="ListParagraph"/>
        <w:numPr>
          <w:ilvl w:val="0"/>
          <w:numId w:val="2"/>
        </w:numPr>
        <w:spacing w:after="80" w:line="276"/>
      </w:pPr>
      <w:r>
        <w:rPr>
          <w:rFonts w:ascii="Arial" w:cs="Arial" w:eastAsia="Arial" w:hAnsi="Arial"/>
          <w:b/>
          <w:bCs/>
          <w:color w:val="333333"/>
          <w:sz w:val="21"/>
          <w:szCs w:val="21"/>
        </w:rPr>
        <w:t xml:space="preserve">Quarterly updates: </w:t>
      </w:r>
      <w:r>
        <w:rPr>
          <w:rFonts w:ascii="Arial" w:cs="Arial" w:eastAsia="Arial" w:hAnsi="Arial"/>
          <w:color w:val="333333"/>
          <w:sz w:val="21"/>
          <w:szCs w:val="21"/>
        </w:rPr>
        <w:t xml:space="preserve">Unlike CPT (annual), HCPCS codes update quarterly with new temporary codes, revisions, and deletions. IT systems must implement quarterly code table refreshes.</w:t>
      </w:r>
    </w:p>
    <w:p>
      <w:pPr>
        <w:pStyle w:val="ListParagraph"/>
        <w:numPr>
          <w:ilvl w:val="0"/>
          <w:numId w:val="2"/>
        </w:numPr>
        <w:spacing w:after="80" w:line="276"/>
      </w:pPr>
      <w:r>
        <w:rPr>
          <w:rFonts w:ascii="Arial" w:cs="Arial" w:eastAsia="Arial" w:hAnsi="Arial"/>
          <w:b/>
          <w:bCs/>
          <w:color w:val="333333"/>
          <w:sz w:val="21"/>
          <w:szCs w:val="21"/>
        </w:rPr>
        <w:t xml:space="preserve">DME billing workflows: </w:t>
      </w:r>
      <w:r>
        <w:rPr>
          <w:rFonts w:ascii="Arial" w:cs="Arial" w:eastAsia="Arial" w:hAnsi="Arial"/>
          <w:color w:val="333333"/>
          <w:sz w:val="21"/>
          <w:szCs w:val="21"/>
        </w:rPr>
        <w:t xml:space="preserve">DME codes require Certificate of Medical Necessity (CMN), detailed written orders, and proof of delivery. IT systems must manage CMN forms and documentation requirements.</w:t>
      </w:r>
    </w:p>
    <w:p>
      <w:pPr>
        <w:pStyle w:val="ListParagraph"/>
        <w:numPr>
          <w:ilvl w:val="0"/>
          <w:numId w:val="2"/>
        </w:numPr>
        <w:spacing w:after="80" w:line="276"/>
      </w:pPr>
      <w:r>
        <w:rPr>
          <w:rFonts w:ascii="Arial" w:cs="Arial" w:eastAsia="Arial" w:hAnsi="Arial"/>
          <w:b/>
          <w:bCs/>
          <w:color w:val="333333"/>
          <w:sz w:val="21"/>
          <w:szCs w:val="21"/>
        </w:rPr>
        <w:t xml:space="preserve">Payer-specific acceptance: </w:t>
      </w:r>
      <w:r>
        <w:rPr>
          <w:rFonts w:ascii="Arial" w:cs="Arial" w:eastAsia="Arial" w:hAnsi="Arial"/>
          <w:color w:val="333333"/>
          <w:sz w:val="21"/>
          <w:szCs w:val="21"/>
        </w:rPr>
        <w:t xml:space="preserve">Not all payers accept all HCPCS codes. S-codes are non-Medicare. Some payers require specific HCPCS codes where others accept CPT equivalents. Claims rules engines must handle payer-specific code acceptance.</w:t>
      </w:r>
    </w:p>
    <w:p>
      <w:r>
        <w:br w:type="page"/>
      </w:r>
    </w:p>
    <w:p>
      <w:pPr>
        <w:pStyle w:val="Heading1"/>
        <w:spacing w:before="360" w:after="200"/>
      </w:pPr>
      <w:r>
        <w:rPr>
          <w:rFonts w:ascii="Arial" w:cs="Arial" w:eastAsia="Arial" w:hAnsi="Arial"/>
          <w:b/>
          <w:bCs/>
          <w:color w:val="1B3A5C"/>
          <w:sz w:val="32"/>
          <w:szCs w:val="32"/>
        </w:rPr>
        <w:t xml:space="preserve">6. SNOMED CT: Clinical Terminology</w:t>
      </w:r>
    </w:p>
    <w:p>
      <w:pPr>
        <w:spacing w:after="160" w:line="276"/>
      </w:pPr>
      <w:r>
        <w:rPr>
          <w:rFonts w:ascii="Arial" w:cs="Arial" w:eastAsia="Arial" w:hAnsi="Arial"/>
          <w:color w:val="333333"/>
          <w:sz w:val="21"/>
          <w:szCs w:val="21"/>
        </w:rPr>
        <w:t xml:space="preserve">SNOMED CT (Systematized Nomenclature of Medicine — Clinical Terms) is the most comprehensive, multilingual clinical healthcare terminology in the world. Maintained by SNOMED International, it is the standard reference terminology for clinical documentation, clinical decision support, and semantic interoperability.</w:t>
      </w:r>
    </w:p>
    <w:p>
      <w:pPr>
        <w:spacing w:after="160" w:line="276"/>
      </w:pPr>
      <w:r>
        <w:rPr>
          <w:rFonts w:ascii="Arial" w:cs="Arial" w:eastAsia="Arial" w:hAnsi="Arial"/>
          <w:color w:val="333333"/>
          <w:sz w:val="21"/>
          <w:szCs w:val="21"/>
        </w:rPr>
        <w:t xml:space="preserve">While ICD and CPT are designed for billing and classification, SNOMED CT is designed for clinical care. It captures clinical meaning with far greater granularity than any billing code system, making it essential for EHR documentation, CDS, quality measurement, and health information exchange.</w:t>
      </w:r>
    </w:p>
    <w:p>
      <w:pPr>
        <w:pStyle w:val="Heading2"/>
        <w:spacing w:before="280" w:after="160"/>
      </w:pPr>
      <w:r>
        <w:rPr>
          <w:rFonts w:ascii="Arial" w:cs="Arial" w:eastAsia="Arial" w:hAnsi="Arial"/>
          <w:b/>
          <w:bCs/>
          <w:color w:val="2E75B6"/>
          <w:sz w:val="26"/>
          <w:szCs w:val="26"/>
        </w:rPr>
        <w:t xml:space="preserve">6.1 SNOMED CT Architecture</w:t>
      </w:r>
    </w:p>
    <w:p>
      <w:pPr>
        <w:pStyle w:val="Heading3"/>
        <w:spacing w:before="200" w:after="120"/>
      </w:pPr>
      <w:r>
        <w:rPr>
          <w:rFonts w:ascii="Arial" w:cs="Arial" w:eastAsia="Arial" w:hAnsi="Arial"/>
          <w:b/>
          <w:bCs/>
          <w:color w:val="1B3A5C"/>
          <w:sz w:val="22"/>
          <w:szCs w:val="22"/>
        </w:rPr>
        <w:t xml:space="preserve">6.1.1 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Concept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Unique clinical meaning with a numeric identifier (SCTID)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22298006 = Myocardial infarction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Description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Human-readable terms linked to concepts; each concept has a Fully Specified Name (FSN) and preferred/acceptable synonyms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FSN: Myocardial infarction (disorder); Synonym: Heart attack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Relationship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Defines how concepts relate to each other through attributes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Myocardial infarction IS-A Ischemic heart disease; Finding site = Heart structure</w:t>
            </w:r>
          </w:p>
        </w:tc>
      </w:tr>
    </w:tbl>
    <w:p>
      <w:pPr>
        <w:spacing w:after="160" w:line="276"/>
      </w:pPr>
      <w:r>
        <w:rPr>
          <w:rFonts w:ascii="Arial" w:cs="Arial" w:eastAsia="Arial" w:hAnsi="Arial"/>
          <w:color w:val="333333"/>
          <w:sz w:val="21"/>
          <w:szCs w:val="21"/>
        </w:rPr>
        <w:t xml:space="preserve"/>
      </w:r>
    </w:p>
    <w:p>
      <w:pPr>
        <w:pStyle w:val="Heading3"/>
        <w:spacing w:before="200" w:after="120"/>
      </w:pPr>
      <w:r>
        <w:rPr>
          <w:rFonts w:ascii="Arial" w:cs="Arial" w:eastAsia="Arial" w:hAnsi="Arial"/>
          <w:b/>
          <w:bCs/>
          <w:color w:val="1B3A5C"/>
          <w:sz w:val="22"/>
          <w:szCs w:val="22"/>
        </w:rPr>
        <w:t xml:space="preserve">6.1.2 Concept Hierarchies (Top-Level)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Hierarchy</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 Usage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Clinical finding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Disorders, diseases, symptoms, normal findings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Problem lists, diagnoses, symptoms in clinical documentation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Procedure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Clinical procedures and interventions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Procedure documentation, surgical history, order catalogs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Body structure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Anatomical structures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Laterality, anatomy references, surgical site documentation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Organism</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Bacteria, viruses, fungi, parasites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Microbiology results, infection documentation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Substance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Chemical substances, drugs, biological materials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Allergy documentation, substance exposure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Pharmaceutical/biologic product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Drug products and formulations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Medication documentation, drug CDS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Observable entity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Things that can be observed or measured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Lab test descriptions, clinical observations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Qualifier value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Values for attributes (severity, laterality, etc.)</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Severity qualifiers, episodicity, course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Situation with explicit context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Clinical situations including context (family history, risk, etc.)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Family history, risk factors, patient context</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6.2 SNOMED CT Expression &amp; Post-Coordination</w:t>
      </w:r>
    </w:p>
    <w:p>
      <w:pPr>
        <w:spacing w:after="160" w:line="276"/>
      </w:pPr>
      <w:r>
        <w:rPr>
          <w:rFonts w:ascii="Arial" w:cs="Arial" w:eastAsia="Arial" w:hAnsi="Arial"/>
          <w:color w:val="333333"/>
          <w:sz w:val="21"/>
          <w:szCs w:val="21"/>
        </w:rPr>
        <w:t xml:space="preserve">SNOMED CT supports both pre-coordinated concepts (single concepts with full meaning) and post-coordinated expressions (combining concepts with relationships to create more specific meanings).</w:t>
      </w:r>
    </w:p>
    <w:p>
      <w:pPr>
        <w:pStyle w:val="ListParagraph"/>
        <w:numPr>
          <w:ilvl w:val="0"/>
          <w:numId w:val="2"/>
        </w:numPr>
        <w:spacing w:after="80" w:line="276"/>
      </w:pPr>
      <w:r>
        <w:rPr>
          <w:rFonts w:ascii="Arial" w:cs="Arial" w:eastAsia="Arial" w:hAnsi="Arial"/>
          <w:b/>
          <w:bCs/>
          <w:color w:val="333333"/>
          <w:sz w:val="21"/>
          <w:szCs w:val="21"/>
        </w:rPr>
        <w:t xml:space="preserve">Pre-coordinated: </w:t>
      </w:r>
      <w:r>
        <w:rPr>
          <w:rFonts w:ascii="Arial" w:cs="Arial" w:eastAsia="Arial" w:hAnsi="Arial"/>
          <w:color w:val="333333"/>
          <w:sz w:val="21"/>
          <w:szCs w:val="21"/>
        </w:rPr>
        <w:t xml:space="preserve">A single concept ID captures the full meaning. Example: 399211009 = History of myocardial infarction. Pre-coordination is simpler for IT systems to store and query.</w:t>
      </w:r>
    </w:p>
    <w:p>
      <w:pPr>
        <w:pStyle w:val="ListParagraph"/>
        <w:numPr>
          <w:ilvl w:val="0"/>
          <w:numId w:val="2"/>
        </w:numPr>
        <w:spacing w:after="80" w:line="276"/>
      </w:pPr>
      <w:r>
        <w:rPr>
          <w:rFonts w:ascii="Arial" w:cs="Arial" w:eastAsia="Arial" w:hAnsi="Arial"/>
          <w:b/>
          <w:bCs/>
          <w:color w:val="333333"/>
          <w:sz w:val="21"/>
          <w:szCs w:val="21"/>
        </w:rPr>
        <w:t xml:space="preserve">Post-coordinated: </w:t>
      </w:r>
      <w:r>
        <w:rPr>
          <w:rFonts w:ascii="Arial" w:cs="Arial" w:eastAsia="Arial" w:hAnsi="Arial"/>
          <w:color w:val="333333"/>
          <w:sz w:val="21"/>
          <w:szCs w:val="21"/>
        </w:rPr>
        <w:t xml:space="preserve">Multiple concepts combined to express specific meaning. Example: 22298006 |Myocardial infarction| : 363698007 |Finding site| = 80891009 |Heart structure|, 246112005 |Severity| = 24484000 |Severe|. Post-coordination requires expression parsing and compositional grammar support in IT systems.</w:t>
      </w:r>
    </w:p>
    <w:p>
      <w:pPr>
        <w:pStyle w:val="Heading2"/>
        <w:spacing w:before="280" w:after="160"/>
      </w:pPr>
      <w:r>
        <w:rPr>
          <w:rFonts w:ascii="Arial" w:cs="Arial" w:eastAsia="Arial" w:hAnsi="Arial"/>
          <w:b/>
          <w:bCs/>
          <w:color w:val="2E75B6"/>
          <w:sz w:val="26"/>
          <w:szCs w:val="26"/>
        </w:rPr>
        <w:t xml:space="preserve">6.3 SNOMED CT in Healthcare IT</w:t>
      </w:r>
    </w:p>
    <w:p>
      <w:pPr>
        <w:pStyle w:val="ListParagraph"/>
        <w:numPr>
          <w:ilvl w:val="0"/>
          <w:numId w:val="2"/>
        </w:numPr>
        <w:spacing w:after="80" w:line="276"/>
      </w:pPr>
      <w:r>
        <w:rPr>
          <w:rFonts w:ascii="Arial" w:cs="Arial" w:eastAsia="Arial" w:hAnsi="Arial"/>
          <w:b/>
          <w:bCs/>
          <w:color w:val="333333"/>
          <w:sz w:val="21"/>
          <w:szCs w:val="21"/>
        </w:rPr>
        <w:t xml:space="preserve">EHR problem lists: </w:t>
      </w:r>
      <w:r>
        <w:rPr>
          <w:rFonts w:ascii="Arial" w:cs="Arial" w:eastAsia="Arial" w:hAnsi="Arial"/>
          <w:color w:val="333333"/>
          <w:sz w:val="21"/>
          <w:szCs w:val="21"/>
        </w:rPr>
        <w:t xml:space="preserve">SNOMED CT is the recommended terminology for problem list documentation in US EHRs (ONC CEHRT requirements). IT systems must provide SNOMED CT-enabled search and selection for clinical problems.</w:t>
      </w:r>
    </w:p>
    <w:p>
      <w:pPr>
        <w:pStyle w:val="ListParagraph"/>
        <w:numPr>
          <w:ilvl w:val="0"/>
          <w:numId w:val="2"/>
        </w:numPr>
        <w:spacing w:after="80" w:line="276"/>
      </w:pPr>
      <w:r>
        <w:rPr>
          <w:rFonts w:ascii="Arial" w:cs="Arial" w:eastAsia="Arial" w:hAnsi="Arial"/>
          <w:b/>
          <w:bCs/>
          <w:color w:val="333333"/>
          <w:sz w:val="21"/>
          <w:szCs w:val="21"/>
        </w:rPr>
        <w:t xml:space="preserve">Clinical Decision Support: </w:t>
      </w:r>
      <w:r>
        <w:rPr>
          <w:rFonts w:ascii="Arial" w:cs="Arial" w:eastAsia="Arial" w:hAnsi="Arial"/>
          <w:color w:val="333333"/>
          <w:sz w:val="21"/>
          <w:szCs w:val="21"/>
        </w:rPr>
        <w:t xml:space="preserve">CDS rules reference SNOMED CT concepts and their hierarchical relationships. IS-A relationships enable rules that fire for all subtypes of a condition (e.g., a sepsis alert that fires for any descendant of ‘Sepsis’ concept).</w:t>
      </w:r>
    </w:p>
    <w:p>
      <w:pPr>
        <w:pStyle w:val="ListParagraph"/>
        <w:numPr>
          <w:ilvl w:val="0"/>
          <w:numId w:val="2"/>
        </w:numPr>
        <w:spacing w:after="80" w:line="276"/>
      </w:pPr>
      <w:r>
        <w:rPr>
          <w:rFonts w:ascii="Arial" w:cs="Arial" w:eastAsia="Arial" w:hAnsi="Arial"/>
          <w:b/>
          <w:bCs/>
          <w:color w:val="333333"/>
          <w:sz w:val="21"/>
          <w:szCs w:val="21"/>
        </w:rPr>
        <w:t xml:space="preserve">Interoperability (FHIR): </w:t>
      </w:r>
      <w:r>
        <w:rPr>
          <w:rFonts w:ascii="Arial" w:cs="Arial" w:eastAsia="Arial" w:hAnsi="Arial"/>
          <w:color w:val="333333"/>
          <w:sz w:val="21"/>
          <w:szCs w:val="21"/>
        </w:rPr>
        <w:t xml:space="preserve">FHIR resources use SNOMED CT as the preferred clinical coding system for Condition, Procedure, AllergyIntolerance, and other clinical resources. USCDI requires SNOMED CT for problem list entries.</w:t>
      </w:r>
    </w:p>
    <w:p>
      <w:pPr>
        <w:pStyle w:val="ListParagraph"/>
        <w:numPr>
          <w:ilvl w:val="0"/>
          <w:numId w:val="2"/>
        </w:numPr>
        <w:spacing w:after="80" w:line="276"/>
      </w:pPr>
      <w:r>
        <w:rPr>
          <w:rFonts w:ascii="Arial" w:cs="Arial" w:eastAsia="Arial" w:hAnsi="Arial"/>
          <w:b/>
          <w:bCs/>
          <w:color w:val="333333"/>
          <w:sz w:val="21"/>
          <w:szCs w:val="21"/>
        </w:rPr>
        <w:t xml:space="preserve">Mapping to ICD-10-CM: </w:t>
      </w:r>
      <w:r>
        <w:rPr>
          <w:rFonts w:ascii="Arial" w:cs="Arial" w:eastAsia="Arial" w:hAnsi="Arial"/>
          <w:color w:val="333333"/>
          <w:sz w:val="21"/>
          <w:szCs w:val="21"/>
        </w:rPr>
        <w:t xml:space="preserve">SNOMED CT provides maps to ICD-10-CM for billing purposes. These maps enable clinical documentation in SNOMED CT with automated mapping to ICD-10-CM for claims. Maps are maintained by NLM and distributed with SNOMED CT releases.</w:t>
      </w:r>
    </w:p>
    <w:p>
      <w:pPr>
        <w:pStyle w:val="ListParagraph"/>
        <w:numPr>
          <w:ilvl w:val="0"/>
          <w:numId w:val="2"/>
        </w:numPr>
        <w:spacing w:after="80" w:line="276"/>
      </w:pPr>
      <w:r>
        <w:rPr>
          <w:rFonts w:ascii="Arial" w:cs="Arial" w:eastAsia="Arial" w:hAnsi="Arial"/>
          <w:b/>
          <w:bCs/>
          <w:color w:val="333333"/>
          <w:sz w:val="21"/>
          <w:szCs w:val="21"/>
        </w:rPr>
        <w:t xml:space="preserve">Reference sets (Refsets): </w:t>
      </w:r>
      <w:r>
        <w:rPr>
          <w:rFonts w:ascii="Arial" w:cs="Arial" w:eastAsia="Arial" w:hAnsi="Arial"/>
          <w:color w:val="333333"/>
          <w:sz w:val="21"/>
          <w:szCs w:val="21"/>
        </w:rPr>
        <w:t xml:space="preserve">Subsets of SNOMED CT concepts curated for specific use cases. The US Edition includes value sets for USCDI, quality measures, and CDS. IT systems use refsets to constrain pick lists and validate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AF7EF" w:val="clear"/>
            <w:tcMar>
              <w:top w:type="dxa" w:w="120"/>
              <w:left w:type="dxa" w:w="200"/>
              <w:bottom w:type="dxa" w:w="120"/>
              <w:right w:type="dxa" w:w="200"/>
            </w:tcMar>
          </w:tcPr>
          <w:p>
            <w:pPr>
              <w:spacing w:after="80"/>
            </w:pPr>
            <w:r>
              <w:rPr>
                <w:rFonts w:ascii="Arial" w:cs="Arial" w:eastAsia="Arial" w:hAnsi="Arial"/>
                <w:b/>
                <w:bCs/>
                <w:color w:val="27AE60"/>
                <w:sz w:val="21"/>
                <w:szCs w:val="21"/>
              </w:rPr>
              <w:t xml:space="preserve">Key Differentiator</w:t>
            </w:r>
          </w:p>
          <w:p>
            <w:pPr>
              <w:spacing w:after="0" w:line="276"/>
            </w:pPr>
            <w:r>
              <w:rPr>
                <w:rFonts w:ascii="Arial" w:cs="Arial" w:eastAsia="Arial" w:hAnsi="Arial"/>
                <w:i/>
                <w:iCs/>
                <w:color w:val="333333"/>
                <w:sz w:val="20"/>
                <w:szCs w:val="20"/>
              </w:rPr>
              <w:t xml:space="preserve">SNOMED CT is for clinical meaning; ICD-10-CM is for billing classification. A single SNOMED CT concept like ‘Type 2 diabetes mellitus with diabetic chronic kidney disease’ may map to two ICD-10-CM codes (E11.22 + N18.9) that must be sequenced correctly. IT systems that support SNOMED-to-ICD mapping at the point of documentation can dramatically improve coding accuracy and revenue capture.</w:t>
            </w:r>
          </w:p>
        </w:tc>
      </w:tr>
    </w:tbl>
    <w:p>
      <w:pPr>
        <w:spacing w:after="160" w:line="276"/>
      </w:pPr>
      <w:r>
        <w:rPr>
          <w:rFonts w:ascii="Arial" w:cs="Arial" w:eastAsia="Arial" w:hAnsi="Arial"/>
          <w:color w:val="333333"/>
          <w:sz w:val="21"/>
          <w:szCs w:val="21"/>
        </w:rPr>
        <w:t xml:space="preserve"/>
      </w:r>
    </w:p>
    <w:p>
      <w:r>
        <w:br w:type="page"/>
      </w:r>
    </w:p>
    <w:p>
      <w:pPr>
        <w:pStyle w:val="Heading1"/>
        <w:spacing w:before="360" w:after="200"/>
      </w:pPr>
      <w:r>
        <w:rPr>
          <w:rFonts w:ascii="Arial" w:cs="Arial" w:eastAsia="Arial" w:hAnsi="Arial"/>
          <w:b/>
          <w:bCs/>
          <w:color w:val="1B3A5C"/>
          <w:sz w:val="32"/>
          <w:szCs w:val="32"/>
        </w:rPr>
        <w:t xml:space="preserve">7. LOINC: Laboratory &amp; Clinical Observation Codes</w:t>
      </w:r>
    </w:p>
    <w:p>
      <w:pPr>
        <w:spacing w:after="160" w:line="276"/>
      </w:pPr>
      <w:r>
        <w:rPr>
          <w:rFonts w:ascii="Arial" w:cs="Arial" w:eastAsia="Arial" w:hAnsi="Arial"/>
          <w:color w:val="333333"/>
          <w:sz w:val="21"/>
          <w:szCs w:val="21"/>
        </w:rPr>
        <w:t xml:space="preserve">LOINC (Logical Observation Identifiers Names and Codes) is the universal standard for identifying laboratory tests, clinical observations, surveys, and clinical documents. Maintained by the Regenstrief Institute, LOINC is freely available and is required for laboratory result reporting in US EHR certification and interoperability standards.</w:t>
      </w:r>
    </w:p>
    <w:p>
      <w:pPr>
        <w:pStyle w:val="Heading2"/>
        <w:spacing w:before="280" w:after="160"/>
      </w:pPr>
      <w:r>
        <w:rPr>
          <w:rFonts w:ascii="Arial" w:cs="Arial" w:eastAsia="Arial" w:hAnsi="Arial"/>
          <w:b/>
          <w:bCs/>
          <w:color w:val="2E75B6"/>
          <w:sz w:val="26"/>
          <w:szCs w:val="26"/>
        </w:rPr>
        <w:t xml:space="preserve">7.1 LOINC Code Structure</w:t>
      </w:r>
    </w:p>
    <w:p>
      <w:pPr>
        <w:spacing w:after="160" w:line="276"/>
      </w:pPr>
      <w:r>
        <w:rPr>
          <w:rFonts w:ascii="Arial" w:cs="Arial" w:eastAsia="Arial" w:hAnsi="Arial"/>
          <w:color w:val="333333"/>
          <w:sz w:val="21"/>
          <w:szCs w:val="21"/>
        </w:rPr>
        <w:t xml:space="preserve">Each LOINC code is a unique numeric identifier with a check digit (e.g., 2160-0 for Creatinine in Serum/Plasma). The code itself is an opaque identifier — the meaning is defined by six axes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800"/>
        <w:gridCol w:w="3760"/>
      </w:tblGrid>
      <w:tr>
        <w:trPr>
          <w:tblHeader/>
        </w:trP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Axis</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 (LOINC 2160-0)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Component (Analyte)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What is measured or observed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Creatinine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Property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Characteristic of the component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MCnc (Mass concentration)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 Aspect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Point in time vs. over time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Pt (Point in time)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System (Specimen)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Specimen type or body system</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Ser/Plas (Serum or Plasma)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Measurement scale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Qn (Quantitative)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Method (optional)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Measurement methodology</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Jaffe (or unspecified)</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7.2 LOINC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Laboratory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Clinical chemistry, hematology, microbiology, blood bank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2160-0 (Creatinine), 718-7 (Hemoglobin), 600-7 (Bacteria identified in blood)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Clinical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Vital signs, intake/output, assessments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8310-5 (Body temperature), 8867-4 (Heart rate), 29463-7 (Body weight)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Survey/Assessments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Standardized screening instruments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44249-1 (PHQ-9 total score), 69737-5 (GAD-7 total score)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Document Ontology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Clinical document types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11488-4 (Consult note), 18842-5 (Discharge summary), 34117-2 (H&amp;P note)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Nursing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Nursing assessments and observations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Braden Scale components, pain assessments, fall risk assessments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Radiology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Imaging study types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24627-2 (Chest X-ray), 36643-5 (CT head without contrast)</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7.3 LOINC in Healthcare IT</w:t>
      </w:r>
    </w:p>
    <w:p>
      <w:pPr>
        <w:pStyle w:val="ListParagraph"/>
        <w:numPr>
          <w:ilvl w:val="0"/>
          <w:numId w:val="2"/>
        </w:numPr>
        <w:spacing w:after="80" w:line="276"/>
      </w:pPr>
      <w:r>
        <w:rPr>
          <w:rFonts w:ascii="Arial" w:cs="Arial" w:eastAsia="Arial" w:hAnsi="Arial"/>
          <w:b/>
          <w:bCs/>
          <w:color w:val="333333"/>
          <w:sz w:val="21"/>
          <w:szCs w:val="21"/>
        </w:rPr>
        <w:t xml:space="preserve">Lab result interoperability: </w:t>
      </w:r>
      <w:r>
        <w:rPr>
          <w:rFonts w:ascii="Arial" w:cs="Arial" w:eastAsia="Arial" w:hAnsi="Arial"/>
          <w:color w:val="333333"/>
          <w:sz w:val="21"/>
          <w:szCs w:val="21"/>
        </w:rPr>
        <w:t xml:space="preserve">LOINC is required for lab result coding in HL7 v2.x ORU messages (OBX-3 field) and FHIR Observation resources. Without LOINC mapping, lab results cannot be exchanged meaningfully between systems.</w:t>
      </w:r>
    </w:p>
    <w:p>
      <w:pPr>
        <w:pStyle w:val="ListParagraph"/>
        <w:numPr>
          <w:ilvl w:val="0"/>
          <w:numId w:val="2"/>
        </w:numPr>
        <w:spacing w:after="80" w:line="276"/>
      </w:pPr>
      <w:r>
        <w:rPr>
          <w:rFonts w:ascii="Arial" w:cs="Arial" w:eastAsia="Arial" w:hAnsi="Arial"/>
          <w:b/>
          <w:bCs/>
          <w:color w:val="333333"/>
          <w:sz w:val="21"/>
          <w:szCs w:val="21"/>
        </w:rPr>
        <w:t xml:space="preserve">USCDI requirement: </w:t>
      </w:r>
      <w:r>
        <w:rPr>
          <w:rFonts w:ascii="Arial" w:cs="Arial" w:eastAsia="Arial" w:hAnsi="Arial"/>
          <w:color w:val="333333"/>
          <w:sz w:val="21"/>
          <w:szCs w:val="21"/>
        </w:rPr>
        <w:t xml:space="preserve">LOINC is the required code system for laboratory results, vital signs, and clinical notes in USCDI. Certified EHR systems must support LOINC-coded data.</w:t>
      </w:r>
    </w:p>
    <w:p>
      <w:pPr>
        <w:pStyle w:val="ListParagraph"/>
        <w:numPr>
          <w:ilvl w:val="0"/>
          <w:numId w:val="2"/>
        </w:numPr>
        <w:spacing w:after="80" w:line="276"/>
      </w:pPr>
      <w:r>
        <w:rPr>
          <w:rFonts w:ascii="Arial" w:cs="Arial" w:eastAsia="Arial" w:hAnsi="Arial"/>
          <w:b/>
          <w:bCs/>
          <w:color w:val="333333"/>
          <w:sz w:val="21"/>
          <w:szCs w:val="21"/>
        </w:rPr>
        <w:t xml:space="preserve">Local code mapping: </w:t>
      </w:r>
      <w:r>
        <w:rPr>
          <w:rFonts w:ascii="Arial" w:cs="Arial" w:eastAsia="Arial" w:hAnsi="Arial"/>
          <w:color w:val="333333"/>
          <w:sz w:val="21"/>
          <w:szCs w:val="21"/>
        </w:rPr>
        <w:t xml:space="preserve">Every laboratory has local test codes (internal codes for their instruments and LIS). These local codes must be mapped to LOINC for interoperability. Maintaining accurate local-to-LOINC maps is a major ongoing IT effort.</w:t>
      </w:r>
    </w:p>
    <w:p>
      <w:pPr>
        <w:pStyle w:val="ListParagraph"/>
        <w:numPr>
          <w:ilvl w:val="0"/>
          <w:numId w:val="2"/>
        </w:numPr>
        <w:spacing w:after="80" w:line="276"/>
      </w:pPr>
      <w:r>
        <w:rPr>
          <w:rFonts w:ascii="Arial" w:cs="Arial" w:eastAsia="Arial" w:hAnsi="Arial"/>
          <w:b/>
          <w:bCs/>
          <w:color w:val="333333"/>
          <w:sz w:val="21"/>
          <w:szCs w:val="21"/>
        </w:rPr>
        <w:t xml:space="preserve">RELMA (Regenstrief LOINC Mapping Assistant): </w:t>
      </w:r>
      <w:r>
        <w:rPr>
          <w:rFonts w:ascii="Arial" w:cs="Arial" w:eastAsia="Arial" w:hAnsi="Arial"/>
          <w:color w:val="333333"/>
          <w:sz w:val="21"/>
          <w:szCs w:val="21"/>
        </w:rPr>
        <w:t xml:space="preserve">Free tool from Regenstrief that assists in mapping local laboratory test codes to LOINC. Essential for integration projects.</w:t>
      </w:r>
    </w:p>
    <w:p>
      <w:pPr>
        <w:pStyle w:val="ListParagraph"/>
        <w:numPr>
          <w:ilvl w:val="0"/>
          <w:numId w:val="2"/>
        </w:numPr>
        <w:spacing w:after="80" w:line="276"/>
      </w:pPr>
      <w:r>
        <w:rPr>
          <w:rFonts w:ascii="Arial" w:cs="Arial" w:eastAsia="Arial" w:hAnsi="Arial"/>
          <w:b/>
          <w:bCs/>
          <w:color w:val="333333"/>
          <w:sz w:val="21"/>
          <w:szCs w:val="21"/>
        </w:rPr>
        <w:t xml:space="preserve">Panels and order codes: </w:t>
      </w:r>
      <w:r>
        <w:rPr>
          <w:rFonts w:ascii="Arial" w:cs="Arial" w:eastAsia="Arial" w:hAnsi="Arial"/>
          <w:color w:val="333333"/>
          <w:sz w:val="21"/>
          <w:szCs w:val="21"/>
        </w:rPr>
        <w:t xml:space="preserve">LOINC defines both individual observations and panels (groups of related tests, e.g., 24323-8 = Comprehensive Metabolic Panel). Panel definitions facilitate structured order entry and result grouping.</w:t>
      </w:r>
    </w:p>
    <w:p>
      <w:r>
        <w:br w:type="page"/>
      </w:r>
    </w:p>
    <w:p>
      <w:pPr>
        <w:pStyle w:val="Heading1"/>
        <w:spacing w:before="360" w:after="200"/>
      </w:pPr>
      <w:r>
        <w:rPr>
          <w:rFonts w:ascii="Arial" w:cs="Arial" w:eastAsia="Arial" w:hAnsi="Arial"/>
          <w:b/>
          <w:bCs/>
          <w:color w:val="1B3A5C"/>
          <w:sz w:val="32"/>
          <w:szCs w:val="32"/>
        </w:rPr>
        <w:t xml:space="preserve">8. RxNorm &amp; NDC: Medication Coding Systems</w:t>
      </w:r>
    </w:p>
    <w:p>
      <w:pPr>
        <w:pStyle w:val="Heading2"/>
        <w:spacing w:before="280" w:after="160"/>
      </w:pPr>
      <w:r>
        <w:rPr>
          <w:rFonts w:ascii="Arial" w:cs="Arial" w:eastAsia="Arial" w:hAnsi="Arial"/>
          <w:b/>
          <w:bCs/>
          <w:color w:val="2E75B6"/>
          <w:sz w:val="26"/>
          <w:szCs w:val="26"/>
        </w:rPr>
        <w:t xml:space="preserve">8.1 RxNorm</w:t>
      </w:r>
    </w:p>
    <w:p>
      <w:pPr>
        <w:spacing w:after="160" w:line="276"/>
      </w:pPr>
      <w:r>
        <w:rPr>
          <w:rFonts w:ascii="Arial" w:cs="Arial" w:eastAsia="Arial" w:hAnsi="Arial"/>
          <w:color w:val="333333"/>
          <w:sz w:val="21"/>
          <w:szCs w:val="21"/>
        </w:rPr>
        <w:t xml:space="preserve">RxNorm is a normalized naming system for clinical drugs maintained by the National Library of Medicine (NLM). It provides a common language for communicating drug information across systems that use different drug vocabularies, serving as the Rosetta Stone of medication terminology.</w:t>
      </w:r>
    </w:p>
    <w:p>
      <w:pPr>
        <w:pStyle w:val="Heading3"/>
        <w:spacing w:before="200" w:after="120"/>
      </w:pPr>
      <w:r>
        <w:rPr>
          <w:rFonts w:ascii="Arial" w:cs="Arial" w:eastAsia="Arial" w:hAnsi="Arial"/>
          <w:b/>
          <w:bCs/>
          <w:color w:val="1B3A5C"/>
          <w:sz w:val="22"/>
          <w:szCs w:val="22"/>
        </w:rPr>
        <w:t xml:space="preserve">8.1.1 RxNorm Concept Types (Term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000"/>
        <w:gridCol w:w="3360"/>
      </w:tblGrid>
      <w:tr>
        <w:trPr>
          <w:tblHeader/>
        </w:trP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Term Type (TTY)</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Ingredient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Active ingredient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Acetaminophen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PIN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Precise Ingredient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Specific chemical form</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Acetaminophen (as base)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SCDC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Semantic Clinical Drug Component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Ingredient + Strength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Acetaminophen 500 MG</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SCDF</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Semantic Clinical Drug Form</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Ingredient + Dose Form</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Acetaminophen Oral Tablet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Semantic Clinical Drug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Ingredient + Strength + Dose Form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Acetaminophen 500 MG Oral Tablet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Brand Name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Proprietary drug name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Tylenol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SBD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Semantic Branded Drug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Brand + Strength + Dose Form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Tylenol 500 MG Oral Tablet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GPCK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Generic Pack</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Multiple clinical drugs in a pack</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{24 (Ethinyl Estradiol...) / 7 (Inert...)} Pack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BPCK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Branded Pack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Multiple branded drugs in a pack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Ortho-Novum 7/7/7 28 Day Pack</w:t>
            </w:r>
          </w:p>
        </w:tc>
      </w:tr>
    </w:tbl>
    <w:p>
      <w:pPr>
        <w:spacing w:after="160" w:line="276"/>
      </w:pPr>
      <w:r>
        <w:rPr>
          <w:rFonts w:ascii="Arial" w:cs="Arial" w:eastAsia="Arial" w:hAnsi="Arial"/>
          <w:color w:val="333333"/>
          <w:sz w:val="21"/>
          <w:szCs w:val="21"/>
        </w:rPr>
        <w:t xml:space="preserve"/>
      </w:r>
    </w:p>
    <w:p>
      <w:pPr>
        <w:pStyle w:val="Heading3"/>
        <w:spacing w:before="200" w:after="120"/>
      </w:pPr>
      <w:r>
        <w:rPr>
          <w:rFonts w:ascii="Arial" w:cs="Arial" w:eastAsia="Arial" w:hAnsi="Arial"/>
          <w:b/>
          <w:bCs/>
          <w:color w:val="1B3A5C"/>
          <w:sz w:val="22"/>
          <w:szCs w:val="22"/>
        </w:rPr>
        <w:t xml:space="preserve">8.1.2 RxNorm in Healthcare IT</w:t>
      </w:r>
    </w:p>
    <w:p>
      <w:pPr>
        <w:pStyle w:val="ListParagraph"/>
        <w:numPr>
          <w:ilvl w:val="0"/>
          <w:numId w:val="2"/>
        </w:numPr>
        <w:spacing w:after="80" w:line="276"/>
      </w:pPr>
      <w:r>
        <w:rPr>
          <w:rFonts w:ascii="Arial" w:cs="Arial" w:eastAsia="Arial" w:hAnsi="Arial"/>
          <w:b/>
          <w:bCs/>
          <w:color w:val="333333"/>
          <w:sz w:val="21"/>
          <w:szCs w:val="21"/>
        </w:rPr>
        <w:t xml:space="preserve">Medication interoperability: </w:t>
      </w:r>
      <w:r>
        <w:rPr>
          <w:rFonts w:ascii="Arial" w:cs="Arial" w:eastAsia="Arial" w:hAnsi="Arial"/>
          <w:color w:val="333333"/>
          <w:sz w:val="21"/>
          <w:szCs w:val="21"/>
        </w:rPr>
        <w:t xml:space="preserve">RxNorm is required for medication data exchange in USCDI, FHIR MedicationRequest/MedicationStatement resources, and C-CDA documents. It enables semantic understanding of medications across systems.</w:t>
      </w:r>
    </w:p>
    <w:p>
      <w:pPr>
        <w:pStyle w:val="ListParagraph"/>
        <w:numPr>
          <w:ilvl w:val="0"/>
          <w:numId w:val="2"/>
        </w:numPr>
        <w:spacing w:after="80" w:line="276"/>
      </w:pPr>
      <w:r>
        <w:rPr>
          <w:rFonts w:ascii="Arial" w:cs="Arial" w:eastAsia="Arial" w:hAnsi="Arial"/>
          <w:b/>
          <w:bCs/>
          <w:color w:val="333333"/>
          <w:sz w:val="21"/>
          <w:szCs w:val="21"/>
        </w:rPr>
        <w:t xml:space="preserve">Drug interaction checking: </w:t>
      </w:r>
      <w:r>
        <w:rPr>
          <w:rFonts w:ascii="Arial" w:cs="Arial" w:eastAsia="Arial" w:hAnsi="Arial"/>
          <w:color w:val="333333"/>
          <w:sz w:val="21"/>
          <w:szCs w:val="21"/>
        </w:rPr>
        <w:t xml:space="preserve">CDS systems use RxNorm ingredient-level concepts to check drug-drug interactions, drug-allergy cross-references, and duplicate therapy detection.</w:t>
      </w:r>
    </w:p>
    <w:p>
      <w:pPr>
        <w:pStyle w:val="ListParagraph"/>
        <w:numPr>
          <w:ilvl w:val="0"/>
          <w:numId w:val="2"/>
        </w:numPr>
        <w:spacing w:after="80" w:line="276"/>
      </w:pPr>
      <w:r>
        <w:rPr>
          <w:rFonts w:ascii="Arial" w:cs="Arial" w:eastAsia="Arial" w:hAnsi="Arial"/>
          <w:b/>
          <w:bCs/>
          <w:color w:val="333333"/>
          <w:sz w:val="21"/>
          <w:szCs w:val="21"/>
        </w:rPr>
        <w:t xml:space="preserve">Formulary and benefit checking: </w:t>
      </w:r>
      <w:r>
        <w:rPr>
          <w:rFonts w:ascii="Arial" w:cs="Arial" w:eastAsia="Arial" w:hAnsi="Arial"/>
          <w:color w:val="333333"/>
          <w:sz w:val="21"/>
          <w:szCs w:val="21"/>
        </w:rPr>
        <w:t xml:space="preserve">Surescripts Real-Time Prescription Benefit (RTPB) uses RxNorm to communicate formulary status, patient cost, and therapeutic alternatives between EHR and pharmacy benefit managers.</w:t>
      </w:r>
    </w:p>
    <w:p>
      <w:pPr>
        <w:pStyle w:val="ListParagraph"/>
        <w:numPr>
          <w:ilvl w:val="0"/>
          <w:numId w:val="2"/>
        </w:numPr>
        <w:spacing w:after="80" w:line="276"/>
      </w:pPr>
      <w:r>
        <w:rPr>
          <w:rFonts w:ascii="Arial" w:cs="Arial" w:eastAsia="Arial" w:hAnsi="Arial"/>
          <w:b/>
          <w:bCs/>
          <w:color w:val="333333"/>
          <w:sz w:val="21"/>
          <w:szCs w:val="21"/>
        </w:rPr>
        <w:t xml:space="preserve">Medication reconciliation: </w:t>
      </w:r>
      <w:r>
        <w:rPr>
          <w:rFonts w:ascii="Arial" w:cs="Arial" w:eastAsia="Arial" w:hAnsi="Arial"/>
          <w:color w:val="333333"/>
          <w:sz w:val="21"/>
          <w:szCs w:val="21"/>
        </w:rPr>
        <w:t xml:space="preserve">RxNorm normalization enables matching medications across different data sources (hospital formulary, retail pharmacy, patient self-report, Surescripts medication history) during medication reconciliation.</w:t>
      </w:r>
    </w:p>
    <w:p>
      <w:pPr>
        <w:pStyle w:val="ListParagraph"/>
        <w:numPr>
          <w:ilvl w:val="0"/>
          <w:numId w:val="2"/>
        </w:numPr>
        <w:spacing w:after="80" w:line="276"/>
      </w:pPr>
      <w:r>
        <w:rPr>
          <w:rFonts w:ascii="Arial" w:cs="Arial" w:eastAsia="Arial" w:hAnsi="Arial"/>
          <w:b/>
          <w:bCs/>
          <w:color w:val="333333"/>
          <w:sz w:val="21"/>
          <w:szCs w:val="21"/>
        </w:rPr>
        <w:t xml:space="preserve">RxNorm API: </w:t>
      </w:r>
      <w:r>
        <w:rPr>
          <w:rFonts w:ascii="Arial" w:cs="Arial" w:eastAsia="Arial" w:hAnsi="Arial"/>
          <w:color w:val="333333"/>
          <w:sz w:val="21"/>
          <w:szCs w:val="21"/>
        </w:rPr>
        <w:t xml:space="preserve">NLM provides a free REST API (RxNav) for RxNorm lookups, including concept navigation, interaction checking, NDC-to-RxNorm mapping, and drug class information. Essential tool for health IT developers.</w:t>
      </w:r>
    </w:p>
    <w:p>
      <w:pPr>
        <w:pStyle w:val="Heading2"/>
        <w:spacing w:before="280" w:after="160"/>
      </w:pPr>
      <w:r>
        <w:rPr>
          <w:rFonts w:ascii="Arial" w:cs="Arial" w:eastAsia="Arial" w:hAnsi="Arial"/>
          <w:b/>
          <w:bCs/>
          <w:color w:val="2E75B6"/>
          <w:sz w:val="26"/>
          <w:szCs w:val="26"/>
        </w:rPr>
        <w:t xml:space="preserve">8.2 NDC (National Drug Code)</w:t>
      </w:r>
    </w:p>
    <w:p>
      <w:pPr>
        <w:spacing w:after="160" w:line="276"/>
      </w:pPr>
      <w:r>
        <w:rPr>
          <w:rFonts w:ascii="Arial" w:cs="Arial" w:eastAsia="Arial" w:hAnsi="Arial"/>
          <w:color w:val="333333"/>
          <w:sz w:val="21"/>
          <w:szCs w:val="21"/>
        </w:rPr>
        <w:t xml:space="preserve">The NDC is a unique 10-digit, 3-segment identifier for drug products registered with the FDA. It identifies the labeler (manufacturer), product (drug formulation), and package (specific package size/type).</w:t>
      </w:r>
    </w:p>
    <w:p>
      <w:pPr>
        <w:pStyle w:val="Heading3"/>
        <w:spacing w:before="200" w:after="120"/>
      </w:pPr>
      <w:r>
        <w:rPr>
          <w:rFonts w:ascii="Arial" w:cs="Arial" w:eastAsia="Arial" w:hAnsi="Arial"/>
          <w:b/>
          <w:bCs/>
          <w:color w:val="1B3A5C"/>
          <w:sz w:val="22"/>
          <w:szCs w:val="22"/>
        </w:rPr>
        <w:t xml:space="preserve">8.2.1 NDC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Identifies</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 (0002-1433-80)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Segment 1 (4-5 digits)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Labeler Code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Manufacturer, repacker, or distributor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0002 = Eli Lilly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Segment 2 (3-4 digits)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Product Code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Specific drug, strength, dosage form</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1433 = Humalog KwikPen 100 units/mL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Segment 3 (1-2 digits)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Package Code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Specific package size and type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80 = 5 x 3mL pens per carton</w:t>
            </w:r>
          </w:p>
        </w:tc>
      </w:tr>
    </w:tbl>
    <w:p>
      <w:pPr>
        <w:spacing w:after="160" w:line="276"/>
      </w:pPr>
      <w:r>
        <w:rPr>
          <w:rFonts w:ascii="Arial" w:cs="Arial" w:eastAsia="Arial" w:hAnsi="Arial"/>
          <w:color w:val="333333"/>
          <w:sz w:val="21"/>
          <w:szCs w:val="21"/>
        </w:rPr>
        <w:t xml:space="preserve"/>
      </w:r>
    </w:p>
    <w:p>
      <w:pPr>
        <w:pStyle w:val="Heading3"/>
        <w:spacing w:before="200" w:after="120"/>
      </w:pPr>
      <w:r>
        <w:rPr>
          <w:rFonts w:ascii="Arial" w:cs="Arial" w:eastAsia="Arial" w:hAnsi="Arial"/>
          <w:b/>
          <w:bCs/>
          <w:color w:val="1B3A5C"/>
          <w:sz w:val="22"/>
          <w:szCs w:val="22"/>
        </w:rPr>
        <w:t xml:space="preserve">8.2.2 NDC in Healthcare IT</w:t>
      </w:r>
    </w:p>
    <w:p>
      <w:pPr>
        <w:pStyle w:val="ListParagraph"/>
        <w:numPr>
          <w:ilvl w:val="0"/>
          <w:numId w:val="2"/>
        </w:numPr>
        <w:spacing w:after="80" w:line="276"/>
      </w:pPr>
      <w:r>
        <w:rPr>
          <w:rFonts w:ascii="Arial" w:cs="Arial" w:eastAsia="Arial" w:hAnsi="Arial"/>
          <w:b/>
          <w:bCs/>
          <w:color w:val="333333"/>
          <w:sz w:val="21"/>
          <w:szCs w:val="21"/>
        </w:rPr>
        <w:t xml:space="preserve">Pharmacy dispensing: </w:t>
      </w:r>
      <w:r>
        <w:rPr>
          <w:rFonts w:ascii="Arial" w:cs="Arial" w:eastAsia="Arial" w:hAnsi="Arial"/>
          <w:color w:val="333333"/>
          <w:sz w:val="21"/>
          <w:szCs w:val="21"/>
        </w:rPr>
        <w:t xml:space="preserve">ADCs and retail pharmacy systems use NDC to identify the specific drug product dispensed. NDC is the primary identifier in pharmacy inventory management.</w:t>
      </w:r>
    </w:p>
    <w:p>
      <w:pPr>
        <w:pStyle w:val="ListParagraph"/>
        <w:numPr>
          <w:ilvl w:val="0"/>
          <w:numId w:val="2"/>
        </w:numPr>
        <w:spacing w:after="80" w:line="276"/>
      </w:pPr>
      <w:r>
        <w:rPr>
          <w:rFonts w:ascii="Arial" w:cs="Arial" w:eastAsia="Arial" w:hAnsi="Arial"/>
          <w:b/>
          <w:bCs/>
          <w:color w:val="333333"/>
          <w:sz w:val="21"/>
          <w:szCs w:val="21"/>
        </w:rPr>
        <w:t xml:space="preserve">340B compliance: </w:t>
      </w:r>
      <w:r>
        <w:rPr>
          <w:rFonts w:ascii="Arial" w:cs="Arial" w:eastAsia="Arial" w:hAnsi="Arial"/>
          <w:color w:val="333333"/>
          <w:sz w:val="21"/>
          <w:szCs w:val="21"/>
        </w:rPr>
        <w:t xml:space="preserve">340B Drug Pricing Program compliance requires tracking at the NDC level to ensure covered entities purchase drugs at 340B prices and avoid duplicate discounts. IT systems must maintain NDC-level tracking for 340B split-billing.</w:t>
      </w:r>
    </w:p>
    <w:p>
      <w:pPr>
        <w:pStyle w:val="ListParagraph"/>
        <w:numPr>
          <w:ilvl w:val="0"/>
          <w:numId w:val="2"/>
        </w:numPr>
        <w:spacing w:after="80" w:line="276"/>
      </w:pPr>
      <w:r>
        <w:rPr>
          <w:rFonts w:ascii="Arial" w:cs="Arial" w:eastAsia="Arial" w:hAnsi="Arial"/>
          <w:b/>
          <w:bCs/>
          <w:color w:val="333333"/>
          <w:sz w:val="21"/>
          <w:szCs w:val="21"/>
        </w:rPr>
        <w:t xml:space="preserve">NDC-to-RxNorm-to-HCPCS mapping: </w:t>
      </w:r>
      <w:r>
        <w:rPr>
          <w:rFonts w:ascii="Arial" w:cs="Arial" w:eastAsia="Arial" w:hAnsi="Arial"/>
          <w:color w:val="333333"/>
          <w:sz w:val="21"/>
          <w:szCs w:val="21"/>
        </w:rPr>
        <w:t xml:space="preserve">Pharmacy dispenses by NDC → clinical records use RxNorm → billing uses HCPCS J-codes. Maintaining accurate cross-system mappings is a critical IT function.</w:t>
      </w:r>
    </w:p>
    <w:p>
      <w:pPr>
        <w:pStyle w:val="ListParagraph"/>
        <w:numPr>
          <w:ilvl w:val="0"/>
          <w:numId w:val="2"/>
        </w:numPr>
        <w:spacing w:after="80" w:line="276"/>
      </w:pPr>
      <w:r>
        <w:rPr>
          <w:rFonts w:ascii="Arial" w:cs="Arial" w:eastAsia="Arial" w:hAnsi="Arial"/>
          <w:b/>
          <w:bCs/>
          <w:color w:val="333333"/>
          <w:sz w:val="21"/>
          <w:szCs w:val="21"/>
        </w:rPr>
        <w:t xml:space="preserve">NDC format challenges: </w:t>
      </w:r>
      <w:r>
        <w:rPr>
          <w:rFonts w:ascii="Arial" w:cs="Arial" w:eastAsia="Arial" w:hAnsi="Arial"/>
          <w:color w:val="333333"/>
          <w:sz w:val="21"/>
          <w:szCs w:val="21"/>
        </w:rPr>
        <w:t xml:space="preserve">NDC has three common formats (4-4-2, 5-3-2, 5-4-1) and an 11-digit FDA format with leading zeros. IT systems must normalize NDC formats for consistent matching across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2"/>
              <w:bottom w:val="single" w:color="E67E22" w:sz="1"/>
              <w:right w:val="single" w:color="E67E22" w:sz="1"/>
            </w:tcBorders>
            <w:shd w:fill="FEF5E7" w:val="clear"/>
            <w:tcMar>
              <w:top w:type="dxa" w:w="120"/>
              <w:left w:type="dxa" w:w="200"/>
              <w:bottom w:type="dxa" w:w="120"/>
              <w:right w:type="dxa" w:w="200"/>
            </w:tcMar>
          </w:tcPr>
          <w:p>
            <w:pPr>
              <w:spacing w:after="80"/>
            </w:pPr>
            <w:r>
              <w:rPr>
                <w:rFonts w:ascii="Arial" w:cs="Arial" w:eastAsia="Arial" w:hAnsi="Arial"/>
                <w:b/>
                <w:bCs/>
                <w:color w:val="E67E22"/>
                <w:sz w:val="21"/>
                <w:szCs w:val="21"/>
              </w:rPr>
              <w:t xml:space="preserve">Common IT Pitfall</w:t>
            </w:r>
          </w:p>
          <w:p>
            <w:pPr>
              <w:spacing w:after="0" w:line="276"/>
            </w:pPr>
            <w:r>
              <w:rPr>
                <w:rFonts w:ascii="Arial" w:cs="Arial" w:eastAsia="Arial" w:hAnsi="Arial"/>
                <w:i/>
                <w:iCs/>
                <w:color w:val="333333"/>
                <w:sz w:val="20"/>
                <w:szCs w:val="20"/>
              </w:rPr>
              <w:t xml:space="preserve">NDC codes identify specific drug products from specific manufacturers. When a hospital switches generic suppliers (e.g., different manufacturer of the same generic drug), NDC codes change even though the drug is clinically equivalent. IT systems must handle NDC changes at the inventory level while maintaining RxNorm-level clinical equivalence in the EHR.</w:t>
            </w:r>
          </w:p>
        </w:tc>
      </w:tr>
    </w:tbl>
    <w:p>
      <w:pPr>
        <w:spacing w:after="160" w:line="276"/>
      </w:pPr>
      <w:r>
        <w:rPr>
          <w:rFonts w:ascii="Arial" w:cs="Arial" w:eastAsia="Arial" w:hAnsi="Arial"/>
          <w:color w:val="333333"/>
          <w:sz w:val="21"/>
          <w:szCs w:val="21"/>
        </w:rPr>
        <w:t xml:space="preserve"/>
      </w:r>
    </w:p>
    <w:p>
      <w:r>
        <w:br w:type="page"/>
      </w:r>
    </w:p>
    <w:p>
      <w:pPr>
        <w:pStyle w:val="Heading1"/>
        <w:spacing w:before="360" w:after="200"/>
      </w:pPr>
      <w:r>
        <w:rPr>
          <w:rFonts w:ascii="Arial" w:cs="Arial" w:eastAsia="Arial" w:hAnsi="Arial"/>
          <w:b/>
          <w:bCs/>
          <w:color w:val="1B3A5C"/>
          <w:sz w:val="32"/>
          <w:szCs w:val="32"/>
        </w:rPr>
        <w:t xml:space="preserve">9. Payment Classification Systems: DRG &amp; APC</w:t>
      </w:r>
    </w:p>
    <w:p>
      <w:pPr>
        <w:spacing w:after="160" w:line="276"/>
      </w:pPr>
      <w:r>
        <w:rPr>
          <w:rFonts w:ascii="Arial" w:cs="Arial" w:eastAsia="Arial" w:hAnsi="Arial"/>
          <w:color w:val="333333"/>
          <w:sz w:val="21"/>
          <w:szCs w:val="21"/>
        </w:rPr>
        <w:t xml:space="preserve">Payment classification systems group clinical encounters into categories for prospective payment. Understanding these systems is essential for IT professionals working on revenue cycle, analytics, and decision support systems.</w:t>
      </w:r>
    </w:p>
    <w:p>
      <w:pPr>
        <w:pStyle w:val="Heading2"/>
        <w:spacing w:before="280" w:after="160"/>
      </w:pPr>
      <w:r>
        <w:rPr>
          <w:rFonts w:ascii="Arial" w:cs="Arial" w:eastAsia="Arial" w:hAnsi="Arial"/>
          <w:b/>
          <w:bCs/>
          <w:color w:val="2E75B6"/>
          <w:sz w:val="26"/>
          <w:szCs w:val="26"/>
        </w:rPr>
        <w:t xml:space="preserve">9.1 MS-DRG (Medicare Severity Diagnosis-Related Groups)</w:t>
      </w:r>
    </w:p>
    <w:p>
      <w:pPr>
        <w:spacing w:after="160" w:line="276"/>
      </w:pPr>
      <w:r>
        <w:rPr>
          <w:rFonts w:ascii="Arial" w:cs="Arial" w:eastAsia="Arial" w:hAnsi="Arial"/>
          <w:color w:val="333333"/>
          <w:sz w:val="21"/>
          <w:szCs w:val="21"/>
        </w:rPr>
        <w:t xml:space="preserve">MS-DRGs are the payment classification system for Medicare inpatient hospital stays. Each hospital discharge is assigned to a single DRG based on principal diagnosis, secondary diagnoses (complications and comorbidities), procedures performed, age, sex, and discharge status.</w:t>
      </w:r>
    </w:p>
    <w:p>
      <w:pPr>
        <w:pStyle w:val="Heading3"/>
        <w:spacing w:before="200" w:after="120"/>
      </w:pPr>
      <w:r>
        <w:rPr>
          <w:rFonts w:ascii="Arial" w:cs="Arial" w:eastAsia="Arial" w:hAnsi="Arial"/>
          <w:b/>
          <w:bCs/>
          <w:color w:val="1B3A5C"/>
          <w:sz w:val="22"/>
          <w:szCs w:val="22"/>
        </w:rPr>
        <w:t xml:space="preserve">9.1.1 DRG Assignment Process</w:t>
      </w:r>
    </w:p>
    <w:p>
      <w:pPr>
        <w:pStyle w:val="ListParagraph"/>
        <w:numPr>
          <w:ilvl w:val="0"/>
          <w:numId w:val="3"/>
        </w:numPr>
        <w:spacing w:after="80" w:line="276"/>
      </w:pPr>
      <w:r>
        <w:rPr>
          <w:rFonts w:ascii="Arial" w:cs="Arial" w:eastAsia="Arial" w:hAnsi="Arial"/>
          <w:b/>
          <w:bCs/>
          <w:color w:val="333333"/>
          <w:sz w:val="21"/>
          <w:szCs w:val="21"/>
        </w:rPr>
        <w:t xml:space="preserve">Principal diagnosis coded (ICD-10-CM): </w:t>
      </w:r>
      <w:r>
        <w:rPr>
          <w:rFonts w:ascii="Arial" w:cs="Arial" w:eastAsia="Arial" w:hAnsi="Arial"/>
          <w:color w:val="333333"/>
          <w:sz w:val="21"/>
          <w:szCs w:val="21"/>
        </w:rPr>
        <w:t xml:space="preserve">The condition established after study to be chiefly responsible for the admission.</w:t>
      </w:r>
    </w:p>
    <w:p>
      <w:pPr>
        <w:pStyle w:val="ListParagraph"/>
        <w:numPr>
          <w:ilvl w:val="0"/>
          <w:numId w:val="3"/>
        </w:numPr>
        <w:spacing w:after="80" w:line="276"/>
      </w:pPr>
      <w:r>
        <w:rPr>
          <w:rFonts w:ascii="Arial" w:cs="Arial" w:eastAsia="Arial" w:hAnsi="Arial"/>
          <w:b/>
          <w:bCs/>
          <w:color w:val="333333"/>
          <w:sz w:val="21"/>
          <w:szCs w:val="21"/>
        </w:rPr>
        <w:t xml:space="preserve">Secondary diagnoses coded (ICD-10-CM): </w:t>
      </w:r>
      <w:r>
        <w:rPr>
          <w:rFonts w:ascii="Arial" w:cs="Arial" w:eastAsia="Arial" w:hAnsi="Arial"/>
          <w:color w:val="333333"/>
          <w:sz w:val="21"/>
          <w:szCs w:val="21"/>
        </w:rPr>
        <w:t xml:space="preserve">Complicating conditions, comorbidities, and other relevant diagnoses classified as CC (Complication or Comorbidity) or MCC (Major Complication or Comorbidity).</w:t>
      </w:r>
    </w:p>
    <w:p>
      <w:pPr>
        <w:pStyle w:val="ListParagraph"/>
        <w:numPr>
          <w:ilvl w:val="0"/>
          <w:numId w:val="3"/>
        </w:numPr>
        <w:spacing w:after="80" w:line="276"/>
      </w:pPr>
      <w:r>
        <w:rPr>
          <w:rFonts w:ascii="Arial" w:cs="Arial" w:eastAsia="Arial" w:hAnsi="Arial"/>
          <w:b/>
          <w:bCs/>
          <w:color w:val="333333"/>
          <w:sz w:val="21"/>
          <w:szCs w:val="21"/>
        </w:rPr>
        <w:t xml:space="preserve">Procedures coded (ICD-10-PCS): </w:t>
      </w:r>
      <w:r>
        <w:rPr>
          <w:rFonts w:ascii="Arial" w:cs="Arial" w:eastAsia="Arial" w:hAnsi="Arial"/>
          <w:color w:val="333333"/>
          <w:sz w:val="21"/>
          <w:szCs w:val="21"/>
        </w:rPr>
        <w:t xml:space="preserve">All significant inpatient procedures performed during the stay.</w:t>
      </w:r>
    </w:p>
    <w:p>
      <w:pPr>
        <w:pStyle w:val="ListParagraph"/>
        <w:numPr>
          <w:ilvl w:val="0"/>
          <w:numId w:val="3"/>
        </w:numPr>
        <w:spacing w:after="80" w:line="276"/>
      </w:pPr>
      <w:r>
        <w:rPr>
          <w:rFonts w:ascii="Arial" w:cs="Arial" w:eastAsia="Arial" w:hAnsi="Arial"/>
          <w:b/>
          <w:bCs/>
          <w:color w:val="333333"/>
          <w:sz w:val="21"/>
          <w:szCs w:val="21"/>
        </w:rPr>
        <w:t xml:space="preserve">DRG Grouper logic applied: </w:t>
      </w:r>
      <w:r>
        <w:rPr>
          <w:rFonts w:ascii="Arial" w:cs="Arial" w:eastAsia="Arial" w:hAnsi="Arial"/>
          <w:color w:val="333333"/>
          <w:sz w:val="21"/>
          <w:szCs w:val="21"/>
        </w:rPr>
        <w:t xml:space="preserve">CMS-maintained software (MS-DRG Grouper) processes the coded data through decision trees to assign a DRG.</w:t>
      </w:r>
    </w:p>
    <w:p>
      <w:pPr>
        <w:pStyle w:val="ListParagraph"/>
        <w:numPr>
          <w:ilvl w:val="0"/>
          <w:numId w:val="3"/>
        </w:numPr>
        <w:spacing w:after="80" w:line="276"/>
      </w:pPr>
      <w:r>
        <w:rPr>
          <w:rFonts w:ascii="Arial" w:cs="Arial" w:eastAsia="Arial" w:hAnsi="Arial"/>
          <w:b/>
          <w:bCs/>
          <w:color w:val="333333"/>
          <w:sz w:val="21"/>
          <w:szCs w:val="21"/>
        </w:rPr>
        <w:t xml:space="preserve">DRG weight determines payment: </w:t>
      </w:r>
      <w:r>
        <w:rPr>
          <w:rFonts w:ascii="Arial" w:cs="Arial" w:eastAsia="Arial" w:hAnsi="Arial"/>
          <w:color w:val="333333"/>
          <w:sz w:val="21"/>
          <w:szCs w:val="21"/>
        </w:rPr>
        <w:t xml:space="preserve">Each DRG has a relative weight reflecting average resource consumption. Payment = DRG weight × hospital base rate (adjusted for geography, teaching, DSH).</w:t>
      </w:r>
    </w:p>
    <w:p>
      <w:pPr>
        <w:pStyle w:val="Heading3"/>
        <w:spacing w:before="200" w:after="120"/>
      </w:pPr>
      <w:r>
        <w:rPr>
          <w:rFonts w:ascii="Arial" w:cs="Arial" w:eastAsia="Arial" w:hAnsi="Arial"/>
          <w:b/>
          <w:bCs/>
          <w:color w:val="1B3A5C"/>
          <w:sz w:val="22"/>
          <w:szCs w:val="22"/>
        </w:rPr>
        <w:t xml:space="preserve">9.1.2 DRG Severity Tiers</w:t>
      </w:r>
    </w:p>
    <w:p>
      <w:pPr>
        <w:spacing w:after="160" w:line="276"/>
      </w:pPr>
      <w:r>
        <w:rPr>
          <w:rFonts w:ascii="Arial" w:cs="Arial" w:eastAsia="Arial" w:hAnsi="Arial"/>
          <w:color w:val="333333"/>
          <w:sz w:val="21"/>
          <w:szCs w:val="21"/>
        </w:rPr>
        <w:t xml:space="preserve">Most base DRGs split into three severity levels based on secondary diagnoses: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2000"/>
        <w:gridCol w:w="1800"/>
        <w:gridCol w:w="33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Suffix</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Severity Level</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Payment Impact</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 (Heart Failure)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Without CC/MCC</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significant complications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Lowest payment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DRG 293 (Heart failure w/o CC/MCC, weight ~0.59)</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With CC</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Complication or comorbidity present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Moderate payment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DRG 292 (Heart failure with CC, weight ~0.85)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With MCC</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Major complication or comorbidity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Highest payment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DRG 291 (Heart failure with MCC, weight ~1.27)</w:t>
            </w:r>
          </w:p>
        </w:tc>
      </w:tr>
    </w:tbl>
    <w:p>
      <w:pPr>
        <w:spacing w:after="160" w:line="276"/>
      </w:pPr>
      <w:r>
        <w:rPr>
          <w:rFonts w:ascii="Arial" w:cs="Arial" w:eastAsia="Arial" w:hAnsi="Arial"/>
          <w:color w:val="333333"/>
          <w:sz w:val="21"/>
          <w:szCs w:val="21"/>
        </w:rPr>
        <w:t xml:space="preserve"/>
      </w:r>
    </w:p>
    <w:p>
      <w:pPr>
        <w:pStyle w:val="Heading3"/>
        <w:spacing w:before="200" w:after="120"/>
      </w:pPr>
      <w:r>
        <w:rPr>
          <w:rFonts w:ascii="Arial" w:cs="Arial" w:eastAsia="Arial" w:hAnsi="Arial"/>
          <w:b/>
          <w:bCs/>
          <w:color w:val="1B3A5C"/>
          <w:sz w:val="22"/>
          <w:szCs w:val="22"/>
        </w:rPr>
        <w:t xml:space="preserve">9.1.3 IT System Implications for DRGs</w:t>
      </w:r>
    </w:p>
    <w:p>
      <w:pPr>
        <w:pStyle w:val="ListParagraph"/>
        <w:numPr>
          <w:ilvl w:val="0"/>
          <w:numId w:val="2"/>
        </w:numPr>
        <w:spacing w:after="80" w:line="276"/>
      </w:pPr>
      <w:r>
        <w:rPr>
          <w:rFonts w:ascii="Arial" w:cs="Arial" w:eastAsia="Arial" w:hAnsi="Arial"/>
          <w:b/>
          <w:bCs/>
          <w:color w:val="333333"/>
          <w:sz w:val="21"/>
          <w:szCs w:val="21"/>
        </w:rPr>
        <w:t xml:space="preserve">DRG Grouper integration: </w:t>
      </w:r>
      <w:r>
        <w:rPr>
          <w:rFonts w:ascii="Arial" w:cs="Arial" w:eastAsia="Arial" w:hAnsi="Arial"/>
          <w:color w:val="333333"/>
          <w:sz w:val="21"/>
          <w:szCs w:val="21"/>
        </w:rPr>
        <w:t xml:space="preserve">Revenue cycle and coding systems must integrate the CMS DRG Grouper to calculate expected DRGs in real-time. This enables working DRG estimation during the stay (concurrent coding) for case management and revenue forecasting.</w:t>
      </w:r>
    </w:p>
    <w:p>
      <w:pPr>
        <w:pStyle w:val="ListParagraph"/>
        <w:numPr>
          <w:ilvl w:val="0"/>
          <w:numId w:val="2"/>
        </w:numPr>
        <w:spacing w:after="80" w:line="276"/>
      </w:pPr>
      <w:r>
        <w:rPr>
          <w:rFonts w:ascii="Arial" w:cs="Arial" w:eastAsia="Arial" w:hAnsi="Arial"/>
          <w:b/>
          <w:bCs/>
          <w:color w:val="333333"/>
          <w:sz w:val="21"/>
          <w:szCs w:val="21"/>
        </w:rPr>
        <w:t xml:space="preserve">CDI (Clinical Documentation Improvement): </w:t>
      </w:r>
      <w:r>
        <w:rPr>
          <w:rFonts w:ascii="Arial" w:cs="Arial" w:eastAsia="Arial" w:hAnsi="Arial"/>
          <w:color w:val="333333"/>
          <w:sz w:val="21"/>
          <w:szCs w:val="21"/>
        </w:rPr>
        <w:t xml:space="preserve">CDI technology identifies opportunities to capture CC/MCC diagnoses that are clinically supported but not yet documented. CDI platforms query clinical data (labs, medications, assessments) to suggest diagnoses to physicians. Example: a patient with low albumin and clinical signs may have a CDI query for malnutrition (MCC).</w:t>
      </w:r>
    </w:p>
    <w:p>
      <w:pPr>
        <w:pStyle w:val="ListParagraph"/>
        <w:numPr>
          <w:ilvl w:val="0"/>
          <w:numId w:val="2"/>
        </w:numPr>
        <w:spacing w:after="80" w:line="276"/>
      </w:pPr>
      <w:r>
        <w:rPr>
          <w:rFonts w:ascii="Arial" w:cs="Arial" w:eastAsia="Arial" w:hAnsi="Arial"/>
          <w:b/>
          <w:bCs/>
          <w:color w:val="333333"/>
          <w:sz w:val="21"/>
          <w:szCs w:val="21"/>
        </w:rPr>
        <w:t xml:space="preserve">Case Mix Index (CMI): </w:t>
      </w:r>
      <w:r>
        <w:rPr>
          <w:rFonts w:ascii="Arial" w:cs="Arial" w:eastAsia="Arial" w:hAnsi="Arial"/>
          <w:color w:val="333333"/>
          <w:sz w:val="21"/>
          <w:szCs w:val="21"/>
        </w:rPr>
        <w:t xml:space="preserve">The average DRG weight across all discharges. CMI is a key financial metric monitored by hospital leadership. Analytics systems calculate and trend CMI by service line, provider, and time period.</w:t>
      </w:r>
    </w:p>
    <w:p>
      <w:pPr>
        <w:pStyle w:val="ListParagraph"/>
        <w:numPr>
          <w:ilvl w:val="0"/>
          <w:numId w:val="2"/>
        </w:numPr>
        <w:spacing w:after="80" w:line="276"/>
      </w:pPr>
      <w:r>
        <w:rPr>
          <w:rFonts w:ascii="Arial" w:cs="Arial" w:eastAsia="Arial" w:hAnsi="Arial"/>
          <w:b/>
          <w:bCs/>
          <w:color w:val="333333"/>
          <w:sz w:val="21"/>
          <w:szCs w:val="21"/>
        </w:rPr>
        <w:t xml:space="preserve">Annual updates: </w:t>
      </w:r>
      <w:r>
        <w:rPr>
          <w:rFonts w:ascii="Arial" w:cs="Arial" w:eastAsia="Arial" w:hAnsi="Arial"/>
          <w:color w:val="333333"/>
          <w:sz w:val="21"/>
          <w:szCs w:val="21"/>
        </w:rPr>
        <w:t xml:space="preserve">DRG definitions, weights, CC/MCC lists, and grouper logic update annually (October 1). IT systems must implement updates and manage transitions.</w:t>
      </w:r>
    </w:p>
    <w:p>
      <w:pPr>
        <w:pStyle w:val="ListParagraph"/>
        <w:numPr>
          <w:ilvl w:val="0"/>
          <w:numId w:val="2"/>
        </w:numPr>
        <w:spacing w:after="80" w:line="276"/>
      </w:pPr>
      <w:r>
        <w:rPr>
          <w:rFonts w:ascii="Arial" w:cs="Arial" w:eastAsia="Arial" w:hAnsi="Arial"/>
          <w:b/>
          <w:bCs/>
          <w:color w:val="333333"/>
          <w:sz w:val="21"/>
          <w:szCs w:val="21"/>
        </w:rPr>
        <w:t xml:space="preserve">Outlier payments: </w:t>
      </w:r>
      <w:r>
        <w:rPr>
          <w:rFonts w:ascii="Arial" w:cs="Arial" w:eastAsia="Arial" w:hAnsi="Arial"/>
          <w:color w:val="333333"/>
          <w:sz w:val="21"/>
          <w:szCs w:val="21"/>
        </w:rPr>
        <w:t xml:space="preserve">Cases with extraordinarily high costs receive outlier payments above the DRG amount. IT systems must track itemized charges against the outlier threshold.</w:t>
      </w:r>
    </w:p>
    <w:p>
      <w:pPr>
        <w:pStyle w:val="Heading2"/>
        <w:spacing w:before="280" w:after="160"/>
      </w:pPr>
      <w:r>
        <w:rPr>
          <w:rFonts w:ascii="Arial" w:cs="Arial" w:eastAsia="Arial" w:hAnsi="Arial"/>
          <w:b/>
          <w:bCs/>
          <w:color w:val="2E75B6"/>
          <w:sz w:val="26"/>
          <w:szCs w:val="26"/>
        </w:rPr>
        <w:t xml:space="preserve">9.2 APC (Ambulatory Payment Classifications)</w:t>
      </w:r>
    </w:p>
    <w:p>
      <w:pPr>
        <w:spacing w:after="160" w:line="276"/>
      </w:pPr>
      <w:r>
        <w:rPr>
          <w:rFonts w:ascii="Arial" w:cs="Arial" w:eastAsia="Arial" w:hAnsi="Arial"/>
          <w:color w:val="333333"/>
          <w:sz w:val="21"/>
          <w:szCs w:val="21"/>
        </w:rPr>
        <w:t xml:space="preserve">APCs are the prospective payment system for Medicare hospital outpatient services. Unlike DRGs (one per stay), multiple APCs can be assigned per outpatient encounter because multiple services may be provided during a single visit.</w:t>
      </w:r>
    </w:p>
    <w:p>
      <w:pPr>
        <w:pStyle w:val="Heading3"/>
        <w:spacing w:before="200" w:after="120"/>
      </w:pPr>
      <w:r>
        <w:rPr>
          <w:rFonts w:ascii="Arial" w:cs="Arial" w:eastAsia="Arial" w:hAnsi="Arial"/>
          <w:b/>
          <w:bCs/>
          <w:color w:val="1B3A5C"/>
          <w:sz w:val="22"/>
          <w:szCs w:val="22"/>
        </w:rPr>
        <w:t xml:space="preserve">9.2.1 APC Assignment Process</w:t>
      </w:r>
    </w:p>
    <w:p>
      <w:pPr>
        <w:pStyle w:val="ListParagraph"/>
        <w:numPr>
          <w:ilvl w:val="0"/>
          <w:numId w:val="3"/>
        </w:numPr>
        <w:spacing w:after="80" w:line="276"/>
      </w:pPr>
      <w:r>
        <w:rPr>
          <w:rFonts w:ascii="Arial" w:cs="Arial" w:eastAsia="Arial" w:hAnsi="Arial"/>
          <w:b/>
          <w:bCs/>
          <w:color w:val="333333"/>
          <w:sz w:val="21"/>
          <w:szCs w:val="21"/>
        </w:rPr>
        <w:t xml:space="preserve">Services coded with CPT/HCPCS: </w:t>
      </w:r>
      <w:r>
        <w:rPr>
          <w:rFonts w:ascii="Arial" w:cs="Arial" w:eastAsia="Arial" w:hAnsi="Arial"/>
          <w:color w:val="333333"/>
          <w:sz w:val="21"/>
          <w:szCs w:val="21"/>
        </w:rPr>
        <w:t xml:space="preserve">Each service, procedure, or drug administration is coded with the appropriate CPT or HCPCS code.</w:t>
      </w:r>
    </w:p>
    <w:p>
      <w:pPr>
        <w:pStyle w:val="ListParagraph"/>
        <w:numPr>
          <w:ilvl w:val="0"/>
          <w:numId w:val="3"/>
        </w:numPr>
        <w:spacing w:after="80" w:line="276"/>
      </w:pPr>
      <w:r>
        <w:rPr>
          <w:rFonts w:ascii="Arial" w:cs="Arial" w:eastAsia="Arial" w:hAnsi="Arial"/>
          <w:b/>
          <w:bCs/>
          <w:color w:val="333333"/>
          <w:sz w:val="21"/>
          <w:szCs w:val="21"/>
        </w:rPr>
        <w:t xml:space="preserve">ICD-10-CM diagnosis assigned: </w:t>
      </w:r>
      <w:r>
        <w:rPr>
          <w:rFonts w:ascii="Arial" w:cs="Arial" w:eastAsia="Arial" w:hAnsi="Arial"/>
          <w:color w:val="333333"/>
          <w:sz w:val="21"/>
          <w:szCs w:val="21"/>
        </w:rPr>
        <w:t xml:space="preserve">Diagnoses justify the medical necessity of each service.</w:t>
      </w:r>
    </w:p>
    <w:p>
      <w:pPr>
        <w:pStyle w:val="ListParagraph"/>
        <w:numPr>
          <w:ilvl w:val="0"/>
          <w:numId w:val="3"/>
        </w:numPr>
        <w:spacing w:after="80" w:line="276"/>
      </w:pPr>
      <w:r>
        <w:rPr>
          <w:rFonts w:ascii="Arial" w:cs="Arial" w:eastAsia="Arial" w:hAnsi="Arial"/>
          <w:b/>
          <w:bCs/>
          <w:color w:val="333333"/>
          <w:sz w:val="21"/>
          <w:szCs w:val="21"/>
        </w:rPr>
        <w:t xml:space="preserve">APC Grouper assigns APCs: </w:t>
      </w:r>
      <w:r>
        <w:rPr>
          <w:rFonts w:ascii="Arial" w:cs="Arial" w:eastAsia="Arial" w:hAnsi="Arial"/>
          <w:color w:val="333333"/>
          <w:sz w:val="21"/>
          <w:szCs w:val="21"/>
        </w:rPr>
        <w:t xml:space="preserve">Each CPT/HCPCS code maps to an APC, which has a relative payment weight and a payment rate.</w:t>
      </w:r>
    </w:p>
    <w:p>
      <w:pPr>
        <w:pStyle w:val="ListParagraph"/>
        <w:numPr>
          <w:ilvl w:val="0"/>
          <w:numId w:val="3"/>
        </w:numPr>
        <w:spacing w:after="80" w:line="276"/>
      </w:pPr>
      <w:r>
        <w:rPr>
          <w:rFonts w:ascii="Arial" w:cs="Arial" w:eastAsia="Arial" w:hAnsi="Arial"/>
          <w:b/>
          <w:bCs/>
          <w:color w:val="333333"/>
          <w:sz w:val="21"/>
          <w:szCs w:val="21"/>
        </w:rPr>
        <w:t xml:space="preserve">Packaging and bundling: </w:t>
      </w:r>
      <w:r>
        <w:rPr>
          <w:rFonts w:ascii="Arial" w:cs="Arial" w:eastAsia="Arial" w:hAnsi="Arial"/>
          <w:color w:val="333333"/>
          <w:sz w:val="21"/>
          <w:szCs w:val="21"/>
        </w:rPr>
        <w:t xml:space="preserve">Certain services (ancillary, minor procedures, supplies) are packaged into the payment of the primary service and do not generate separate APC payments. Comprehensive APCs (C-APCs) and Complexity Adjustments (J1/J2) further consolidate payments.</w:t>
      </w:r>
    </w:p>
    <w:p>
      <w:pPr>
        <w:pStyle w:val="Heading3"/>
        <w:spacing w:before="200" w:after="120"/>
      </w:pPr>
      <w:r>
        <w:rPr>
          <w:rFonts w:ascii="Arial" w:cs="Arial" w:eastAsia="Arial" w:hAnsi="Arial"/>
          <w:b/>
          <w:bCs/>
          <w:color w:val="1B3A5C"/>
          <w:sz w:val="22"/>
          <w:szCs w:val="22"/>
        </w:rPr>
        <w:t xml:space="preserve">9.2.2 IT Implications for APCs</w:t>
      </w:r>
    </w:p>
    <w:p>
      <w:pPr>
        <w:pStyle w:val="ListParagraph"/>
        <w:numPr>
          <w:ilvl w:val="0"/>
          <w:numId w:val="2"/>
        </w:numPr>
        <w:spacing w:after="80" w:line="276"/>
      </w:pPr>
      <w:r>
        <w:rPr>
          <w:rFonts w:ascii="Arial" w:cs="Arial" w:eastAsia="Arial" w:hAnsi="Arial"/>
          <w:b/>
          <w:bCs/>
          <w:color w:val="333333"/>
          <w:sz w:val="21"/>
          <w:szCs w:val="21"/>
        </w:rPr>
        <w:t xml:space="preserve">Charge capture accuracy: </w:t>
      </w:r>
      <w:r>
        <w:rPr>
          <w:rFonts w:ascii="Arial" w:cs="Arial" w:eastAsia="Arial" w:hAnsi="Arial"/>
          <w:color w:val="333333"/>
          <w:sz w:val="21"/>
          <w:szCs w:val="21"/>
        </w:rPr>
        <w:t xml:space="preserve">Every billable outpatient service must be captured with the correct CPT/HCPCS code. Missed charges represent direct revenue loss. Charge capture systems integrated with EHR documentation ensure completeness.</w:t>
      </w:r>
    </w:p>
    <w:p>
      <w:pPr>
        <w:pStyle w:val="ListParagraph"/>
        <w:numPr>
          <w:ilvl w:val="0"/>
          <w:numId w:val="2"/>
        </w:numPr>
        <w:spacing w:after="80" w:line="276"/>
      </w:pPr>
      <w:r>
        <w:rPr>
          <w:rFonts w:ascii="Arial" w:cs="Arial" w:eastAsia="Arial" w:hAnsi="Arial"/>
          <w:b/>
          <w:bCs/>
          <w:color w:val="333333"/>
          <w:sz w:val="21"/>
          <w:szCs w:val="21"/>
        </w:rPr>
        <w:t xml:space="preserve">Observation vs. Inpatient: </w:t>
      </w:r>
      <w:r>
        <w:rPr>
          <w:rFonts w:ascii="Arial" w:cs="Arial" w:eastAsia="Arial" w:hAnsi="Arial"/>
          <w:color w:val="333333"/>
          <w:sz w:val="21"/>
          <w:szCs w:val="21"/>
        </w:rPr>
        <w:t xml:space="preserve">Observation services are paid under OPPS/APC, not DRG. The two-midnight rule determines whether a stay qualifies for inpatient (DRG) or outpatient (APC) status. This distinction has massive payment implications and is a constant IT/case management workflow consideration.</w:t>
      </w:r>
    </w:p>
    <w:p>
      <w:pPr>
        <w:pStyle w:val="ListParagraph"/>
        <w:numPr>
          <w:ilvl w:val="0"/>
          <w:numId w:val="2"/>
        </w:numPr>
        <w:spacing w:after="80" w:line="276"/>
      </w:pPr>
      <w:r>
        <w:rPr>
          <w:rFonts w:ascii="Arial" w:cs="Arial" w:eastAsia="Arial" w:hAnsi="Arial"/>
          <w:b/>
          <w:bCs/>
          <w:color w:val="333333"/>
          <w:sz w:val="21"/>
          <w:szCs w:val="21"/>
        </w:rPr>
        <w:t xml:space="preserve">Quarterly OPPS updates: </w:t>
      </w:r>
      <w:r>
        <w:rPr>
          <w:rFonts w:ascii="Arial" w:cs="Arial" w:eastAsia="Arial" w:hAnsi="Arial"/>
          <w:color w:val="333333"/>
          <w:sz w:val="21"/>
          <w:szCs w:val="21"/>
        </w:rPr>
        <w:t xml:space="preserve">CMS updates APC weights, status indicators, and packaging rules quarterly. IT systems must implement quarterly updates to maintain accurate payment estimation.</w:t>
      </w:r>
    </w:p>
    <w:p>
      <w:r>
        <w:br w:type="page"/>
      </w:r>
    </w:p>
    <w:p>
      <w:pPr>
        <w:pStyle w:val="Heading1"/>
        <w:spacing w:before="360" w:after="200"/>
      </w:pPr>
      <w:r>
        <w:rPr>
          <w:rFonts w:ascii="Arial" w:cs="Arial" w:eastAsia="Arial" w:hAnsi="Arial"/>
          <w:b/>
          <w:bCs/>
          <w:color w:val="1B3A5C"/>
          <w:sz w:val="32"/>
          <w:szCs w:val="32"/>
        </w:rPr>
        <w:t xml:space="preserve">10. How Coding Systems Interact: Mapping, Crosswalks &amp; Terminology Services</w:t>
      </w:r>
    </w:p>
    <w:p>
      <w:pPr>
        <w:spacing w:after="160" w:line="276"/>
      </w:pPr>
      <w:r>
        <w:rPr>
          <w:rFonts w:ascii="Arial" w:cs="Arial" w:eastAsia="Arial" w:hAnsi="Arial"/>
          <w:color w:val="333333"/>
          <w:sz w:val="21"/>
          <w:szCs w:val="21"/>
        </w:rPr>
        <w:t xml:space="preserve">No coding system exists in isolation. Healthcare IT systems must manage the complex relationships between multiple coding systems, translating clinical concepts across terminologies to support different use cases — documentation, billing, quality reporting, interoperability, and analytics.</w:t>
      </w:r>
    </w:p>
    <w:p>
      <w:pPr>
        <w:pStyle w:val="Heading2"/>
        <w:spacing w:before="280" w:after="160"/>
      </w:pPr>
      <w:r>
        <w:rPr>
          <w:rFonts w:ascii="Arial" w:cs="Arial" w:eastAsia="Arial" w:hAnsi="Arial"/>
          <w:b/>
          <w:bCs/>
          <w:color w:val="2E75B6"/>
          <w:sz w:val="26"/>
          <w:szCs w:val="26"/>
        </w:rPr>
        <w:t xml:space="preserve">10.1 Terminology Mapping &amp; Crosswalks</w:t>
      </w:r>
    </w:p>
    <w:p>
      <w:pPr>
        <w:spacing w:after="160" w:line="276"/>
      </w:pPr>
      <w:r>
        <w:rPr>
          <w:rFonts w:ascii="Arial" w:cs="Arial" w:eastAsia="Arial" w:hAnsi="Arial"/>
          <w:color w:val="333333"/>
          <w:sz w:val="21"/>
          <w:szCs w:val="21"/>
        </w:rPr>
        <w:t xml:space="preserve">A crosswalk is a mapping table that links codes from one system to equivalent or related codes in another system. Crosswalks are fundamental to healthcare IT integration.</w:t>
      </w:r>
    </w:p>
    <w:p>
      <w:pPr>
        <w:pStyle w:val="Heading3"/>
        <w:spacing w:before="200" w:after="120"/>
      </w:pPr>
      <w:r>
        <w:rPr>
          <w:rFonts w:ascii="Arial" w:cs="Arial" w:eastAsia="Arial" w:hAnsi="Arial"/>
          <w:b/>
          <w:bCs/>
          <w:color w:val="1B3A5C"/>
          <w:sz w:val="22"/>
          <w:szCs w:val="22"/>
        </w:rPr>
        <w:t xml:space="preserve">10.1.1 Key Crosswalks in Healthcare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400"/>
        <w:gridCol w:w="1800"/>
        <w:gridCol w:w="21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 System</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 System</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Maintained By</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Update Frequency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SNOMED 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ICD-10-CM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Clinical documentation to billing code translation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NLM/SNOMED International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Biannual (with SNOMED CT releases)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LOINC</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Local Lab Codes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Standardize lab results for interoperability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Individual organizations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Ongoing (as new tests added)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NDC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RxNorm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Pharmacy product to clinical drug normalization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NLM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Monthly (with RxNorm updates)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NDC</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HCPCS J-Codes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Pharmacy product to billing code for drug administration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CMS / Third-party vendors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Quarterly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RxNorm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Drug Databases (FDB, Medi-Span)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Enable CDS (interactions, allergy checking)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NLM + Drug DB vendors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Monthly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CPT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ICD-10-CM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Medical necessity validation (diagnosis justifies procedure)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CMS LCD/NCD policies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Ongoing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ICD-10-CM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SNOMED 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Billing code to clinical terminology (reverse mapping)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NLM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Biannual</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ICD-9-CM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ICD-10-CM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Legacy data migration (historical records)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CMS GEMs (General Equivalence Mappings)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Static (legacy)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CVX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CPT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Vaccine administered to billing code for immunization claims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CDC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Annual</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10.2 Mapping Challenges</w:t>
      </w:r>
    </w:p>
    <w:p>
      <w:pPr>
        <w:spacing w:after="160" w:line="276"/>
      </w:pPr>
      <w:r>
        <w:rPr>
          <w:rFonts w:ascii="Arial" w:cs="Arial" w:eastAsia="Arial" w:hAnsi="Arial"/>
          <w:color w:val="333333"/>
          <w:sz w:val="21"/>
          <w:szCs w:val="21"/>
        </w:rPr>
        <w:t xml:space="preserve">Terminology mapping is inherently imperfect. Different coding systems have different levels of granularity, different organizational structures, and different purposes. IT professionals must understand these challenges.</w:t>
      </w:r>
    </w:p>
    <w:p>
      <w:pPr>
        <w:pStyle w:val="ListParagraph"/>
        <w:numPr>
          <w:ilvl w:val="0"/>
          <w:numId w:val="2"/>
        </w:numPr>
        <w:spacing w:after="80" w:line="276"/>
      </w:pPr>
      <w:r>
        <w:rPr>
          <w:rFonts w:ascii="Arial" w:cs="Arial" w:eastAsia="Arial" w:hAnsi="Arial"/>
          <w:b/>
          <w:bCs/>
          <w:color w:val="333333"/>
          <w:sz w:val="21"/>
          <w:szCs w:val="21"/>
        </w:rPr>
        <w:t xml:space="preserve">One-to-many mappings: </w:t>
      </w:r>
      <w:r>
        <w:rPr>
          <w:rFonts w:ascii="Arial" w:cs="Arial" w:eastAsia="Arial" w:hAnsi="Arial"/>
          <w:color w:val="333333"/>
          <w:sz w:val="21"/>
          <w:szCs w:val="21"/>
        </w:rPr>
        <w:t xml:space="preserve">A single SNOMED CT concept may map to multiple ICD-10-CM codes. Example: SNOMED CT ‘Type 2 diabetes mellitus with chronic kidney disease’ requires two ICD-10-CM codes (E11.22 + N18.x). IT systems must handle one-to-many relationships and code sequencing rules.</w:t>
      </w:r>
    </w:p>
    <w:p>
      <w:pPr>
        <w:pStyle w:val="ListParagraph"/>
        <w:numPr>
          <w:ilvl w:val="0"/>
          <w:numId w:val="2"/>
        </w:numPr>
        <w:spacing w:after="80" w:line="276"/>
      </w:pPr>
      <w:r>
        <w:rPr>
          <w:rFonts w:ascii="Arial" w:cs="Arial" w:eastAsia="Arial" w:hAnsi="Arial"/>
          <w:b/>
          <w:bCs/>
          <w:color w:val="333333"/>
          <w:sz w:val="21"/>
          <w:szCs w:val="21"/>
        </w:rPr>
        <w:t xml:space="preserve">Many-to-one mappings: </w:t>
      </w:r>
      <w:r>
        <w:rPr>
          <w:rFonts w:ascii="Arial" w:cs="Arial" w:eastAsia="Arial" w:hAnsi="Arial"/>
          <w:color w:val="333333"/>
          <w:sz w:val="21"/>
          <w:szCs w:val="21"/>
        </w:rPr>
        <w:t xml:space="preserve">Multiple SNOMED CT concepts may map to a single ICD-10-CM code. Example: Multiple specific SNOMED CT fracture concepts map to a single ICD-10-CM unspecified fracture code. This results in loss of clinical specificity in billing data.</w:t>
      </w:r>
    </w:p>
    <w:p>
      <w:pPr>
        <w:pStyle w:val="ListParagraph"/>
        <w:numPr>
          <w:ilvl w:val="0"/>
          <w:numId w:val="2"/>
        </w:numPr>
        <w:spacing w:after="80" w:line="276"/>
      </w:pPr>
      <w:r>
        <w:rPr>
          <w:rFonts w:ascii="Arial" w:cs="Arial" w:eastAsia="Arial" w:hAnsi="Arial"/>
          <w:b/>
          <w:bCs/>
          <w:color w:val="333333"/>
          <w:sz w:val="21"/>
          <w:szCs w:val="21"/>
        </w:rPr>
        <w:t xml:space="preserve">No-map scenarios: </w:t>
      </w:r>
      <w:r>
        <w:rPr>
          <w:rFonts w:ascii="Arial" w:cs="Arial" w:eastAsia="Arial" w:hAnsi="Arial"/>
          <w:color w:val="333333"/>
          <w:sz w:val="21"/>
          <w:szCs w:val="21"/>
        </w:rPr>
        <w:t xml:space="preserve">Some concepts in one system have no equivalent in another. SNOMED CT concepts for nursing assessments may have no ICD-10-CM counterpart. IT systems must handle unmapped concepts gracefully.</w:t>
      </w:r>
    </w:p>
    <w:p>
      <w:pPr>
        <w:pStyle w:val="ListParagraph"/>
        <w:numPr>
          <w:ilvl w:val="0"/>
          <w:numId w:val="2"/>
        </w:numPr>
        <w:spacing w:after="80" w:line="276"/>
      </w:pPr>
      <w:r>
        <w:rPr>
          <w:rFonts w:ascii="Arial" w:cs="Arial" w:eastAsia="Arial" w:hAnsi="Arial"/>
          <w:b/>
          <w:bCs/>
          <w:color w:val="333333"/>
          <w:sz w:val="21"/>
          <w:szCs w:val="21"/>
        </w:rPr>
        <w:t xml:space="preserve">Context-dependent mappings: </w:t>
      </w:r>
      <w:r>
        <w:rPr>
          <w:rFonts w:ascii="Arial" w:cs="Arial" w:eastAsia="Arial" w:hAnsi="Arial"/>
          <w:color w:val="333333"/>
          <w:sz w:val="21"/>
          <w:szCs w:val="21"/>
        </w:rPr>
        <w:t xml:space="preserve">The correct ICD-10-CM code for a SNOMED CT concept may depend on clinical context (patient age, encounter type, comorbidities). Automated mapping without clinical context can produce incorrect codes.</w:t>
      </w:r>
    </w:p>
    <w:p>
      <w:pPr>
        <w:pStyle w:val="ListParagraph"/>
        <w:numPr>
          <w:ilvl w:val="0"/>
          <w:numId w:val="2"/>
        </w:numPr>
        <w:spacing w:after="80" w:line="276"/>
      </w:pPr>
      <w:r>
        <w:rPr>
          <w:rFonts w:ascii="Arial" w:cs="Arial" w:eastAsia="Arial" w:hAnsi="Arial"/>
          <w:b/>
          <w:bCs/>
          <w:color w:val="333333"/>
          <w:sz w:val="21"/>
          <w:szCs w:val="21"/>
        </w:rPr>
        <w:t xml:space="preserve">Map currency: </w:t>
      </w:r>
      <w:r>
        <w:rPr>
          <w:rFonts w:ascii="Arial" w:cs="Arial" w:eastAsia="Arial" w:hAnsi="Arial"/>
          <w:color w:val="333333"/>
          <w:sz w:val="21"/>
          <w:szCs w:val="21"/>
        </w:rPr>
        <w:t xml:space="preserve">Maps must be updated when either the source or target code system is updated. A map that was correct in ICD-10-CM FY2024 may be incorrect in FY2025 if codes were added or deleted.</w:t>
      </w:r>
    </w:p>
    <w:p>
      <w:pPr>
        <w:pStyle w:val="Heading2"/>
        <w:spacing w:before="280" w:after="160"/>
      </w:pPr>
      <w:r>
        <w:rPr>
          <w:rFonts w:ascii="Arial" w:cs="Arial" w:eastAsia="Arial" w:hAnsi="Arial"/>
          <w:b/>
          <w:bCs/>
          <w:color w:val="2E75B6"/>
          <w:sz w:val="26"/>
          <w:szCs w:val="26"/>
        </w:rPr>
        <w:t xml:space="preserve">10.3 Terminology Services Architecture</w:t>
      </w:r>
    </w:p>
    <w:p>
      <w:pPr>
        <w:spacing w:after="160" w:line="276"/>
      </w:pPr>
      <w:r>
        <w:rPr>
          <w:rFonts w:ascii="Arial" w:cs="Arial" w:eastAsia="Arial" w:hAnsi="Arial"/>
          <w:color w:val="333333"/>
          <w:sz w:val="21"/>
          <w:szCs w:val="21"/>
        </w:rPr>
        <w:t xml:space="preserve">Modern healthcare IT architectures use centralized terminology services to manage coding systems, maps, and value sets across the enterprise.</w:t>
      </w:r>
    </w:p>
    <w:p>
      <w:pPr>
        <w:pStyle w:val="Heading3"/>
        <w:spacing w:before="200" w:after="120"/>
      </w:pPr>
      <w:r>
        <w:rPr>
          <w:rFonts w:ascii="Arial" w:cs="Arial" w:eastAsia="Arial" w:hAnsi="Arial"/>
          <w:b/>
          <w:bCs/>
          <w:color w:val="1B3A5C"/>
          <w:sz w:val="22"/>
          <w:szCs w:val="22"/>
        </w:rPr>
        <w:t xml:space="preserve">10.3.1 Terminology Server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Standards/Tools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Code Validation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Verify that a code is valid in a specific code system and version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FHIR CodeSystem/$validate-code operation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Code Lookup</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Retrieve display name, properties, and relationships for a code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FHIR CodeSystem/$lookup operation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Concept Mapping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Translate codes between code systems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FHIR ConceptMap/$translate operation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Value Set Expansion</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Expand a value set definition into the list of member codes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FHIR ValueSet/$expand operation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Value Set Validation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Check if a code is a member of a value set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FHIR ValueSet/$validate-code operation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Subsumption Testing</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Determine if concept A is a subtype of concept B (IS-A)</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FHIR CodeSystem/$subsumes operation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Search/Autocomplete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Text-based search for concepts with auto-suggest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FHIR ValueSet/$expand with filter parameter</w:t>
            </w:r>
          </w:p>
        </w:tc>
      </w:tr>
    </w:tbl>
    <w:p>
      <w:pPr>
        <w:spacing w:after="160" w:line="276"/>
      </w:pPr>
      <w:r>
        <w:rPr>
          <w:rFonts w:ascii="Arial" w:cs="Arial" w:eastAsia="Arial" w:hAnsi="Arial"/>
          <w:color w:val="333333"/>
          <w:sz w:val="21"/>
          <w:szCs w:val="21"/>
        </w:rPr>
        <w:t xml:space="preserve"/>
      </w:r>
    </w:p>
    <w:p>
      <w:pPr>
        <w:pStyle w:val="Heading3"/>
        <w:spacing w:before="200" w:after="120"/>
      </w:pPr>
      <w:r>
        <w:rPr>
          <w:rFonts w:ascii="Arial" w:cs="Arial" w:eastAsia="Arial" w:hAnsi="Arial"/>
          <w:b/>
          <w:bCs/>
          <w:color w:val="1B3A5C"/>
          <w:sz w:val="22"/>
          <w:szCs w:val="22"/>
        </w:rPr>
        <w:t xml:space="preserve">10.3.2 Terminology Server Products</w:t>
      </w:r>
    </w:p>
    <w:p>
      <w:pPr>
        <w:pStyle w:val="ListParagraph"/>
        <w:numPr>
          <w:ilvl w:val="0"/>
          <w:numId w:val="2"/>
        </w:numPr>
        <w:spacing w:after="80" w:line="276"/>
      </w:pPr>
      <w:r>
        <w:rPr>
          <w:rFonts w:ascii="Arial" w:cs="Arial" w:eastAsia="Arial" w:hAnsi="Arial"/>
          <w:b/>
          <w:bCs/>
          <w:color w:val="333333"/>
          <w:sz w:val="21"/>
          <w:szCs w:val="21"/>
        </w:rPr>
        <w:t xml:space="preserve">FHIR Terminology Servers: </w:t>
      </w:r>
      <w:r>
        <w:rPr>
          <w:rFonts w:ascii="Arial" w:cs="Arial" w:eastAsia="Arial" w:hAnsi="Arial"/>
          <w:color w:val="333333"/>
          <w:sz w:val="21"/>
          <w:szCs w:val="21"/>
        </w:rPr>
        <w:t xml:space="preserve">Ontoserver (CSIRO), Snowstorm (SNOMED International), HAPI FHIR Terminology Server, Apelon DTS, and commercial offerings from InterSystems, Wolters Kluwer, and IMO.</w:t>
      </w:r>
    </w:p>
    <w:p>
      <w:pPr>
        <w:pStyle w:val="ListParagraph"/>
        <w:numPr>
          <w:ilvl w:val="0"/>
          <w:numId w:val="2"/>
        </w:numPr>
        <w:spacing w:after="80" w:line="276"/>
      </w:pPr>
      <w:r>
        <w:rPr>
          <w:rFonts w:ascii="Arial" w:cs="Arial" w:eastAsia="Arial" w:hAnsi="Arial"/>
          <w:b/>
          <w:bCs/>
          <w:color w:val="333333"/>
          <w:sz w:val="21"/>
          <w:szCs w:val="21"/>
        </w:rPr>
        <w:t xml:space="preserve">NLM Services: </w:t>
      </w:r>
      <w:r>
        <w:rPr>
          <w:rFonts w:ascii="Arial" w:cs="Arial" w:eastAsia="Arial" w:hAnsi="Arial"/>
          <w:color w:val="333333"/>
          <w:sz w:val="21"/>
          <w:szCs w:val="21"/>
        </w:rPr>
        <w:t xml:space="preserve">UMLS (Unified Medical Language System) integrates over 200 biomedical vocabularies. VSAC (Value Set Authority Center) distributes value sets for quality measures. RxNav provides RxNorm API services. All freely available.</w:t>
      </w:r>
    </w:p>
    <w:p>
      <w:pPr>
        <w:pStyle w:val="ListParagraph"/>
        <w:numPr>
          <w:ilvl w:val="0"/>
          <w:numId w:val="2"/>
        </w:numPr>
        <w:spacing w:after="80" w:line="276"/>
      </w:pPr>
      <w:r>
        <w:rPr>
          <w:rFonts w:ascii="Arial" w:cs="Arial" w:eastAsia="Arial" w:hAnsi="Arial"/>
          <w:b/>
          <w:bCs/>
          <w:color w:val="333333"/>
          <w:sz w:val="21"/>
          <w:szCs w:val="21"/>
        </w:rPr>
        <w:t xml:space="preserve">EHR-Embedded Terminology: </w:t>
      </w:r>
      <w:r>
        <w:rPr>
          <w:rFonts w:ascii="Arial" w:cs="Arial" w:eastAsia="Arial" w:hAnsi="Arial"/>
          <w:color w:val="333333"/>
          <w:sz w:val="21"/>
          <w:szCs w:val="21"/>
        </w:rPr>
        <w:t xml:space="preserve">Major EHR platforms (Epic, Oracle Health) embed terminology management within their platforms, including IMO (Intelligent Medical Objects) as a clinician-friendly interface to SNOMED CT and ICD-10-CM.</w:t>
      </w:r>
    </w:p>
    <w:p>
      <w:pPr>
        <w:pStyle w:val="Heading2"/>
        <w:spacing w:before="280" w:after="160"/>
      </w:pPr>
      <w:r>
        <w:rPr>
          <w:rFonts w:ascii="Arial" w:cs="Arial" w:eastAsia="Arial" w:hAnsi="Arial"/>
          <w:b/>
          <w:bCs/>
          <w:color w:val="2E75B6"/>
          <w:sz w:val="26"/>
          <w:szCs w:val="26"/>
        </w:rPr>
        <w:t xml:space="preserve">10.4 Value Sets: The Operational Unit of Terminology</w:t>
      </w:r>
    </w:p>
    <w:p>
      <w:pPr>
        <w:spacing w:after="160" w:line="276"/>
      </w:pPr>
      <w:r>
        <w:rPr>
          <w:rFonts w:ascii="Arial" w:cs="Arial" w:eastAsia="Arial" w:hAnsi="Arial"/>
          <w:color w:val="333333"/>
          <w:sz w:val="21"/>
          <w:szCs w:val="21"/>
        </w:rPr>
        <w:t xml:space="preserve">A value set is a curated list of codes from one or more code systems that defines the allowable values for a specific data element or use case. Value sets are the operational unit through which coding systems are used in IT systems.</w:t>
      </w:r>
    </w:p>
    <w:p>
      <w:pPr>
        <w:pStyle w:val="ListParagraph"/>
        <w:numPr>
          <w:ilvl w:val="0"/>
          <w:numId w:val="2"/>
        </w:numPr>
        <w:spacing w:after="80" w:line="276"/>
      </w:pPr>
      <w:r>
        <w:rPr>
          <w:rFonts w:ascii="Arial" w:cs="Arial" w:eastAsia="Arial" w:hAnsi="Arial"/>
          <w:b/>
          <w:bCs/>
          <w:color w:val="333333"/>
          <w:sz w:val="21"/>
          <w:szCs w:val="21"/>
        </w:rPr>
        <w:t xml:space="preserve">Clinical use: </w:t>
      </w:r>
      <w:r>
        <w:rPr>
          <w:rFonts w:ascii="Arial" w:cs="Arial" w:eastAsia="Arial" w:hAnsi="Arial"/>
          <w:color w:val="333333"/>
          <w:sz w:val="21"/>
          <w:szCs w:val="21"/>
        </w:rPr>
        <w:t xml:space="preserve">EHR pick lists for problem lists, allergies, medications, procedures, and assessments are all driven by value sets. Example: An allergy type picker might use a value set of SNOMED CT allergy substance concepts.</w:t>
      </w:r>
    </w:p>
    <w:p>
      <w:pPr>
        <w:pStyle w:val="ListParagraph"/>
        <w:numPr>
          <w:ilvl w:val="0"/>
          <w:numId w:val="2"/>
        </w:numPr>
        <w:spacing w:after="80" w:line="276"/>
      </w:pPr>
      <w:r>
        <w:rPr>
          <w:rFonts w:ascii="Arial" w:cs="Arial" w:eastAsia="Arial" w:hAnsi="Arial"/>
          <w:b/>
          <w:bCs/>
          <w:color w:val="333333"/>
          <w:sz w:val="21"/>
          <w:szCs w:val="21"/>
        </w:rPr>
        <w:t xml:space="preserve">Quality measures: </w:t>
      </w:r>
      <w:r>
        <w:rPr>
          <w:rFonts w:ascii="Arial" w:cs="Arial" w:eastAsia="Arial" w:hAnsi="Arial"/>
          <w:color w:val="333333"/>
          <w:sz w:val="21"/>
          <w:szCs w:val="21"/>
        </w:rPr>
        <w:t xml:space="preserve">Every eCQM (electronic Clinical Quality Measure) defines value sets specifying which codes qualify for numerator, denominator, and exclusion populations. These are published in VSAC and must be updated annually.</w:t>
      </w:r>
    </w:p>
    <w:p>
      <w:pPr>
        <w:pStyle w:val="ListParagraph"/>
        <w:numPr>
          <w:ilvl w:val="0"/>
          <w:numId w:val="2"/>
        </w:numPr>
        <w:spacing w:after="80" w:line="276"/>
      </w:pPr>
      <w:r>
        <w:rPr>
          <w:rFonts w:ascii="Arial" w:cs="Arial" w:eastAsia="Arial" w:hAnsi="Arial"/>
          <w:b/>
          <w:bCs/>
          <w:color w:val="333333"/>
          <w:sz w:val="21"/>
          <w:szCs w:val="21"/>
        </w:rPr>
        <w:t xml:space="preserve">CDS rules: </w:t>
      </w:r>
      <w:r>
        <w:rPr>
          <w:rFonts w:ascii="Arial" w:cs="Arial" w:eastAsia="Arial" w:hAnsi="Arial"/>
          <w:color w:val="333333"/>
          <w:sz w:val="21"/>
          <w:szCs w:val="21"/>
        </w:rPr>
        <w:t xml:space="preserve">Clinical decision support alerts reference value sets to determine when to fire. Example: A sepsis alert fires when any code from a ‘Sepsis Diagnosis’ value set appears on the problem list.</w:t>
      </w:r>
    </w:p>
    <w:p>
      <w:pPr>
        <w:pStyle w:val="ListParagraph"/>
        <w:numPr>
          <w:ilvl w:val="0"/>
          <w:numId w:val="2"/>
        </w:numPr>
        <w:spacing w:after="80" w:line="276"/>
      </w:pPr>
      <w:r>
        <w:rPr>
          <w:rFonts w:ascii="Arial" w:cs="Arial" w:eastAsia="Arial" w:hAnsi="Arial"/>
          <w:b/>
          <w:bCs/>
          <w:color w:val="333333"/>
          <w:sz w:val="21"/>
          <w:szCs w:val="21"/>
        </w:rPr>
        <w:t xml:space="preserve">Interoperability: </w:t>
      </w:r>
      <w:r>
        <w:rPr>
          <w:rFonts w:ascii="Arial" w:cs="Arial" w:eastAsia="Arial" w:hAnsi="Arial"/>
          <w:color w:val="333333"/>
          <w:sz w:val="21"/>
          <w:szCs w:val="21"/>
        </w:rPr>
        <w:t xml:space="preserve">FHIR profiles bind data elements to value sets, constraining which codes are valid. USCDI defines required value sets for each data class.</w:t>
      </w:r>
    </w:p>
    <w:p>
      <w:pPr>
        <w:pStyle w:val="ListParagraph"/>
        <w:numPr>
          <w:ilvl w:val="0"/>
          <w:numId w:val="2"/>
        </w:numPr>
        <w:spacing w:after="80" w:line="276"/>
      </w:pPr>
      <w:r>
        <w:rPr>
          <w:rFonts w:ascii="Arial" w:cs="Arial" w:eastAsia="Arial" w:hAnsi="Arial"/>
          <w:b/>
          <w:bCs/>
          <w:color w:val="333333"/>
          <w:sz w:val="21"/>
          <w:szCs w:val="21"/>
        </w:rPr>
        <w:t xml:space="preserve">Governance: </w:t>
      </w:r>
      <w:r>
        <w:rPr>
          <w:rFonts w:ascii="Arial" w:cs="Arial" w:eastAsia="Arial" w:hAnsi="Arial"/>
          <w:color w:val="333333"/>
          <w:sz w:val="21"/>
          <w:szCs w:val="21"/>
        </w:rPr>
        <w:t xml:space="preserve">Value set management requires clinical governance — determining which codes to include, reviewing new codes at each update cycle, and coordinating changes across CDS rules, quality measures, and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1"/>
              <w:left w:val="single" w:color="8E44AD" w:sz="12"/>
              <w:bottom w:val="single" w:color="8E44AD" w:sz="1"/>
              <w:right w:val="single" w:color="8E44AD" w:sz="1"/>
            </w:tcBorders>
            <w:shd w:fill="F5EEF8" w:val="clear"/>
            <w:tcMar>
              <w:top w:type="dxa" w:w="120"/>
              <w:left w:type="dxa" w:w="200"/>
              <w:bottom w:type="dxa" w:w="120"/>
              <w:right w:type="dxa" w:w="200"/>
            </w:tcMar>
          </w:tcPr>
          <w:p>
            <w:pPr>
              <w:spacing w:after="80"/>
            </w:pPr>
            <w:r>
              <w:rPr>
                <w:rFonts w:ascii="Arial" w:cs="Arial" w:eastAsia="Arial" w:hAnsi="Arial"/>
                <w:b/>
                <w:bCs/>
                <w:color w:val="8E44AD"/>
                <w:sz w:val="21"/>
                <w:szCs w:val="21"/>
              </w:rPr>
              <w:t xml:space="preserve">Enterprise Terminology Architecture</w:t>
            </w:r>
          </w:p>
          <w:p>
            <w:pPr>
              <w:spacing w:after="0" w:line="276"/>
            </w:pPr>
            <w:r>
              <w:rPr>
                <w:rFonts w:ascii="Arial" w:cs="Arial" w:eastAsia="Arial" w:hAnsi="Arial"/>
                <w:i/>
                <w:iCs/>
                <w:color w:val="333333"/>
                <w:sz w:val="20"/>
                <w:szCs w:val="20"/>
              </w:rPr>
              <w:t xml:space="preserve">Best practice for large health systems is to deploy a centralized terminology service that: (1) hosts all code systems with version management, (2) manages crosswalks and maps centrally, (3) distributes value sets to consuming systems (EHR, analytics, claims), (4) provides FHIR terminology operations for real-time lookups, and (5) governs code system updates with clinical review workflows. This avoids the chaos of each system maintaining its own inconsistent code tables.</w:t>
            </w:r>
          </w:p>
        </w:tc>
      </w:tr>
    </w:tbl>
    <w:p>
      <w:pPr>
        <w:spacing w:after="160" w:line="276"/>
      </w:pPr>
      <w:r>
        <w:rPr>
          <w:rFonts w:ascii="Arial" w:cs="Arial" w:eastAsia="Arial" w:hAnsi="Arial"/>
          <w:color w:val="333333"/>
          <w:sz w:val="21"/>
          <w:szCs w:val="21"/>
        </w:rPr>
        <w:t xml:space="preserve"/>
      </w:r>
    </w:p>
    <w:p>
      <w:r>
        <w:br w:type="page"/>
      </w:r>
    </w:p>
    <w:p>
      <w:pPr>
        <w:pStyle w:val="Heading1"/>
        <w:spacing w:before="360" w:after="200"/>
      </w:pPr>
      <w:r>
        <w:rPr>
          <w:rFonts w:ascii="Arial" w:cs="Arial" w:eastAsia="Arial" w:hAnsi="Arial"/>
          <w:b/>
          <w:bCs/>
          <w:color w:val="1B3A5C"/>
          <w:sz w:val="32"/>
          <w:szCs w:val="32"/>
        </w:rPr>
        <w:t xml:space="preserve">11. Comprehensive Coding System Integration Map</w:t>
      </w:r>
    </w:p>
    <w:p>
      <w:pPr>
        <w:spacing w:after="160" w:line="276"/>
      </w:pPr>
      <w:r>
        <w:rPr>
          <w:rFonts w:ascii="Arial" w:cs="Arial" w:eastAsia="Arial" w:hAnsi="Arial"/>
          <w:color w:val="333333"/>
          <w:sz w:val="21"/>
          <w:szCs w:val="21"/>
        </w:rPr>
        <w:t xml:space="preserve">The following table summarizes how every major coding system flows through the healthcare IT architecture, from clinical documentation through billing, interoperability, analytics, and quality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20"/>
        <w:gridCol w:w="920"/>
        <w:gridCol w:w="920"/>
        <w:gridCol w:w="920"/>
        <w:gridCol w:w="920"/>
        <w:gridCol w:w="920"/>
        <w:gridCol w:w="920"/>
        <w:gridCol w:w="92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 System / Function</w:t>
            </w:r>
          </w:p>
        </w:tc>
        <w:tc>
          <w:tcPr>
            <w:tcW w:type="dxa" w:w="9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ICD-10-CM</w:t>
            </w:r>
          </w:p>
        </w:tc>
        <w:tc>
          <w:tcPr>
            <w:tcW w:type="dxa" w:w="9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ICD-10-PCS</w:t>
            </w:r>
          </w:p>
        </w:tc>
        <w:tc>
          <w:tcPr>
            <w:tcW w:type="dxa" w:w="9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CPT</w:t>
            </w:r>
          </w:p>
        </w:tc>
        <w:tc>
          <w:tcPr>
            <w:tcW w:type="dxa" w:w="9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HCPCS</w:t>
            </w:r>
          </w:p>
        </w:tc>
        <w:tc>
          <w:tcPr>
            <w:tcW w:type="dxa" w:w="9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SNOMED CT</w:t>
            </w:r>
          </w:p>
        </w:tc>
        <w:tc>
          <w:tcPr>
            <w:tcW w:type="dxa" w:w="9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LOINC</w:t>
            </w:r>
          </w:p>
        </w:tc>
        <w:tc>
          <w:tcPr>
            <w:tcW w:type="dxa" w:w="9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RxNorm</w:t>
            </w:r>
          </w:p>
        </w:tc>
        <w:tc>
          <w:tcPr>
            <w:tcW w:type="dxa" w:w="9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NDC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EHR Problem List</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(primary)</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EHR Orders/CPOE</w:t>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Orders ref</w:t>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(lab)</w:t>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(meds)</w:t>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Clinical Documentation</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(dx)</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(primary)</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(obs)</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Pharmacy Systems</w:t>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(primary)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Laboratory Systems</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(primary)</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Professional Claims (837P)</w:t>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(primary)</w:t>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Facility Claims (837I)</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(primary)</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Supplies</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Quality Measures (eCQM)</w:t>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FHIR Interoperability</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(primary)</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(primary)</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(primary)</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DRG Grouper</w:t>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(input)</w:t>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(input)</w:t>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APC Grouper</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(input)</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(input)</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(input)</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CDS / Alerts</w:t>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(primary)</w:t>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Public Health Reporting</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(labs)</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Analytics / Data Warehouse</w:t>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t>
            </w:r>
          </w:p>
        </w:tc>
      </w:tr>
    </w:tbl>
    <w:p>
      <w:pPr>
        <w:spacing w:after="160" w:line="276"/>
      </w:pPr>
      <w:r>
        <w:rPr>
          <w:rFonts w:ascii="Arial" w:cs="Arial" w:eastAsia="Arial" w:hAnsi="Arial"/>
          <w:color w:val="333333"/>
          <w:sz w:val="21"/>
          <w:szCs w:val="21"/>
        </w:rPr>
        <w:t xml:space="preserve"/>
      </w:r>
    </w:p>
    <w:p>
      <w:r>
        <w:br w:type="page"/>
      </w:r>
    </w:p>
    <w:p>
      <w:pPr>
        <w:pStyle w:val="Heading1"/>
        <w:spacing w:before="360" w:after="200"/>
      </w:pPr>
      <w:r>
        <w:rPr>
          <w:rFonts w:ascii="Arial" w:cs="Arial" w:eastAsia="Arial" w:hAnsi="Arial"/>
          <w:b/>
          <w:bCs/>
          <w:color w:val="1B3A5C"/>
          <w:sz w:val="32"/>
          <w:szCs w:val="32"/>
        </w:rPr>
        <w:t xml:space="preserve">12. Summary &amp; Key Takeaways</w:t>
      </w:r>
    </w:p>
    <w:p>
      <w:pPr>
        <w:spacing w:after="160" w:line="276"/>
      </w:pPr>
      <w:r>
        <w:rPr>
          <w:rFonts w:ascii="Arial" w:cs="Arial" w:eastAsia="Arial" w:hAnsi="Arial"/>
          <w:color w:val="333333"/>
          <w:sz w:val="21"/>
          <w:szCs w:val="21"/>
        </w:rPr>
        <w:t xml:space="preserve">Healthcare coding and classification systems form the data backbone of the entire health IT ecosystem. For IT professionals, deep understanding of these systems is not optional — it is essential for building, integrating, and optimizing every healthcare technology solution.</w:t>
      </w:r>
    </w:p>
    <w:p>
      <w:pPr>
        <w:pStyle w:val="ListParagraph"/>
        <w:numPr>
          <w:ilvl w:val="0"/>
          <w:numId w:val="3"/>
        </w:numPr>
        <w:spacing w:after="80" w:line="276"/>
      </w:pPr>
      <w:r>
        <w:rPr>
          <w:rFonts w:ascii="Arial" w:cs="Arial" w:eastAsia="Arial" w:hAnsi="Arial"/>
          <w:b/>
          <w:bCs/>
          <w:color w:val="333333"/>
          <w:sz w:val="21"/>
          <w:szCs w:val="21"/>
        </w:rPr>
        <w:t xml:space="preserve">ICD-10-CM/PCS drives inpatient revenue: </w:t>
      </w:r>
      <w:r>
        <w:rPr>
          <w:rFonts w:ascii="Arial" w:cs="Arial" w:eastAsia="Arial" w:hAnsi="Arial"/>
          <w:color w:val="333333"/>
          <w:sz w:val="21"/>
          <w:szCs w:val="21"/>
        </w:rPr>
        <w:t xml:space="preserve">Diagnosis coding (CM) and procedure coding (PCS) are the primary inputs to the DRG grouper that determines inpatient reimbursement. IT systems must support code validation, annual updates, and real-time DRG estimation.</w:t>
      </w:r>
    </w:p>
    <w:p>
      <w:pPr>
        <w:pStyle w:val="ListParagraph"/>
        <w:numPr>
          <w:ilvl w:val="0"/>
          <w:numId w:val="3"/>
        </w:numPr>
        <w:spacing w:after="80" w:line="276"/>
      </w:pPr>
      <w:r>
        <w:rPr>
          <w:rFonts w:ascii="Arial" w:cs="Arial" w:eastAsia="Arial" w:hAnsi="Arial"/>
          <w:b/>
          <w:bCs/>
          <w:color w:val="333333"/>
          <w:sz w:val="21"/>
          <w:szCs w:val="21"/>
        </w:rPr>
        <w:t xml:space="preserve">CPT drives professional and outpatient revenue: </w:t>
      </w:r>
      <w:r>
        <w:rPr>
          <w:rFonts w:ascii="Arial" w:cs="Arial" w:eastAsia="Arial" w:hAnsi="Arial"/>
          <w:color w:val="333333"/>
          <w:sz w:val="21"/>
          <w:szCs w:val="21"/>
        </w:rPr>
        <w:t xml:space="preserve">AMA-maintained procedure codes are on every professional claim. Understanding E/M levels, modifiers, NCCI edits, and global surgical packages is essential for billing system configuration.</w:t>
      </w:r>
    </w:p>
    <w:p>
      <w:pPr>
        <w:pStyle w:val="ListParagraph"/>
        <w:numPr>
          <w:ilvl w:val="0"/>
          <w:numId w:val="3"/>
        </w:numPr>
        <w:spacing w:after="80" w:line="276"/>
      </w:pPr>
      <w:r>
        <w:rPr>
          <w:rFonts w:ascii="Arial" w:cs="Arial" w:eastAsia="Arial" w:hAnsi="Arial"/>
          <w:b/>
          <w:bCs/>
          <w:color w:val="333333"/>
          <w:sz w:val="21"/>
          <w:szCs w:val="21"/>
        </w:rPr>
        <w:t xml:space="preserve">HCPCS fills the gaps: </w:t>
      </w:r>
      <w:r>
        <w:rPr>
          <w:rFonts w:ascii="Arial" w:cs="Arial" w:eastAsia="Arial" w:hAnsi="Arial"/>
          <w:color w:val="333333"/>
          <w:sz w:val="21"/>
          <w:szCs w:val="21"/>
        </w:rPr>
        <w:t xml:space="preserve">Supplies, DME, ambulance services, and provider-administered drugs are coded with HCPCS. J-code drug billing requires NDC-to-HCPCS crosswalks and unit calculation logic.</w:t>
      </w:r>
    </w:p>
    <w:p>
      <w:pPr>
        <w:pStyle w:val="ListParagraph"/>
        <w:numPr>
          <w:ilvl w:val="0"/>
          <w:numId w:val="3"/>
        </w:numPr>
        <w:spacing w:after="80" w:line="276"/>
      </w:pPr>
      <w:r>
        <w:rPr>
          <w:rFonts w:ascii="Arial" w:cs="Arial" w:eastAsia="Arial" w:hAnsi="Arial"/>
          <w:b/>
          <w:bCs/>
          <w:color w:val="333333"/>
          <w:sz w:val="21"/>
          <w:szCs w:val="21"/>
        </w:rPr>
        <w:t xml:space="preserve">SNOMED CT is the clinical language: </w:t>
      </w:r>
      <w:r>
        <w:rPr>
          <w:rFonts w:ascii="Arial" w:cs="Arial" w:eastAsia="Arial" w:hAnsi="Arial"/>
          <w:color w:val="333333"/>
          <w:sz w:val="21"/>
          <w:szCs w:val="21"/>
        </w:rPr>
        <w:t xml:space="preserve">The richest clinical terminology for documentation, CDS, and interoperability. SNOMED-to-ICD mapping bridges clinical documentation and billing.</w:t>
      </w:r>
    </w:p>
    <w:p>
      <w:pPr>
        <w:pStyle w:val="ListParagraph"/>
        <w:numPr>
          <w:ilvl w:val="0"/>
          <w:numId w:val="3"/>
        </w:numPr>
        <w:spacing w:after="80" w:line="276"/>
      </w:pPr>
      <w:r>
        <w:rPr>
          <w:rFonts w:ascii="Arial" w:cs="Arial" w:eastAsia="Arial" w:hAnsi="Arial"/>
          <w:b/>
          <w:bCs/>
          <w:color w:val="333333"/>
          <w:sz w:val="21"/>
          <w:szCs w:val="21"/>
        </w:rPr>
        <w:t xml:space="preserve">LOINC standardizes observations: </w:t>
      </w:r>
      <w:r>
        <w:rPr>
          <w:rFonts w:ascii="Arial" w:cs="Arial" w:eastAsia="Arial" w:hAnsi="Arial"/>
          <w:color w:val="333333"/>
          <w:sz w:val="21"/>
          <w:szCs w:val="21"/>
        </w:rPr>
        <w:t xml:space="preserve">Without LOINC, lab results and clinical observations cannot be meaningfully exchanged between systems. Local-to-LOINC mapping is a foundational interoperability task.</w:t>
      </w:r>
    </w:p>
    <w:p>
      <w:pPr>
        <w:pStyle w:val="ListParagraph"/>
        <w:numPr>
          <w:ilvl w:val="0"/>
          <w:numId w:val="3"/>
        </w:numPr>
        <w:spacing w:after="80" w:line="276"/>
      </w:pPr>
      <w:r>
        <w:rPr>
          <w:rFonts w:ascii="Arial" w:cs="Arial" w:eastAsia="Arial" w:hAnsi="Arial"/>
          <w:b/>
          <w:bCs/>
          <w:color w:val="333333"/>
          <w:sz w:val="21"/>
          <w:szCs w:val="21"/>
        </w:rPr>
        <w:t xml:space="preserve">RxNorm normalizes medications: </w:t>
      </w:r>
      <w:r>
        <w:rPr>
          <w:rFonts w:ascii="Arial" w:cs="Arial" w:eastAsia="Arial" w:hAnsi="Arial"/>
          <w:color w:val="333333"/>
          <w:sz w:val="21"/>
          <w:szCs w:val="21"/>
        </w:rPr>
        <w:t xml:space="preserve">The essential medication terminology for interoperability, CDS, and formulary checking. The bridge between clinical drug concepts and pharmacy-specific NDC identifiers.</w:t>
      </w:r>
    </w:p>
    <w:p>
      <w:pPr>
        <w:pStyle w:val="ListParagraph"/>
        <w:numPr>
          <w:ilvl w:val="0"/>
          <w:numId w:val="3"/>
        </w:numPr>
        <w:spacing w:after="80" w:line="276"/>
      </w:pPr>
      <w:r>
        <w:rPr>
          <w:rFonts w:ascii="Arial" w:cs="Arial" w:eastAsia="Arial" w:hAnsi="Arial"/>
          <w:b/>
          <w:bCs/>
          <w:color w:val="333333"/>
          <w:sz w:val="21"/>
          <w:szCs w:val="21"/>
        </w:rPr>
        <w:t xml:space="preserve">NDC identifies the physical product: </w:t>
      </w:r>
      <w:r>
        <w:rPr>
          <w:rFonts w:ascii="Arial" w:cs="Arial" w:eastAsia="Arial" w:hAnsi="Arial"/>
          <w:color w:val="333333"/>
          <w:sz w:val="21"/>
          <w:szCs w:val="21"/>
        </w:rPr>
        <w:t xml:space="preserve">Critical for pharmacy dispensing, 340B compliance, and supply chain management. NDC format normalization is a common IT challenge.</w:t>
      </w:r>
    </w:p>
    <w:p>
      <w:pPr>
        <w:pStyle w:val="ListParagraph"/>
        <w:numPr>
          <w:ilvl w:val="0"/>
          <w:numId w:val="3"/>
        </w:numPr>
        <w:spacing w:after="80" w:line="276"/>
      </w:pPr>
      <w:r>
        <w:rPr>
          <w:rFonts w:ascii="Arial" w:cs="Arial" w:eastAsia="Arial" w:hAnsi="Arial"/>
          <w:b/>
          <w:bCs/>
          <w:color w:val="333333"/>
          <w:sz w:val="21"/>
          <w:szCs w:val="21"/>
        </w:rPr>
        <w:t xml:space="preserve">DRGs and APCs determine payment: </w:t>
      </w:r>
      <w:r>
        <w:rPr>
          <w:rFonts w:ascii="Arial" w:cs="Arial" w:eastAsia="Arial" w:hAnsi="Arial"/>
          <w:color w:val="333333"/>
          <w:sz w:val="21"/>
          <w:szCs w:val="21"/>
        </w:rPr>
        <w:t xml:space="preserve">Understanding how coded data flows into payment classification systems is essential for revenue cycle IT, CDI technology, and financial analytics.</w:t>
      </w:r>
    </w:p>
    <w:p>
      <w:pPr>
        <w:pStyle w:val="ListParagraph"/>
        <w:numPr>
          <w:ilvl w:val="0"/>
          <w:numId w:val="3"/>
        </w:numPr>
        <w:spacing w:after="80" w:line="276"/>
      </w:pPr>
      <w:r>
        <w:rPr>
          <w:rFonts w:ascii="Arial" w:cs="Arial" w:eastAsia="Arial" w:hAnsi="Arial"/>
          <w:b/>
          <w:bCs/>
          <w:color w:val="333333"/>
          <w:sz w:val="21"/>
          <w:szCs w:val="21"/>
        </w:rPr>
        <w:t xml:space="preserve">Mapping is imperfect but essential: </w:t>
      </w:r>
      <w:r>
        <w:rPr>
          <w:rFonts w:ascii="Arial" w:cs="Arial" w:eastAsia="Arial" w:hAnsi="Arial"/>
          <w:color w:val="333333"/>
          <w:sz w:val="21"/>
          <w:szCs w:val="21"/>
        </w:rPr>
        <w:t xml:space="preserve">One-to-many, many-to-one, and no-map scenarios are inherent in cross-terminology mapping. IT systems must handle complexity gracefully.</w:t>
      </w:r>
    </w:p>
    <w:p>
      <w:pPr>
        <w:pStyle w:val="ListParagraph"/>
        <w:numPr>
          <w:ilvl w:val="0"/>
          <w:numId w:val="3"/>
        </w:numPr>
        <w:spacing w:after="80" w:line="276"/>
      </w:pPr>
      <w:r>
        <w:rPr>
          <w:rFonts w:ascii="Arial" w:cs="Arial" w:eastAsia="Arial" w:hAnsi="Arial"/>
          <w:b/>
          <w:bCs/>
          <w:color w:val="333333"/>
          <w:sz w:val="21"/>
          <w:szCs w:val="21"/>
        </w:rPr>
        <w:t xml:space="preserve">Terminology services are the architectural answer: </w:t>
      </w:r>
      <w:r>
        <w:rPr>
          <w:rFonts w:ascii="Arial" w:cs="Arial" w:eastAsia="Arial" w:hAnsi="Arial"/>
          <w:color w:val="333333"/>
          <w:sz w:val="21"/>
          <w:szCs w:val="21"/>
        </w:rPr>
        <w:t xml:space="preserve">Centralized, FHIR-compliant terminology servers provide enterprise-wide code validation, mapping, value set management, and search — the foundation for consistent coded data across all systems.</w:t>
      </w:r>
    </w:p>
    <w:p>
      <w:pPr>
        <w:pBdr>
          <w:bottom w:val="single" w:color="2E75B6" w:sz="6" w:space="1"/>
        </w:pBdr>
        <w:spacing w:before="200" w:after="200"/>
      </w:pPr>
    </w:p>
    <w:p>
      <w:pPr>
        <w:spacing w:after="160" w:line="276"/>
      </w:pPr>
      <w:r>
        <w:rPr>
          <w:rFonts w:ascii="Arial" w:cs="Arial" w:eastAsia="Arial" w:hAnsi="Arial"/>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DF3FA" w:val="clear"/>
            <w:tcMar>
              <w:top w:type="dxa" w:w="120"/>
              <w:left w:type="dxa" w:w="200"/>
              <w:bottom w:type="dxa" w:w="120"/>
              <w:right w:type="dxa" w:w="200"/>
            </w:tcMar>
          </w:tcPr>
          <w:p>
            <w:pPr>
              <w:spacing w:after="80"/>
            </w:pPr>
            <w:r>
              <w:rPr>
                <w:rFonts w:ascii="Arial" w:cs="Arial" w:eastAsia="Arial" w:hAnsi="Arial"/>
                <w:b/>
                <w:bCs/>
                <w:color w:val="2E75B6"/>
                <w:sz w:val="21"/>
                <w:szCs w:val="21"/>
              </w:rPr>
              <w:t xml:space="preserve">Final Thought</w:t>
            </w:r>
          </w:p>
          <w:p>
            <w:pPr>
              <w:spacing w:after="0" w:line="276"/>
            </w:pPr>
            <w:r>
              <w:rPr>
                <w:rFonts w:ascii="Arial" w:cs="Arial" w:eastAsia="Arial" w:hAnsi="Arial"/>
                <w:i/>
                <w:iCs/>
                <w:color w:val="333333"/>
                <w:sz w:val="20"/>
                <w:szCs w:val="20"/>
              </w:rPr>
              <w:t xml:space="preserve">Coding systems are not just billing tools — they are the language that healthcare IT systems use to represent clinical reality. When coding is accurate, claims get paid, quality measures reflect true performance, CDS alerts fire correctly, and analytics reveal genuine insights. When coding is inaccurate, everything downstream is compromised. IT professionals who understand coding systems deeply build better technology for the entire healthcare enterprise.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0"/>
    </w:pPr>
    <w:r>
      <w:rPr>
        <w:rFonts w:ascii="Arial" w:cs="Arial" w:eastAsia="Arial" w:hAnsi="Arial"/>
        <w:i/>
        <w:iCs/>
        <w:color w:val="666666"/>
        <w:sz w:val="18"/>
        <w:szCs w:val="18"/>
      </w:rPr>
      <w:t xml:space="preserve">Healthcare Coding &amp; Classification Systems</w:t>
    </w:r>
    <w:r>
      <w:rPr>
        <w:rFonts w:ascii="Arial" w:cs="Arial" w:eastAsia="Arial" w:hAnsi="Arial"/>
        <w:i/>
        <w:iCs/>
        <w:color w:val="666666"/>
        <w:sz w:val="18"/>
        <w:szCs w:val="18"/>
      </w:rPr>
      <w:t xml:space="preserve">	Section 1.3 — Healthcare Domain Mastery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2026-02-27T00:47:27.895Z</dcterms:created>
  <dcterms:modified xsi:type="dcterms:W3CDTF">2026-02-27T00:47:27.897Z</dcterms:modified>
</cp:coreProperties>
</file>

<file path=docProps/custom.xml><?xml version="1.0" encoding="utf-8"?>
<Properties xmlns="http://schemas.openxmlformats.org/officeDocument/2006/custom-properties" xmlns:vt="http://schemas.openxmlformats.org/officeDocument/2006/docPropsVTypes"/>
</file>