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3A5C"/>
          <w:sz w:val="56"/>
          <w:szCs w:val="56"/>
        </w:rPr>
        <w:t xml:space="preserve">HEALTHCARE DOMAIN</w:t>
      </w:r>
    </w:p>
    <w:p>
      <w:pPr>
        <w:spacing w:after="100"/>
        <w:jc w:val="center"/>
      </w:pPr>
      <w:r>
        <w:rPr>
          <w:rFonts w:ascii="Arial" w:cs="Arial" w:eastAsia="Arial" w:hAnsi="Arial"/>
          <w:b/>
          <w:bCs/>
          <w:color w:val="1B3A5C"/>
          <w:sz w:val="56"/>
          <w:szCs w:val="56"/>
        </w:rPr>
        <w:t xml:space="preserve">MASTERY FOR IT PROFESSIONALS</w:t>
      </w:r>
    </w:p>
    <w:p>
      <w:pPr>
        <w:spacing w:after="300"/>
      </w:pPr>
    </w:p>
    <w:p>
      <w:pPr>
        <w:spacing w:after="60"/>
        <w:jc w:val="center"/>
      </w:pPr>
      <w:r>
        <w:rPr>
          <w:rFonts w:ascii="Arial" w:cs="Arial" w:eastAsia="Arial" w:hAnsi="Arial"/>
          <w:b/>
          <w:bCs/>
          <w:color w:val="E8913A"/>
          <w:sz w:val="32"/>
          <w:szCs w:val="32"/>
        </w:rPr>
        <w:t xml:space="preserve">COMPLETE LEARNING PATH</w:t>
      </w:r>
    </w:p>
    <w:p>
      <w:pPr>
        <w:spacing w:after="200"/>
      </w:pPr>
    </w:p>
    <w:p>
      <w:pPr>
        <w:spacing w:after="80"/>
        <w:jc w:val="center"/>
      </w:pPr>
      <w:r>
        <w:rPr>
          <w:rFonts w:ascii="Arial" w:cs="Arial" w:eastAsia="Arial" w:hAnsi="Arial"/>
          <w:i/>
          <w:iCs/>
          <w:color w:val="2A7B88"/>
          <w:sz w:val="28"/>
          <w:szCs w:val="28"/>
        </w:rPr>
        <w:t xml:space="preserve">From Healthcare Fundamentals to Technology Leadership in the Health IT Ecosystem</w:t>
      </w:r>
    </w:p>
    <w:p>
      <w:pPr>
        <w:spacing w:after="200"/>
      </w:pPr>
    </w:p>
    <w:p>
      <w:pPr>
        <w:spacing w:after="80"/>
        <w:jc w:val="center"/>
      </w:pPr>
      <w:r>
        <w:rPr>
          <w:rFonts w:ascii="Arial" w:cs="Arial" w:eastAsia="Arial" w:hAnsi="Arial"/>
          <w:color w:val="1A1A1A"/>
          <w:sz w:val="22"/>
          <w:szCs w:val="22"/>
        </w:rPr>
        <w:t xml:space="preserve">Covering Clinical Workflows, EHR Systems, Interoperability, Data &amp; Analytics,</w:t>
      </w:r>
    </w:p>
    <w:p>
      <w:pPr>
        <w:spacing w:after="80"/>
        <w:jc w:val="center"/>
      </w:pPr>
      <w:r>
        <w:rPr>
          <w:rFonts w:ascii="Arial" w:cs="Arial" w:eastAsia="Arial" w:hAnsi="Arial"/>
          <w:color w:val="1A1A1A"/>
          <w:sz w:val="22"/>
          <w:szCs w:val="22"/>
        </w:rPr>
        <w:t xml:space="preserve">Regulatory Compliance, Cloud, AI/ML, Cybersecurity, Patient Safety,</w:t>
      </w:r>
    </w:p>
    <w:p>
      <w:pPr>
        <w:spacing w:after="80"/>
        <w:jc w:val="center"/>
      </w:pPr>
      <w:r>
        <w:rPr>
          <w:rFonts w:ascii="Arial" w:cs="Arial" w:eastAsia="Arial" w:hAnsi="Arial"/>
          <w:color w:val="1A1A1A"/>
          <w:sz w:val="22"/>
          <w:szCs w:val="22"/>
        </w:rPr>
        <w:t xml:space="preserve">Healthcare UX, Quality Improvement &amp; Strategic Leadership</w:t>
      </w:r>
    </w:p>
    <w:p>
      <w:pPr>
        <w:spacing w:after="400"/>
      </w:pPr>
    </w:p>
    <w:p>
      <w:pPr>
        <w:jc w:val="center"/>
      </w:pPr>
      <w:r>
        <w:rPr>
          <w:rFonts w:ascii="Arial" w:cs="Arial" w:eastAsia="Arial" w:hAnsi="Arial"/>
          <w:b/>
          <w:bCs/>
          <w:color w:val="2A7B88"/>
          <w:sz w:val="26"/>
          <w:szCs w:val="26"/>
        </w:rPr>
        <w:t xml:space="preserve">Estimated Timeline: 24–36 Months</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3A5C"/>
          <w:sz w:val="36"/>
          <w:szCs w:val="36"/>
        </w:rPr>
        <w:t xml:space="preserve">Phase 1: Healthcare Industry Foundations (Months 1–4)</w:t>
      </w:r>
    </w:p>
    <w:p>
      <w:pPr>
        <w:spacing w:after="120"/>
      </w:pPr>
      <w:r>
        <w:rPr>
          <w:rFonts w:ascii="Arial" w:cs="Arial" w:eastAsia="Arial" w:hAnsi="Arial"/>
          <w:color w:val="1A1A1A"/>
          <w:sz w:val="22"/>
          <w:szCs w:val="22"/>
        </w:rPr>
        <w:t xml:space="preserve">Before building healthcare technology, you must deeply understand the industry it serves. This phase immerses you in how healthcare works — the stakeholders, the money flow, the clinical workflows, and the regulatory landscape that governs everything.</w:t>
      </w:r>
    </w:p>
    <w:p>
      <w:pPr>
        <w:pBdr>
          <w:bottom w:val="single" w:color="2A7B88" w:sz="6" w:space="1"/>
        </w:pBdr>
        <w:spacing w:after="200" w:before="200"/>
      </w:pPr>
    </w:p>
    <w:p>
      <w:pPr>
        <w:pStyle w:val="Heading2"/>
        <w:spacing w:after="150" w:before="300"/>
      </w:pPr>
      <w:r>
        <w:rPr>
          <w:rFonts w:ascii="Arial" w:cs="Arial" w:eastAsia="Arial" w:hAnsi="Arial"/>
          <w:b/>
          <w:bCs/>
          <w:color w:val="2A7B88"/>
          <w:sz w:val="28"/>
          <w:szCs w:val="28"/>
        </w:rPr>
        <w:t xml:space="preserve">1.1 Healthcare Ecosystem &amp; Stakeholders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Healthcare delivery models: Primary care, Specialty care, Acute care (hospitals), Post-acute care (SNF, Home Health, Hospice), Ambulatory surgery centers</w:t>
      </w:r>
    </w:p>
    <w:p>
      <w:pPr>
        <w:pStyle w:val="ListParagraph"/>
        <w:numPr>
          <w:ilvl w:val="0"/>
          <w:numId w:val="2"/>
        </w:numPr>
        <w:spacing w:after="60"/>
      </w:pPr>
      <w:r>
        <w:rPr>
          <w:rFonts w:ascii="Arial" w:cs="Arial" w:eastAsia="Arial" w:hAnsi="Arial"/>
          <w:color w:val="1A1A1A"/>
          <w:sz w:val="22"/>
          <w:szCs w:val="22"/>
        </w:rPr>
        <w:t xml:space="preserve">Key stakeholders: Patients, Providers (physicians, nurses, allied health), Payers (insurance companies, CMS), Pharma, MedTech, Government agencies</w:t>
      </w:r>
    </w:p>
    <w:p>
      <w:pPr>
        <w:pStyle w:val="ListParagraph"/>
        <w:numPr>
          <w:ilvl w:val="0"/>
          <w:numId w:val="2"/>
        </w:numPr>
        <w:spacing w:after="60"/>
      </w:pPr>
      <w:r>
        <w:rPr>
          <w:rFonts w:ascii="Arial" w:cs="Arial" w:eastAsia="Arial" w:hAnsi="Arial"/>
          <w:color w:val="1A1A1A"/>
          <w:sz w:val="22"/>
          <w:szCs w:val="22"/>
        </w:rPr>
        <w:t xml:space="preserve">Healthcare organizational structures: IDNs (Integrated Delivery Networks), ACOs, Physician groups, FQHCs, Academic medical centers</w:t>
      </w:r>
    </w:p>
    <w:p>
      <w:pPr>
        <w:pStyle w:val="ListParagraph"/>
        <w:numPr>
          <w:ilvl w:val="0"/>
          <w:numId w:val="2"/>
        </w:numPr>
        <w:spacing w:after="60"/>
      </w:pPr>
      <w:r>
        <w:rPr>
          <w:rFonts w:ascii="Arial" w:cs="Arial" w:eastAsia="Arial" w:hAnsi="Arial"/>
          <w:color w:val="1A1A1A"/>
          <w:sz w:val="22"/>
          <w:szCs w:val="22"/>
        </w:rPr>
        <w:t xml:space="preserve">Healthcare value chain: How care is delivered, documented, billed, and paid for</w:t>
      </w:r>
    </w:p>
    <w:p>
      <w:pPr>
        <w:pStyle w:val="ListParagraph"/>
        <w:numPr>
          <w:ilvl w:val="0"/>
          <w:numId w:val="2"/>
        </w:numPr>
        <w:spacing w:after="60"/>
      </w:pPr>
      <w:r>
        <w:rPr>
          <w:rFonts w:ascii="Arial" w:cs="Arial" w:eastAsia="Arial" w:hAnsi="Arial"/>
          <w:color w:val="1A1A1A"/>
          <w:sz w:val="22"/>
          <w:szCs w:val="22"/>
        </w:rPr>
        <w:t xml:space="preserve">Public health infrastructure: CDC, WHO, State/Local health departments, disease surveillance</w:t>
      </w:r>
    </w:p>
    <w:p>
      <w:pPr>
        <w:pStyle w:val="ListParagraph"/>
        <w:numPr>
          <w:ilvl w:val="0"/>
          <w:numId w:val="2"/>
        </w:numPr>
        <w:spacing w:after="60"/>
      </w:pPr>
      <w:r>
        <w:rPr>
          <w:rFonts w:ascii="Arial" w:cs="Arial" w:eastAsia="Arial" w:hAnsi="Arial"/>
          <w:color w:val="1A1A1A"/>
          <w:sz w:val="22"/>
          <w:szCs w:val="22"/>
        </w:rPr>
        <w:t xml:space="preserve">Global healthcare models: Single-payer, multi-payer, universal coverage — US vs. UK (NHS) vs. Canada vs. Germany vs. India</w:t>
      </w:r>
    </w:p>
    <w:p>
      <w:pPr>
        <w:pStyle w:val="ListParagraph"/>
        <w:numPr>
          <w:ilvl w:val="0"/>
          <w:numId w:val="2"/>
        </w:numPr>
        <w:spacing w:after="60"/>
      </w:pPr>
      <w:r>
        <w:rPr>
          <w:rFonts w:ascii="Arial" w:cs="Arial" w:eastAsia="Arial" w:hAnsi="Arial"/>
          <w:color w:val="1A1A1A"/>
          <w:sz w:val="22"/>
          <w:szCs w:val="22"/>
        </w:rPr>
        <w:t xml:space="preserve">Social Determinants of Health (SDOH) and their impact on outcomes and IT systems</w:t>
      </w:r>
    </w:p>
    <w:p>
      <w:pPr>
        <w:pStyle w:val="Heading2"/>
        <w:spacing w:after="150" w:before="300"/>
      </w:pPr>
      <w:r>
        <w:rPr>
          <w:rFonts w:ascii="Arial" w:cs="Arial" w:eastAsia="Arial" w:hAnsi="Arial"/>
          <w:b/>
          <w:bCs/>
          <w:color w:val="2A7B88"/>
          <w:sz w:val="28"/>
          <w:szCs w:val="28"/>
        </w:rPr>
        <w:t xml:space="preserve">1.2 Clinical Workflows &amp; Medical Terminology</w:t>
      </w:r>
    </w:p>
    <w:p>
      <w:pPr>
        <w:spacing w:after="120"/>
      </w:pPr>
      <w:r>
        <w:rPr>
          <w:rFonts w:ascii="Arial" w:cs="Arial" w:eastAsia="Arial" w:hAnsi="Arial"/>
          <w:color w:val="1A1A1A"/>
          <w:sz w:val="22"/>
          <w:szCs w:val="22"/>
        </w:rPr>
        <w:t xml:space="preserve">You cannot design, implement, or support healthcare IT systems without understanding what clinicians actually do. This is the knowledge gap that separates average health IT professionals from great ones.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Medical terminology: Anatomy &amp; physiology basics, common conditions, surgical procedures, pharmacology fundamentals</w:t>
      </w:r>
    </w:p>
    <w:p>
      <w:pPr>
        <w:pStyle w:val="ListParagraph"/>
        <w:numPr>
          <w:ilvl w:val="0"/>
          <w:numId w:val="2"/>
        </w:numPr>
        <w:spacing w:after="60"/>
      </w:pPr>
      <w:r>
        <w:rPr>
          <w:rFonts w:ascii="Arial" w:cs="Arial" w:eastAsia="Arial" w:hAnsi="Arial"/>
          <w:color w:val="1A1A1A"/>
          <w:sz w:val="22"/>
          <w:szCs w:val="22"/>
        </w:rPr>
        <w:t xml:space="preserve">Patient journey mapping: Scheduling → Registration → Triage → Examination → Diagnosis → Treatment → Follow-up</w:t>
      </w:r>
    </w:p>
    <w:p>
      <w:pPr>
        <w:pStyle w:val="ListParagraph"/>
        <w:numPr>
          <w:ilvl w:val="0"/>
          <w:numId w:val="2"/>
        </w:numPr>
        <w:spacing w:after="60"/>
      </w:pPr>
      <w:r>
        <w:rPr>
          <w:rFonts w:ascii="Arial" w:cs="Arial" w:eastAsia="Arial" w:hAnsi="Arial"/>
          <w:color w:val="1A1A1A"/>
          <w:sz w:val="22"/>
          <w:szCs w:val="22"/>
        </w:rPr>
        <w:t xml:space="preserve">Inpatient workflows: Admission, transfer, discharge (ADT), nursing workflows, physician rounding, order management</w:t>
      </w:r>
    </w:p>
    <w:p>
      <w:pPr>
        <w:pStyle w:val="ListParagraph"/>
        <w:numPr>
          <w:ilvl w:val="0"/>
          <w:numId w:val="2"/>
        </w:numPr>
        <w:spacing w:after="60"/>
      </w:pPr>
      <w:r>
        <w:rPr>
          <w:rFonts w:ascii="Arial" w:cs="Arial" w:eastAsia="Arial" w:hAnsi="Arial"/>
          <w:color w:val="1A1A1A"/>
          <w:sz w:val="22"/>
          <w:szCs w:val="22"/>
        </w:rPr>
        <w:t xml:space="preserve">Outpatient/Ambulatory workflows: Scheduling, check-in, vitals, encounter documentation, prescriptions, referrals</w:t>
      </w:r>
    </w:p>
    <w:p>
      <w:pPr>
        <w:pStyle w:val="ListParagraph"/>
        <w:numPr>
          <w:ilvl w:val="0"/>
          <w:numId w:val="2"/>
        </w:numPr>
        <w:spacing w:after="60"/>
      </w:pPr>
      <w:r>
        <w:rPr>
          <w:rFonts w:ascii="Arial" w:cs="Arial" w:eastAsia="Arial" w:hAnsi="Arial"/>
          <w:color w:val="1A1A1A"/>
          <w:sz w:val="22"/>
          <w:szCs w:val="22"/>
        </w:rPr>
        <w:t xml:space="preserve">Emergency Department workflows: Triage protocols (ESI levels), trauma activation, rapid assessment</w:t>
      </w:r>
    </w:p>
    <w:p>
      <w:pPr>
        <w:pStyle w:val="ListParagraph"/>
        <w:numPr>
          <w:ilvl w:val="0"/>
          <w:numId w:val="2"/>
        </w:numPr>
        <w:spacing w:after="60"/>
      </w:pPr>
      <w:r>
        <w:rPr>
          <w:rFonts w:ascii="Arial" w:cs="Arial" w:eastAsia="Arial" w:hAnsi="Arial"/>
          <w:color w:val="1A1A1A"/>
          <w:sz w:val="22"/>
          <w:szCs w:val="22"/>
        </w:rPr>
        <w:t xml:space="preserve">Surgical workflows: Pre-op assessment, OR scheduling, intra-operative documentation, PACU, post-op</w:t>
      </w:r>
    </w:p>
    <w:p>
      <w:pPr>
        <w:pStyle w:val="ListParagraph"/>
        <w:numPr>
          <w:ilvl w:val="0"/>
          <w:numId w:val="2"/>
        </w:numPr>
        <w:spacing w:after="60"/>
      </w:pPr>
      <w:r>
        <w:rPr>
          <w:rFonts w:ascii="Arial" w:cs="Arial" w:eastAsia="Arial" w:hAnsi="Arial"/>
          <w:color w:val="1A1A1A"/>
          <w:sz w:val="22"/>
          <w:szCs w:val="22"/>
        </w:rPr>
        <w:t xml:space="preserve">Pharmacy workflows: Order verification, dispensing, medication administration, medication reconciliation</w:t>
      </w:r>
    </w:p>
    <w:p>
      <w:pPr>
        <w:pStyle w:val="ListParagraph"/>
        <w:numPr>
          <w:ilvl w:val="0"/>
          <w:numId w:val="2"/>
        </w:numPr>
        <w:spacing w:after="60"/>
      </w:pPr>
      <w:r>
        <w:rPr>
          <w:rFonts w:ascii="Arial" w:cs="Arial" w:eastAsia="Arial" w:hAnsi="Arial"/>
          <w:color w:val="1A1A1A"/>
          <w:sz w:val="22"/>
          <w:szCs w:val="22"/>
        </w:rPr>
        <w:t xml:space="preserve">Laboratory workflows: Order entry, specimen collection, analysis, result reporting, critical value alerts</w:t>
      </w:r>
    </w:p>
    <w:p>
      <w:pPr>
        <w:pStyle w:val="ListParagraph"/>
        <w:numPr>
          <w:ilvl w:val="0"/>
          <w:numId w:val="2"/>
        </w:numPr>
        <w:spacing w:after="60"/>
      </w:pPr>
      <w:r>
        <w:rPr>
          <w:rFonts w:ascii="Arial" w:cs="Arial" w:eastAsia="Arial" w:hAnsi="Arial"/>
          <w:color w:val="1A1A1A"/>
          <w:sz w:val="22"/>
          <w:szCs w:val="22"/>
        </w:rPr>
        <w:t xml:space="preserve">Radiology workflows: Order entry, scheduling, imaging, reading/interpretation, report distribution (PACS/RIS)</w:t>
      </w:r>
    </w:p>
    <w:p>
      <w:pPr>
        <w:pStyle w:val="ListParagraph"/>
        <w:numPr>
          <w:ilvl w:val="0"/>
          <w:numId w:val="2"/>
        </w:numPr>
        <w:spacing w:after="60"/>
      </w:pPr>
      <w:r>
        <w:rPr>
          <w:rFonts w:ascii="Arial" w:cs="Arial" w:eastAsia="Arial" w:hAnsi="Arial"/>
          <w:color w:val="1A1A1A"/>
          <w:sz w:val="22"/>
          <w:szCs w:val="22"/>
        </w:rPr>
        <w:t xml:space="preserve">Nursing documentation: Assessment, care plans, MAR (Medication Administration Record), flowsheets, handoffs (SBAR)</w:t>
      </w:r>
    </w:p>
    <w:p>
      <w:pPr>
        <w:pStyle w:val="Heading2"/>
        <w:spacing w:after="150" w:before="300"/>
      </w:pPr>
      <w:r>
        <w:rPr>
          <w:rFonts w:ascii="Arial" w:cs="Arial" w:eastAsia="Arial" w:hAnsi="Arial"/>
          <w:b/>
          <w:bCs/>
          <w:color w:val="2A7B88"/>
          <w:sz w:val="28"/>
          <w:szCs w:val="28"/>
        </w:rPr>
        <w:t xml:space="preserve">1.3 Healthcare Coding &amp; Classification Systems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ICD-10-CM/PCS: Diagnosis and procedure coding — structure, conventions, and IT system implications</w:t>
      </w:r>
    </w:p>
    <w:p>
      <w:pPr>
        <w:pStyle w:val="ListParagraph"/>
        <w:numPr>
          <w:ilvl w:val="0"/>
          <w:numId w:val="2"/>
        </w:numPr>
        <w:spacing w:after="60"/>
      </w:pPr>
      <w:r>
        <w:rPr>
          <w:rFonts w:ascii="Arial" w:cs="Arial" w:eastAsia="Arial" w:hAnsi="Arial"/>
          <w:color w:val="1A1A1A"/>
          <w:sz w:val="22"/>
          <w:szCs w:val="22"/>
        </w:rPr>
        <w:t xml:space="preserve">CPT (Current Procedural Terminology): Procedure codes for professional billing</w:t>
      </w:r>
    </w:p>
    <w:p>
      <w:pPr>
        <w:pStyle w:val="ListParagraph"/>
        <w:numPr>
          <w:ilvl w:val="0"/>
          <w:numId w:val="2"/>
        </w:numPr>
        <w:spacing w:after="60"/>
      </w:pPr>
      <w:r>
        <w:rPr>
          <w:rFonts w:ascii="Arial" w:cs="Arial" w:eastAsia="Arial" w:hAnsi="Arial"/>
          <w:color w:val="1A1A1A"/>
          <w:sz w:val="22"/>
          <w:szCs w:val="22"/>
        </w:rPr>
        <w:t xml:space="preserve">HCPCS Level II: Supplies, equipment, and non-physician services</w:t>
      </w:r>
    </w:p>
    <w:p>
      <w:pPr>
        <w:pStyle w:val="ListParagraph"/>
        <w:numPr>
          <w:ilvl w:val="0"/>
          <w:numId w:val="2"/>
        </w:numPr>
        <w:spacing w:after="60"/>
      </w:pPr>
      <w:r>
        <w:rPr>
          <w:rFonts w:ascii="Arial" w:cs="Arial" w:eastAsia="Arial" w:hAnsi="Arial"/>
          <w:color w:val="1A1A1A"/>
          <w:sz w:val="22"/>
          <w:szCs w:val="22"/>
        </w:rPr>
        <w:t xml:space="preserve">SNOMED CT: Clinical terminology for EHR documentation and clinical decision support</w:t>
      </w:r>
    </w:p>
    <w:p>
      <w:pPr>
        <w:pStyle w:val="ListParagraph"/>
        <w:numPr>
          <w:ilvl w:val="0"/>
          <w:numId w:val="2"/>
        </w:numPr>
        <w:spacing w:after="60"/>
      </w:pPr>
      <w:r>
        <w:rPr>
          <w:rFonts w:ascii="Arial" w:cs="Arial" w:eastAsia="Arial" w:hAnsi="Arial"/>
          <w:color w:val="1A1A1A"/>
          <w:sz w:val="22"/>
          <w:szCs w:val="22"/>
        </w:rPr>
        <w:t xml:space="preserve">LOINC: Standardized codes for lab tests and clinical observations</w:t>
      </w:r>
    </w:p>
    <w:p>
      <w:pPr>
        <w:pStyle w:val="ListParagraph"/>
        <w:numPr>
          <w:ilvl w:val="0"/>
          <w:numId w:val="2"/>
        </w:numPr>
        <w:spacing w:after="60"/>
      </w:pPr>
      <w:r>
        <w:rPr>
          <w:rFonts w:ascii="Arial" w:cs="Arial" w:eastAsia="Arial" w:hAnsi="Arial"/>
          <w:color w:val="1A1A1A"/>
          <w:sz w:val="22"/>
          <w:szCs w:val="22"/>
        </w:rPr>
        <w:t xml:space="preserve">RxNorm: Standardized drug nomenclature</w:t>
      </w:r>
    </w:p>
    <w:p>
      <w:pPr>
        <w:pStyle w:val="ListParagraph"/>
        <w:numPr>
          <w:ilvl w:val="0"/>
          <w:numId w:val="2"/>
        </w:numPr>
        <w:spacing w:after="60"/>
      </w:pPr>
      <w:r>
        <w:rPr>
          <w:rFonts w:ascii="Arial" w:cs="Arial" w:eastAsia="Arial" w:hAnsi="Arial"/>
          <w:color w:val="1A1A1A"/>
          <w:sz w:val="22"/>
          <w:szCs w:val="22"/>
        </w:rPr>
        <w:t xml:space="preserve">NDC (National Drug Code): Drug identification for pharmacy systems</w:t>
      </w:r>
    </w:p>
    <w:p>
      <w:pPr>
        <w:pStyle w:val="ListParagraph"/>
        <w:numPr>
          <w:ilvl w:val="0"/>
          <w:numId w:val="2"/>
        </w:numPr>
        <w:spacing w:after="60"/>
      </w:pPr>
      <w:r>
        <w:rPr>
          <w:rFonts w:ascii="Arial" w:cs="Arial" w:eastAsia="Arial" w:hAnsi="Arial"/>
          <w:color w:val="1A1A1A"/>
          <w:sz w:val="22"/>
          <w:szCs w:val="22"/>
        </w:rPr>
        <w:t xml:space="preserve">DRG (Diagnosis-Related Groups): Inpatient payment classification</w:t>
      </w:r>
    </w:p>
    <w:p>
      <w:pPr>
        <w:pStyle w:val="ListParagraph"/>
        <w:numPr>
          <w:ilvl w:val="0"/>
          <w:numId w:val="2"/>
        </w:numPr>
        <w:spacing w:after="60"/>
      </w:pPr>
      <w:r>
        <w:rPr>
          <w:rFonts w:ascii="Arial" w:cs="Arial" w:eastAsia="Arial" w:hAnsi="Arial"/>
          <w:color w:val="1A1A1A"/>
          <w:sz w:val="22"/>
          <w:szCs w:val="22"/>
        </w:rPr>
        <w:t xml:space="preserve">APC (Ambulatory Payment Classification): Outpatient payment classification</w:t>
      </w:r>
    </w:p>
    <w:p>
      <w:pPr>
        <w:pStyle w:val="ListParagraph"/>
        <w:numPr>
          <w:ilvl w:val="0"/>
          <w:numId w:val="2"/>
        </w:numPr>
        <w:spacing w:after="60"/>
      </w:pPr>
      <w:r>
        <w:rPr>
          <w:rFonts w:ascii="Arial" w:cs="Arial" w:eastAsia="Arial" w:hAnsi="Arial"/>
          <w:color w:val="1A1A1A"/>
          <w:sz w:val="22"/>
          <w:szCs w:val="22"/>
        </w:rPr>
        <w:t xml:space="preserve">How coding systems interact with IT: mapping, crosswalks, terminology services</w:t>
      </w:r>
    </w:p>
    <w:p>
      <w:pPr>
        <w:pStyle w:val="Heading2"/>
        <w:spacing w:after="150" w:before="300"/>
      </w:pPr>
      <w:r>
        <w:rPr>
          <w:rFonts w:ascii="Arial" w:cs="Arial" w:eastAsia="Arial" w:hAnsi="Arial"/>
          <w:b/>
          <w:bCs/>
          <w:color w:val="2A7B88"/>
          <w:sz w:val="28"/>
          <w:szCs w:val="28"/>
        </w:rPr>
        <w:t xml:space="preserve">1.4 Healthcare Finance &amp; Revenue Cycle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Revenue Cycle Management (RCM) end-to-end: Registration → Coding → Billing → Collections</w:t>
      </w:r>
    </w:p>
    <w:p>
      <w:pPr>
        <w:pStyle w:val="ListParagraph"/>
        <w:numPr>
          <w:ilvl w:val="0"/>
          <w:numId w:val="2"/>
        </w:numPr>
        <w:spacing w:after="60"/>
      </w:pPr>
      <w:r>
        <w:rPr>
          <w:rFonts w:ascii="Arial" w:cs="Arial" w:eastAsia="Arial" w:hAnsi="Arial"/>
          <w:color w:val="1A1A1A"/>
          <w:sz w:val="22"/>
          <w:szCs w:val="22"/>
        </w:rPr>
        <w:t xml:space="preserve">Insurance fundamentals: Commercial, Medicare, Medicaid, Managed Care (HMO/PPO/EPO)</w:t>
      </w:r>
    </w:p>
    <w:p>
      <w:pPr>
        <w:pStyle w:val="ListParagraph"/>
        <w:numPr>
          <w:ilvl w:val="0"/>
          <w:numId w:val="2"/>
        </w:numPr>
        <w:spacing w:after="60"/>
      </w:pPr>
      <w:r>
        <w:rPr>
          <w:rFonts w:ascii="Arial" w:cs="Arial" w:eastAsia="Arial" w:hAnsi="Arial"/>
          <w:color w:val="1A1A1A"/>
          <w:sz w:val="22"/>
          <w:szCs w:val="22"/>
        </w:rPr>
        <w:t xml:space="preserve">Claims lifecycle: Charge capture, claim submission (837), adjudication, remittance (835), denial management</w:t>
      </w:r>
    </w:p>
    <w:p>
      <w:pPr>
        <w:pStyle w:val="ListParagraph"/>
        <w:numPr>
          <w:ilvl w:val="0"/>
          <w:numId w:val="2"/>
        </w:numPr>
        <w:spacing w:after="60"/>
      </w:pPr>
      <w:r>
        <w:rPr>
          <w:rFonts w:ascii="Arial" w:cs="Arial" w:eastAsia="Arial" w:hAnsi="Arial"/>
          <w:color w:val="1A1A1A"/>
          <w:sz w:val="22"/>
          <w:szCs w:val="22"/>
        </w:rPr>
        <w:t xml:space="preserve">Reimbursement models: Fee-for-service, Bundled payments, Capitation, Value-based care</w:t>
      </w:r>
    </w:p>
    <w:p>
      <w:pPr>
        <w:pStyle w:val="ListParagraph"/>
        <w:numPr>
          <w:ilvl w:val="0"/>
          <w:numId w:val="2"/>
        </w:numPr>
        <w:spacing w:after="60"/>
      </w:pPr>
      <w:r>
        <w:rPr>
          <w:rFonts w:ascii="Arial" w:cs="Arial" w:eastAsia="Arial" w:hAnsi="Arial"/>
          <w:color w:val="1A1A1A"/>
          <w:sz w:val="22"/>
          <w:szCs w:val="22"/>
        </w:rPr>
        <w:t xml:space="preserve">Chargemaster/CDM management and its IT implications</w:t>
      </w:r>
    </w:p>
    <w:p>
      <w:pPr>
        <w:pStyle w:val="ListParagraph"/>
        <w:numPr>
          <w:ilvl w:val="0"/>
          <w:numId w:val="2"/>
        </w:numPr>
        <w:spacing w:after="60"/>
      </w:pPr>
      <w:r>
        <w:rPr>
          <w:rFonts w:ascii="Arial" w:cs="Arial" w:eastAsia="Arial" w:hAnsi="Arial"/>
          <w:color w:val="1A1A1A"/>
          <w:sz w:val="22"/>
          <w:szCs w:val="22"/>
        </w:rPr>
        <w:t xml:space="preserve">Patient financial responsibility: Deductibles, copays, coinsurance, prior authorization</w:t>
      </w:r>
    </w:p>
    <w:p>
      <w:pPr>
        <w:pStyle w:val="ListParagraph"/>
        <w:numPr>
          <w:ilvl w:val="0"/>
          <w:numId w:val="2"/>
        </w:numPr>
        <w:spacing w:after="60"/>
      </w:pPr>
      <w:r>
        <w:rPr>
          <w:rFonts w:ascii="Arial" w:cs="Arial" w:eastAsia="Arial" w:hAnsi="Arial"/>
          <w:color w:val="1A1A1A"/>
          <w:sz w:val="22"/>
          <w:szCs w:val="22"/>
        </w:rPr>
        <w:t xml:space="preserve">Financial reporting in healthcare: operating margin, case mix index, payer mix, days in A/R</w:t>
      </w:r>
    </w:p>
    <w:p>
      <w:pPr>
        <w:pStyle w:val="ListParagraph"/>
        <w:numPr>
          <w:ilvl w:val="0"/>
          <w:numId w:val="2"/>
        </w:numPr>
        <w:spacing w:after="60"/>
      </w:pPr>
      <w:r>
        <w:rPr>
          <w:rFonts w:ascii="Arial" w:cs="Arial" w:eastAsia="Arial" w:hAnsi="Arial"/>
          <w:color w:val="1A1A1A"/>
          <w:sz w:val="22"/>
          <w:szCs w:val="22"/>
        </w:rPr>
        <w:t xml:space="preserve">How IT systems support every stage of the revenue cycle</w:t>
      </w:r>
    </w:p>
    <w:p>
      <w:pPr>
        <w:pStyle w:val="Heading2"/>
        <w:spacing w:after="150" w:before="300"/>
      </w:pPr>
      <w:r>
        <w:rPr>
          <w:rFonts w:ascii="Arial" w:cs="Arial" w:eastAsia="Arial" w:hAnsi="Arial"/>
          <w:b/>
          <w:bCs/>
          <w:color w:val="2A7B88"/>
          <w:sz w:val="28"/>
          <w:szCs w:val="28"/>
        </w:rPr>
        <w:t xml:space="preserve">1.5 Healthcare Regulatory &amp; Compliance Framework</w:t>
      </w:r>
    </w:p>
    <w:p>
      <w:pPr>
        <w:spacing w:after="120"/>
      </w:pPr>
      <w:r>
        <w:rPr>
          <w:rFonts w:ascii="Arial" w:cs="Arial" w:eastAsia="Arial" w:hAnsi="Arial"/>
          <w:color w:val="1A1A1A"/>
          <w:sz w:val="22"/>
          <w:szCs w:val="22"/>
        </w:rPr>
        <w:t xml:space="preserve">Healthcare is one of the most heavily regulated industries. Every IT decision is shaped by compliance requirements.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HIPAA: Privacy Rule, Security Rule, Breach Notification Rule, Transaction Standards, Enforcement</w:t>
      </w:r>
    </w:p>
    <w:p>
      <w:pPr>
        <w:pStyle w:val="ListParagraph"/>
        <w:numPr>
          <w:ilvl w:val="0"/>
          <w:numId w:val="2"/>
        </w:numPr>
        <w:spacing w:after="60"/>
      </w:pPr>
      <w:r>
        <w:rPr>
          <w:rFonts w:ascii="Arial" w:cs="Arial" w:eastAsia="Arial" w:hAnsi="Arial"/>
          <w:color w:val="1A1A1A"/>
          <w:sz w:val="22"/>
          <w:szCs w:val="22"/>
        </w:rPr>
        <w:t xml:space="preserve">HITECH Act: Meaningful Use/Promoting Interoperability, EHR incentive programs</w:t>
      </w:r>
    </w:p>
    <w:p>
      <w:pPr>
        <w:pStyle w:val="ListParagraph"/>
        <w:numPr>
          <w:ilvl w:val="0"/>
          <w:numId w:val="2"/>
        </w:numPr>
        <w:spacing w:after="60"/>
      </w:pPr>
      <w:r>
        <w:rPr>
          <w:rFonts w:ascii="Arial" w:cs="Arial" w:eastAsia="Arial" w:hAnsi="Arial"/>
          <w:color w:val="1A1A1A"/>
          <w:sz w:val="22"/>
          <w:szCs w:val="22"/>
        </w:rPr>
        <w:t xml:space="preserve">21st Century Cures Act: Information blocking rules, patient access, USCDI</w:t>
      </w:r>
    </w:p>
    <w:p>
      <w:pPr>
        <w:pStyle w:val="ListParagraph"/>
        <w:numPr>
          <w:ilvl w:val="0"/>
          <w:numId w:val="2"/>
        </w:numPr>
        <w:spacing w:after="60"/>
      </w:pPr>
      <w:r>
        <w:rPr>
          <w:rFonts w:ascii="Arial" w:cs="Arial" w:eastAsia="Arial" w:hAnsi="Arial"/>
          <w:color w:val="1A1A1A"/>
          <w:sz w:val="22"/>
          <w:szCs w:val="22"/>
        </w:rPr>
        <w:t xml:space="preserve">CMS Conditions of Participation (CoPs): Requirements for hospitals and providers</w:t>
      </w:r>
    </w:p>
    <w:p>
      <w:pPr>
        <w:pStyle w:val="ListParagraph"/>
        <w:numPr>
          <w:ilvl w:val="0"/>
          <w:numId w:val="2"/>
        </w:numPr>
        <w:spacing w:after="60"/>
      </w:pPr>
      <w:r>
        <w:rPr>
          <w:rFonts w:ascii="Arial" w:cs="Arial" w:eastAsia="Arial" w:hAnsi="Arial"/>
          <w:color w:val="1A1A1A"/>
          <w:sz w:val="22"/>
          <w:szCs w:val="22"/>
        </w:rPr>
        <w:t xml:space="preserve">The Joint Commission (TJC) accreditation standards</w:t>
      </w:r>
    </w:p>
    <w:p>
      <w:pPr>
        <w:pStyle w:val="ListParagraph"/>
        <w:numPr>
          <w:ilvl w:val="0"/>
          <w:numId w:val="2"/>
        </w:numPr>
        <w:spacing w:after="60"/>
      </w:pPr>
      <w:r>
        <w:rPr>
          <w:rFonts w:ascii="Arial" w:cs="Arial" w:eastAsia="Arial" w:hAnsi="Arial"/>
          <w:color w:val="1A1A1A"/>
          <w:sz w:val="22"/>
          <w:szCs w:val="22"/>
        </w:rPr>
        <w:t xml:space="preserve">FDA regulation of health IT: Software as a Medical Device (SaMD), Clinical Decision Support (CDS) risk framework</w:t>
      </w:r>
    </w:p>
    <w:p>
      <w:pPr>
        <w:pStyle w:val="ListParagraph"/>
        <w:numPr>
          <w:ilvl w:val="0"/>
          <w:numId w:val="2"/>
        </w:numPr>
        <w:spacing w:after="60"/>
      </w:pPr>
      <w:r>
        <w:rPr>
          <w:rFonts w:ascii="Arial" w:cs="Arial" w:eastAsia="Arial" w:hAnsi="Arial"/>
          <w:color w:val="1A1A1A"/>
          <w:sz w:val="22"/>
          <w:szCs w:val="22"/>
        </w:rPr>
        <w:t xml:space="preserve">State-level regulations: Consent management, mental health/substance abuse (42 CFR Part 2), telehealth laws</w:t>
      </w:r>
    </w:p>
    <w:p>
      <w:pPr>
        <w:pStyle w:val="ListParagraph"/>
        <w:numPr>
          <w:ilvl w:val="0"/>
          <w:numId w:val="2"/>
        </w:numPr>
        <w:spacing w:after="60"/>
      </w:pPr>
      <w:r>
        <w:rPr>
          <w:rFonts w:ascii="Arial" w:cs="Arial" w:eastAsia="Arial" w:hAnsi="Arial"/>
          <w:color w:val="1A1A1A"/>
          <w:sz w:val="22"/>
          <w:szCs w:val="22"/>
        </w:rPr>
        <w:t xml:space="preserve">Anti-Kickback Statute, Stark Law, False Claims Act — implications for IT vendor relationships</w:t>
      </w:r>
    </w:p>
    <w:p>
      <w:pPr>
        <w:pStyle w:val="ListParagraph"/>
        <w:numPr>
          <w:ilvl w:val="0"/>
          <w:numId w:val="2"/>
        </w:numPr>
        <w:spacing w:after="60"/>
      </w:pPr>
      <w:r>
        <w:rPr>
          <w:rFonts w:ascii="Arial" w:cs="Arial" w:eastAsia="Arial" w:hAnsi="Arial"/>
          <w:color w:val="1A1A1A"/>
          <w:sz w:val="22"/>
          <w:szCs w:val="22"/>
        </w:rPr>
        <w:t xml:space="preserve">ONC (Office of the National Coordinator) role, Certified EHR Technology (CEHRT) requirements</w:t>
      </w:r>
    </w:p>
    <w:p>
      <w:pPr>
        <w:pStyle w:val="ListParagraph"/>
        <w:numPr>
          <w:ilvl w:val="0"/>
          <w:numId w:val="2"/>
        </w:numPr>
        <w:spacing w:after="60"/>
      </w:pPr>
      <w:r>
        <w:rPr>
          <w:rFonts w:ascii="Arial" w:cs="Arial" w:eastAsia="Arial" w:hAnsi="Arial"/>
          <w:color w:val="1A1A1A"/>
          <w:sz w:val="22"/>
          <w:szCs w:val="22"/>
        </w:rPr>
        <w:t xml:space="preserve">CMS quality programs: MIPS, APMs, Hospital Compare, Star Ratings</w:t>
      </w:r>
    </w:p>
    <w:p>
      <w:r>
        <w:br w:type="page"/>
      </w:r>
    </w:p>
    <w:p>
      <w:pPr>
        <w:pStyle w:val="Heading1"/>
        <w:spacing w:after="200" w:before="400"/>
      </w:pPr>
      <w:r>
        <w:rPr>
          <w:rFonts w:ascii="Arial" w:cs="Arial" w:eastAsia="Arial" w:hAnsi="Arial"/>
          <w:b/>
          <w:bCs/>
          <w:color w:val="1B3A5C"/>
          <w:sz w:val="36"/>
          <w:szCs w:val="36"/>
        </w:rPr>
        <w:t xml:space="preserve">Phase 2: Health IT Systems &amp; Core Technologies (Months 5–10)</w:t>
      </w:r>
    </w:p>
    <w:p>
      <w:pPr>
        <w:spacing w:after="120"/>
      </w:pPr>
      <w:r>
        <w:rPr>
          <w:rFonts w:ascii="Arial" w:cs="Arial" w:eastAsia="Arial" w:hAnsi="Arial"/>
          <w:color w:val="1A1A1A"/>
          <w:sz w:val="22"/>
          <w:szCs w:val="22"/>
        </w:rPr>
        <w:t xml:space="preserve">Now that you understand the healthcare context, dive deep into the technology systems that power modern healthcare. This phase covers the core platforms, standards, and architectures you will work with daily.</w:t>
      </w:r>
    </w:p>
    <w:p>
      <w:pPr>
        <w:pBdr>
          <w:bottom w:val="single" w:color="2A7B88" w:sz="6" w:space="1"/>
        </w:pBdr>
        <w:spacing w:after="200" w:before="200"/>
      </w:pPr>
    </w:p>
    <w:p>
      <w:pPr>
        <w:pStyle w:val="Heading2"/>
        <w:spacing w:after="150" w:before="300"/>
      </w:pPr>
      <w:r>
        <w:rPr>
          <w:rFonts w:ascii="Arial" w:cs="Arial" w:eastAsia="Arial" w:hAnsi="Arial"/>
          <w:b/>
          <w:bCs/>
          <w:color w:val="2A7B88"/>
          <w:sz w:val="28"/>
          <w:szCs w:val="28"/>
        </w:rPr>
        <w:t xml:space="preserve">2.1 Electronic Health Records (EHR) Systems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EHR architecture: Client-server vs. cloud-based, single-database vs. federated models</w:t>
      </w:r>
    </w:p>
    <w:p>
      <w:pPr>
        <w:pStyle w:val="ListParagraph"/>
        <w:numPr>
          <w:ilvl w:val="0"/>
          <w:numId w:val="2"/>
        </w:numPr>
        <w:spacing w:after="60"/>
      </w:pPr>
      <w:r>
        <w:rPr>
          <w:rFonts w:ascii="Arial" w:cs="Arial" w:eastAsia="Arial" w:hAnsi="Arial"/>
          <w:color w:val="1A1A1A"/>
          <w:sz w:val="22"/>
          <w:szCs w:val="22"/>
        </w:rPr>
        <w:t xml:space="preserve">Major EHR platforms deep dive: Epic, Oracle Health (Cerner), MEDITECH, Veradigm (Allscripts), athenahealth, eClinicalWorks</w:t>
      </w:r>
    </w:p>
    <w:p>
      <w:pPr>
        <w:pStyle w:val="ListParagraph"/>
        <w:numPr>
          <w:ilvl w:val="0"/>
          <w:numId w:val="2"/>
        </w:numPr>
        <w:spacing w:after="60"/>
      </w:pPr>
      <w:r>
        <w:rPr>
          <w:rFonts w:ascii="Arial" w:cs="Arial" w:eastAsia="Arial" w:hAnsi="Arial"/>
          <w:color w:val="1A1A1A"/>
          <w:sz w:val="22"/>
          <w:szCs w:val="22"/>
        </w:rPr>
        <w:t xml:space="preserve">Epic ecosystem: Chronicles database, Hyperspace/Hyperdrive, MyChart, Bridges, Caboodle, Cogito</w:t>
      </w:r>
    </w:p>
    <w:p>
      <w:pPr>
        <w:pStyle w:val="ListParagraph"/>
        <w:numPr>
          <w:ilvl w:val="0"/>
          <w:numId w:val="2"/>
        </w:numPr>
        <w:spacing w:after="60"/>
      </w:pPr>
      <w:r>
        <w:rPr>
          <w:rFonts w:ascii="Arial" w:cs="Arial" w:eastAsia="Arial" w:hAnsi="Arial"/>
          <w:color w:val="1A1A1A"/>
          <w:sz w:val="22"/>
          <w:szCs w:val="22"/>
        </w:rPr>
        <w:t xml:space="preserve">Oracle Health (Cerner) ecosystem: Millennium, PowerChart, HealtheIntent, CareAware</w:t>
      </w:r>
    </w:p>
    <w:p>
      <w:pPr>
        <w:pStyle w:val="ListParagraph"/>
        <w:numPr>
          <w:ilvl w:val="0"/>
          <w:numId w:val="2"/>
        </w:numPr>
        <w:spacing w:after="60"/>
      </w:pPr>
      <w:r>
        <w:rPr>
          <w:rFonts w:ascii="Arial" w:cs="Arial" w:eastAsia="Arial" w:hAnsi="Arial"/>
          <w:color w:val="1A1A1A"/>
          <w:sz w:val="22"/>
          <w:szCs w:val="22"/>
        </w:rPr>
        <w:t xml:space="preserve">EHR modules: Registration/ADT, Orders/CPOE, Clinical Documentation, Pharmacy, Lab, Radiology, OR Management, ED, Ambulatory</w:t>
      </w:r>
    </w:p>
    <w:p>
      <w:pPr>
        <w:pStyle w:val="ListParagraph"/>
        <w:numPr>
          <w:ilvl w:val="0"/>
          <w:numId w:val="2"/>
        </w:numPr>
        <w:spacing w:after="60"/>
      </w:pPr>
      <w:r>
        <w:rPr>
          <w:rFonts w:ascii="Arial" w:cs="Arial" w:eastAsia="Arial" w:hAnsi="Arial"/>
          <w:color w:val="1A1A1A"/>
          <w:sz w:val="22"/>
          <w:szCs w:val="22"/>
        </w:rPr>
        <w:t xml:space="preserve">Clinical Decision Support (CDS): Rules engine, alerts, order sets, care plans, evidence-based guidelines</w:t>
      </w:r>
    </w:p>
    <w:p>
      <w:pPr>
        <w:pStyle w:val="ListParagraph"/>
        <w:numPr>
          <w:ilvl w:val="0"/>
          <w:numId w:val="2"/>
        </w:numPr>
        <w:spacing w:after="60"/>
      </w:pPr>
      <w:r>
        <w:rPr>
          <w:rFonts w:ascii="Arial" w:cs="Arial" w:eastAsia="Arial" w:hAnsi="Arial"/>
          <w:color w:val="1A1A1A"/>
          <w:sz w:val="22"/>
          <w:szCs w:val="22"/>
        </w:rPr>
        <w:t xml:space="preserve">Patient portals and consumer engagement: MyChart, FollowMyHealth, patient-generated health data (PGHD)</w:t>
      </w:r>
    </w:p>
    <w:p>
      <w:pPr>
        <w:pStyle w:val="ListParagraph"/>
        <w:numPr>
          <w:ilvl w:val="0"/>
          <w:numId w:val="2"/>
        </w:numPr>
        <w:spacing w:after="60"/>
      </w:pPr>
      <w:r>
        <w:rPr>
          <w:rFonts w:ascii="Arial" w:cs="Arial" w:eastAsia="Arial" w:hAnsi="Arial"/>
          <w:color w:val="1A1A1A"/>
          <w:sz w:val="22"/>
          <w:szCs w:val="22"/>
        </w:rPr>
        <w:t xml:space="preserve">EHR implementation lifecycle: Assessment, design, build, testing, training, go-live, optimization</w:t>
      </w:r>
    </w:p>
    <w:p>
      <w:pPr>
        <w:pStyle w:val="ListParagraph"/>
        <w:numPr>
          <w:ilvl w:val="0"/>
          <w:numId w:val="2"/>
        </w:numPr>
        <w:spacing w:after="60"/>
      </w:pPr>
      <w:r>
        <w:rPr>
          <w:rFonts w:ascii="Arial" w:cs="Arial" w:eastAsia="Arial" w:hAnsi="Arial"/>
          <w:color w:val="1A1A1A"/>
          <w:sz w:val="22"/>
          <w:szCs w:val="22"/>
        </w:rPr>
        <w:t xml:space="preserve">EHR usability: Clinician burnout, pajama time documentation, voice recognition, ambient AI documentation</w:t>
      </w:r>
    </w:p>
    <w:p>
      <w:pPr>
        <w:pStyle w:val="ListParagraph"/>
        <w:numPr>
          <w:ilvl w:val="0"/>
          <w:numId w:val="2"/>
        </w:numPr>
        <w:spacing w:after="60"/>
      </w:pPr>
      <w:r>
        <w:rPr>
          <w:rFonts w:ascii="Arial" w:cs="Arial" w:eastAsia="Arial" w:hAnsi="Arial"/>
          <w:color w:val="1A1A1A"/>
          <w:sz w:val="22"/>
          <w:szCs w:val="22"/>
        </w:rPr>
        <w:t xml:space="preserve">EHR optimization and governance: Change control, enhancement requests, clinical informatics committees</w:t>
      </w:r>
    </w:p>
    <w:p>
      <w:pPr>
        <w:pStyle w:val="Heading2"/>
        <w:spacing w:after="150" w:before="300"/>
      </w:pPr>
      <w:r>
        <w:rPr>
          <w:rFonts w:ascii="Arial" w:cs="Arial" w:eastAsia="Arial" w:hAnsi="Arial"/>
          <w:b/>
          <w:bCs/>
          <w:color w:val="2A7B88"/>
          <w:sz w:val="28"/>
          <w:szCs w:val="28"/>
        </w:rPr>
        <w:t xml:space="preserve">2.2 Health Information Exchange &amp; Interoperability</w:t>
      </w:r>
    </w:p>
    <w:p>
      <w:pPr>
        <w:spacing w:after="120"/>
      </w:pPr>
      <w:r>
        <w:rPr>
          <w:rFonts w:ascii="Arial" w:cs="Arial" w:eastAsia="Arial" w:hAnsi="Arial"/>
          <w:color w:val="1A1A1A"/>
          <w:sz w:val="22"/>
          <w:szCs w:val="22"/>
        </w:rPr>
        <w:t xml:space="preserve">Interoperability is the defining challenge and opportunity of modern health IT. Master the standards, architectures, and real-world complexities of making healthcare systems talk to each other.</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Levels of interoperability: Foundational, Structural, Semantic, Organizational</w:t>
      </w:r>
    </w:p>
    <w:p>
      <w:pPr>
        <w:pStyle w:val="ListParagraph"/>
        <w:numPr>
          <w:ilvl w:val="0"/>
          <w:numId w:val="2"/>
        </w:numPr>
        <w:spacing w:after="60"/>
      </w:pPr>
      <w:r>
        <w:rPr>
          <w:rFonts w:ascii="Arial" w:cs="Arial" w:eastAsia="Arial" w:hAnsi="Arial"/>
          <w:color w:val="1A1A1A"/>
          <w:sz w:val="22"/>
          <w:szCs w:val="22"/>
        </w:rPr>
        <w:t xml:space="preserve">HL7 v2.x messaging: ADT, ORM, ORU, SIU, MDM message types; segments, fields, components</w:t>
      </w:r>
    </w:p>
    <w:p>
      <w:pPr>
        <w:pStyle w:val="ListParagraph"/>
        <w:numPr>
          <w:ilvl w:val="0"/>
          <w:numId w:val="2"/>
        </w:numPr>
        <w:spacing w:after="60"/>
      </w:pPr>
      <w:r>
        <w:rPr>
          <w:rFonts w:ascii="Arial" w:cs="Arial" w:eastAsia="Arial" w:hAnsi="Arial"/>
          <w:color w:val="1A1A1A"/>
          <w:sz w:val="22"/>
          <w:szCs w:val="22"/>
        </w:rPr>
        <w:t xml:space="preserve">HL7 FHIR (Fast Healthcare Interoperability Resources): Resources, RESTful API, SMART on FHIR, FHIR Implementation Guides</w:t>
      </w:r>
    </w:p>
    <w:p>
      <w:pPr>
        <w:pStyle w:val="ListParagraph"/>
        <w:numPr>
          <w:ilvl w:val="0"/>
          <w:numId w:val="2"/>
        </w:numPr>
        <w:spacing w:after="60"/>
      </w:pPr>
      <w:r>
        <w:rPr>
          <w:rFonts w:ascii="Arial" w:cs="Arial" w:eastAsia="Arial" w:hAnsi="Arial"/>
          <w:color w:val="1A1A1A"/>
          <w:sz w:val="22"/>
          <w:szCs w:val="22"/>
        </w:rPr>
        <w:t xml:space="preserve">HL7 CDA / C-CDA: Continuity of Care Document (CCD), clinical document architecture</w:t>
      </w:r>
    </w:p>
    <w:p>
      <w:pPr>
        <w:pStyle w:val="ListParagraph"/>
        <w:numPr>
          <w:ilvl w:val="0"/>
          <w:numId w:val="2"/>
        </w:numPr>
        <w:spacing w:after="60"/>
      </w:pPr>
      <w:r>
        <w:rPr>
          <w:rFonts w:ascii="Arial" w:cs="Arial" w:eastAsia="Arial" w:hAnsi="Arial"/>
          <w:color w:val="1A1A1A"/>
          <w:sz w:val="22"/>
          <w:szCs w:val="22"/>
        </w:rPr>
        <w:t xml:space="preserve">FHIR Bulk Data Access: Population-level data exchange for analytics and research</w:t>
      </w:r>
    </w:p>
    <w:p>
      <w:pPr>
        <w:pStyle w:val="ListParagraph"/>
        <w:numPr>
          <w:ilvl w:val="0"/>
          <w:numId w:val="2"/>
        </w:numPr>
        <w:spacing w:after="60"/>
      </w:pPr>
      <w:r>
        <w:rPr>
          <w:rFonts w:ascii="Arial" w:cs="Arial" w:eastAsia="Arial" w:hAnsi="Arial"/>
          <w:color w:val="1A1A1A"/>
          <w:sz w:val="22"/>
          <w:szCs w:val="22"/>
        </w:rPr>
        <w:t xml:space="preserve">X12 EDI transactions: 270/271 (eligibility), 276/277 (claim status), 835 (remittance), 837 (claims)</w:t>
      </w:r>
    </w:p>
    <w:p>
      <w:pPr>
        <w:pStyle w:val="ListParagraph"/>
        <w:numPr>
          <w:ilvl w:val="0"/>
          <w:numId w:val="2"/>
        </w:numPr>
        <w:spacing w:after="60"/>
      </w:pPr>
      <w:r>
        <w:rPr>
          <w:rFonts w:ascii="Arial" w:cs="Arial" w:eastAsia="Arial" w:hAnsi="Arial"/>
          <w:color w:val="1A1A1A"/>
          <w:sz w:val="22"/>
          <w:szCs w:val="22"/>
        </w:rPr>
        <w:t xml:space="preserve">DICOM: Medical imaging data exchange standard</w:t>
      </w:r>
    </w:p>
    <w:p>
      <w:pPr>
        <w:pStyle w:val="ListParagraph"/>
        <w:numPr>
          <w:ilvl w:val="0"/>
          <w:numId w:val="2"/>
        </w:numPr>
        <w:spacing w:after="60"/>
      </w:pPr>
      <w:r>
        <w:rPr>
          <w:rFonts w:ascii="Arial" w:cs="Arial" w:eastAsia="Arial" w:hAnsi="Arial"/>
          <w:color w:val="1A1A1A"/>
          <w:sz w:val="22"/>
          <w:szCs w:val="22"/>
        </w:rPr>
        <w:t xml:space="preserve">IHE (Integrating the Healthcare Enterprise) profiles: PIX, PDQ, XDS, XCA, MHD</w:t>
      </w:r>
    </w:p>
    <w:p>
      <w:pPr>
        <w:pStyle w:val="ListParagraph"/>
        <w:numPr>
          <w:ilvl w:val="0"/>
          <w:numId w:val="2"/>
        </w:numPr>
        <w:spacing w:after="60"/>
      </w:pPr>
      <w:r>
        <w:rPr>
          <w:rFonts w:ascii="Arial" w:cs="Arial" w:eastAsia="Arial" w:hAnsi="Arial"/>
          <w:color w:val="1A1A1A"/>
          <w:sz w:val="22"/>
          <w:szCs w:val="22"/>
        </w:rPr>
        <w:t xml:space="preserve">Health Information Exchanges (HIEs): Community, state, national (Carequality, CommonWell, TEFCA)</w:t>
      </w:r>
    </w:p>
    <w:p>
      <w:pPr>
        <w:pStyle w:val="ListParagraph"/>
        <w:numPr>
          <w:ilvl w:val="0"/>
          <w:numId w:val="2"/>
        </w:numPr>
        <w:spacing w:after="60"/>
      </w:pPr>
      <w:r>
        <w:rPr>
          <w:rFonts w:ascii="Arial" w:cs="Arial" w:eastAsia="Arial" w:hAnsi="Arial"/>
          <w:color w:val="1A1A1A"/>
          <w:sz w:val="22"/>
          <w:szCs w:val="22"/>
        </w:rPr>
        <w:t xml:space="preserve">TEFCA (Trusted Exchange Framework and Common Agreement): Architecture, QHINs, designated use cases</w:t>
      </w:r>
    </w:p>
    <w:p>
      <w:pPr>
        <w:pStyle w:val="ListParagraph"/>
        <w:numPr>
          <w:ilvl w:val="0"/>
          <w:numId w:val="2"/>
        </w:numPr>
        <w:spacing w:after="60"/>
      </w:pPr>
      <w:r>
        <w:rPr>
          <w:rFonts w:ascii="Arial" w:cs="Arial" w:eastAsia="Arial" w:hAnsi="Arial"/>
          <w:color w:val="1A1A1A"/>
          <w:sz w:val="22"/>
          <w:szCs w:val="22"/>
        </w:rPr>
        <w:t xml:space="preserve">API-based interoperability: CMS Interoperability Rules, Patient Access API, Provider Directory API, Prior Authorization API</w:t>
      </w:r>
    </w:p>
    <w:p>
      <w:pPr>
        <w:pStyle w:val="ListParagraph"/>
        <w:numPr>
          <w:ilvl w:val="0"/>
          <w:numId w:val="2"/>
        </w:numPr>
        <w:spacing w:after="60"/>
      </w:pPr>
      <w:r>
        <w:rPr>
          <w:rFonts w:ascii="Arial" w:cs="Arial" w:eastAsia="Arial" w:hAnsi="Arial"/>
          <w:color w:val="1A1A1A"/>
          <w:sz w:val="22"/>
          <w:szCs w:val="22"/>
        </w:rPr>
        <w:t xml:space="preserve">Integration engines: Rhapsody, InterSystems HealthShare, Mirth Connect, Microsoft Azure Health Data Services</w:t>
      </w:r>
    </w:p>
    <w:p>
      <w:pPr>
        <w:pStyle w:val="Heading2"/>
        <w:spacing w:after="150" w:before="300"/>
      </w:pPr>
      <w:r>
        <w:rPr>
          <w:rFonts w:ascii="Arial" w:cs="Arial" w:eastAsia="Arial" w:hAnsi="Arial"/>
          <w:b/>
          <w:bCs/>
          <w:color w:val="2A7B88"/>
          <w:sz w:val="28"/>
          <w:szCs w:val="28"/>
        </w:rPr>
        <w:t xml:space="preserve">2.3 Healthcare Data Standards &amp; Terminologies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USCDI (United States Core Data for Interoperability): Required data classes and elements</w:t>
      </w:r>
    </w:p>
    <w:p>
      <w:pPr>
        <w:pStyle w:val="ListParagraph"/>
        <w:numPr>
          <w:ilvl w:val="0"/>
          <w:numId w:val="2"/>
        </w:numPr>
        <w:spacing w:after="60"/>
      </w:pPr>
      <w:r>
        <w:rPr>
          <w:rFonts w:ascii="Arial" w:cs="Arial" w:eastAsia="Arial" w:hAnsi="Arial"/>
          <w:color w:val="1A1A1A"/>
          <w:sz w:val="22"/>
          <w:szCs w:val="22"/>
        </w:rPr>
        <w:t xml:space="preserve">Terminology services and concept mapping: SNOMED CT ↔ ICD-10, LOINC, RxNorm</w:t>
      </w:r>
    </w:p>
    <w:p>
      <w:pPr>
        <w:pStyle w:val="ListParagraph"/>
        <w:numPr>
          <w:ilvl w:val="0"/>
          <w:numId w:val="2"/>
        </w:numPr>
        <w:spacing w:after="60"/>
      </w:pPr>
      <w:r>
        <w:rPr>
          <w:rFonts w:ascii="Arial" w:cs="Arial" w:eastAsia="Arial" w:hAnsi="Arial"/>
          <w:color w:val="1A1A1A"/>
          <w:sz w:val="22"/>
          <w:szCs w:val="22"/>
        </w:rPr>
        <w:t xml:space="preserve">Value sets and code system management</w:t>
      </w:r>
    </w:p>
    <w:p>
      <w:pPr>
        <w:pStyle w:val="ListParagraph"/>
        <w:numPr>
          <w:ilvl w:val="0"/>
          <w:numId w:val="2"/>
        </w:numPr>
        <w:spacing w:after="60"/>
      </w:pPr>
      <w:r>
        <w:rPr>
          <w:rFonts w:ascii="Arial" w:cs="Arial" w:eastAsia="Arial" w:hAnsi="Arial"/>
          <w:color w:val="1A1A1A"/>
          <w:sz w:val="22"/>
          <w:szCs w:val="22"/>
        </w:rPr>
        <w:t xml:space="preserve">Master Patient Index (MPI) and patient matching algorithms (probabilistic, deterministic)</w:t>
      </w:r>
    </w:p>
    <w:p>
      <w:pPr>
        <w:pStyle w:val="ListParagraph"/>
        <w:numPr>
          <w:ilvl w:val="0"/>
          <w:numId w:val="2"/>
        </w:numPr>
        <w:spacing w:after="60"/>
      </w:pPr>
      <w:r>
        <w:rPr>
          <w:rFonts w:ascii="Arial" w:cs="Arial" w:eastAsia="Arial" w:hAnsi="Arial"/>
          <w:color w:val="1A1A1A"/>
          <w:sz w:val="22"/>
          <w:szCs w:val="22"/>
        </w:rPr>
        <w:t xml:space="preserve">Provider directories: NPI registry, NPPES, PECOS</w:t>
      </w:r>
    </w:p>
    <w:p>
      <w:pPr>
        <w:pStyle w:val="ListParagraph"/>
        <w:numPr>
          <w:ilvl w:val="0"/>
          <w:numId w:val="2"/>
        </w:numPr>
        <w:spacing w:after="60"/>
      </w:pPr>
      <w:r>
        <w:rPr>
          <w:rFonts w:ascii="Arial" w:cs="Arial" w:eastAsia="Arial" w:hAnsi="Arial"/>
          <w:color w:val="1A1A1A"/>
          <w:sz w:val="22"/>
          <w:szCs w:val="22"/>
        </w:rPr>
        <w:t xml:space="preserve">Medication data standards: RxNorm, NDC, drug-drug interaction databases (FDB, Medi-Span)</w:t>
      </w:r>
    </w:p>
    <w:p>
      <w:pPr>
        <w:pStyle w:val="ListParagraph"/>
        <w:numPr>
          <w:ilvl w:val="0"/>
          <w:numId w:val="2"/>
        </w:numPr>
        <w:spacing w:after="60"/>
      </w:pPr>
      <w:r>
        <w:rPr>
          <w:rFonts w:ascii="Arial" w:cs="Arial" w:eastAsia="Arial" w:hAnsi="Arial"/>
          <w:color w:val="1A1A1A"/>
          <w:sz w:val="22"/>
          <w:szCs w:val="22"/>
        </w:rPr>
        <w:t xml:space="preserve">Clinical quality measure specifications: eCQMs, CQL (Clinical Quality Language)</w:t>
      </w:r>
    </w:p>
    <w:p>
      <w:pPr>
        <w:pStyle w:val="ListParagraph"/>
        <w:numPr>
          <w:ilvl w:val="0"/>
          <w:numId w:val="2"/>
        </w:numPr>
        <w:spacing w:after="60"/>
      </w:pPr>
      <w:r>
        <w:rPr>
          <w:rFonts w:ascii="Arial" w:cs="Arial" w:eastAsia="Arial" w:hAnsi="Arial"/>
          <w:color w:val="1A1A1A"/>
          <w:sz w:val="22"/>
          <w:szCs w:val="22"/>
        </w:rPr>
        <w:t xml:space="preserve">Consent management standards and patient consent directives</w:t>
      </w:r>
    </w:p>
    <w:p>
      <w:pPr>
        <w:pStyle w:val="Heading2"/>
        <w:spacing w:after="150" w:before="300"/>
      </w:pPr>
      <w:r>
        <w:rPr>
          <w:rFonts w:ascii="Arial" w:cs="Arial" w:eastAsia="Arial" w:hAnsi="Arial"/>
          <w:b/>
          <w:bCs/>
          <w:color w:val="2A7B88"/>
          <w:sz w:val="28"/>
          <w:szCs w:val="28"/>
        </w:rPr>
        <w:t xml:space="preserve">2.4 Healthcare IT Infrastructure &amp; Architecture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Healthcare IT architecture patterns: On-premises, hybrid, cloud-native, multi-cloud</w:t>
      </w:r>
    </w:p>
    <w:p>
      <w:pPr>
        <w:pStyle w:val="ListParagraph"/>
        <w:numPr>
          <w:ilvl w:val="0"/>
          <w:numId w:val="2"/>
        </w:numPr>
        <w:spacing w:after="60"/>
      </w:pPr>
      <w:r>
        <w:rPr>
          <w:rFonts w:ascii="Arial" w:cs="Arial" w:eastAsia="Arial" w:hAnsi="Arial"/>
          <w:color w:val="1A1A1A"/>
          <w:sz w:val="22"/>
          <w:szCs w:val="22"/>
        </w:rPr>
        <w:t xml:space="preserve">Data center considerations for healthcare: Redundancy, disaster recovery, business continuity</w:t>
      </w:r>
    </w:p>
    <w:p>
      <w:pPr>
        <w:pStyle w:val="ListParagraph"/>
        <w:numPr>
          <w:ilvl w:val="0"/>
          <w:numId w:val="2"/>
        </w:numPr>
        <w:spacing w:after="60"/>
      </w:pPr>
      <w:r>
        <w:rPr>
          <w:rFonts w:ascii="Arial" w:cs="Arial" w:eastAsia="Arial" w:hAnsi="Arial"/>
          <w:color w:val="1A1A1A"/>
          <w:sz w:val="22"/>
          <w:szCs w:val="22"/>
        </w:rPr>
        <w:t xml:space="preserve">Network architecture: Clinical network segmentation, biomedical device networks, guest networks</w:t>
      </w:r>
    </w:p>
    <w:p>
      <w:pPr>
        <w:pStyle w:val="ListParagraph"/>
        <w:numPr>
          <w:ilvl w:val="0"/>
          <w:numId w:val="2"/>
        </w:numPr>
        <w:spacing w:after="60"/>
      </w:pPr>
      <w:r>
        <w:rPr>
          <w:rFonts w:ascii="Arial" w:cs="Arial" w:eastAsia="Arial" w:hAnsi="Arial"/>
          <w:color w:val="1A1A1A"/>
          <w:sz w:val="22"/>
          <w:szCs w:val="22"/>
        </w:rPr>
        <w:t xml:space="preserve">Identity and Access Management (IAM): RBAC, ABAC, single sign-on (SSO), MFA, EPCS compliance</w:t>
      </w:r>
    </w:p>
    <w:p>
      <w:pPr>
        <w:pStyle w:val="ListParagraph"/>
        <w:numPr>
          <w:ilvl w:val="0"/>
          <w:numId w:val="2"/>
        </w:numPr>
        <w:spacing w:after="60"/>
      </w:pPr>
      <w:r>
        <w:rPr>
          <w:rFonts w:ascii="Arial" w:cs="Arial" w:eastAsia="Arial" w:hAnsi="Arial"/>
          <w:color w:val="1A1A1A"/>
          <w:sz w:val="22"/>
          <w:szCs w:val="22"/>
        </w:rPr>
        <w:t xml:space="preserve">Virtual Desktop Infrastructure (VDI) and thin clients in clinical environments</w:t>
      </w:r>
    </w:p>
    <w:p>
      <w:pPr>
        <w:pStyle w:val="ListParagraph"/>
        <w:numPr>
          <w:ilvl w:val="0"/>
          <w:numId w:val="2"/>
        </w:numPr>
        <w:spacing w:after="60"/>
      </w:pPr>
      <w:r>
        <w:rPr>
          <w:rFonts w:ascii="Arial" w:cs="Arial" w:eastAsia="Arial" w:hAnsi="Arial"/>
          <w:color w:val="1A1A1A"/>
          <w:sz w:val="22"/>
          <w:szCs w:val="22"/>
        </w:rPr>
        <w:t xml:space="preserve">Mobile device management (MDM) for clinical mobility: Tablets, smartphones, workstations on wheels</w:t>
      </w:r>
    </w:p>
    <w:p>
      <w:pPr>
        <w:pStyle w:val="ListParagraph"/>
        <w:numPr>
          <w:ilvl w:val="0"/>
          <w:numId w:val="2"/>
        </w:numPr>
        <w:spacing w:after="60"/>
      </w:pPr>
      <w:r>
        <w:rPr>
          <w:rFonts w:ascii="Arial" w:cs="Arial" w:eastAsia="Arial" w:hAnsi="Arial"/>
          <w:color w:val="1A1A1A"/>
          <w:sz w:val="22"/>
          <w:szCs w:val="22"/>
        </w:rPr>
        <w:t xml:space="preserve">Clinical communication platforms: Secure messaging, nurse call integration, real-time locating systems (RTLS)</w:t>
      </w:r>
    </w:p>
    <w:p>
      <w:pPr>
        <w:pStyle w:val="ListParagraph"/>
        <w:numPr>
          <w:ilvl w:val="0"/>
          <w:numId w:val="2"/>
        </w:numPr>
        <w:spacing w:after="60"/>
      </w:pPr>
      <w:r>
        <w:rPr>
          <w:rFonts w:ascii="Arial" w:cs="Arial" w:eastAsia="Arial" w:hAnsi="Arial"/>
          <w:color w:val="1A1A1A"/>
          <w:sz w:val="22"/>
          <w:szCs w:val="22"/>
        </w:rPr>
        <w:t xml:space="preserve">Biomedical device integration: HL7 ADT feeds to devices, alarm management, FDA connectivity guidance</w:t>
      </w:r>
    </w:p>
    <w:p>
      <w:pPr>
        <w:pStyle w:val="ListParagraph"/>
        <w:numPr>
          <w:ilvl w:val="0"/>
          <w:numId w:val="2"/>
        </w:numPr>
        <w:spacing w:after="60"/>
      </w:pPr>
      <w:r>
        <w:rPr>
          <w:rFonts w:ascii="Arial" w:cs="Arial" w:eastAsia="Arial" w:hAnsi="Arial"/>
          <w:color w:val="1A1A1A"/>
          <w:sz w:val="22"/>
          <w:szCs w:val="22"/>
        </w:rPr>
        <w:t xml:space="preserve">Telehealth/Telemedicine infrastructure: Video platforms, remote patient monitoring (RPM), store-and-forward</w:t>
      </w:r>
    </w:p>
    <w:p>
      <w:pPr>
        <w:pStyle w:val="ListParagraph"/>
        <w:numPr>
          <w:ilvl w:val="0"/>
          <w:numId w:val="2"/>
        </w:numPr>
        <w:spacing w:after="60"/>
      </w:pPr>
      <w:r>
        <w:rPr>
          <w:rFonts w:ascii="Arial" w:cs="Arial" w:eastAsia="Arial" w:hAnsi="Arial"/>
          <w:color w:val="1A1A1A"/>
          <w:sz w:val="22"/>
          <w:szCs w:val="22"/>
        </w:rPr>
        <w:t xml:space="preserve">Printing and clinical document management in healthcare settings</w:t>
      </w:r>
    </w:p>
    <w:p>
      <w:pPr>
        <w:pStyle w:val="Heading2"/>
        <w:spacing w:after="150" w:before="300"/>
      </w:pPr>
      <w:r>
        <w:rPr>
          <w:rFonts w:ascii="Arial" w:cs="Arial" w:eastAsia="Arial" w:hAnsi="Arial"/>
          <w:b/>
          <w:bCs/>
          <w:color w:val="2A7B88"/>
          <w:sz w:val="28"/>
          <w:szCs w:val="28"/>
        </w:rPr>
        <w:t xml:space="preserve">2.5 Clinical &amp; Departmental Systems</w:t>
      </w:r>
    </w:p>
    <w:p>
      <w:pPr>
        <w:spacing w:after="120"/>
      </w:pPr>
      <w:r>
        <w:rPr>
          <w:rFonts w:ascii="Arial" w:cs="Arial" w:eastAsia="Arial" w:hAnsi="Arial"/>
          <w:color w:val="1A1A1A"/>
          <w:sz w:val="22"/>
          <w:szCs w:val="22"/>
        </w:rPr>
        <w:t xml:space="preserve">Beyond the EHR, healthcare organizations run dozens of specialized systems that must integrate into a cohesive ecosystem.</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Laboratory Information Systems (LIS/LIMS): Sunquest, Beaker (Epic), PathNet (Cerner), instrument interfaces</w:t>
      </w:r>
    </w:p>
    <w:p>
      <w:pPr>
        <w:pStyle w:val="ListParagraph"/>
        <w:numPr>
          <w:ilvl w:val="0"/>
          <w:numId w:val="2"/>
        </w:numPr>
        <w:spacing w:after="60"/>
      </w:pPr>
      <w:r>
        <w:rPr>
          <w:rFonts w:ascii="Arial" w:cs="Arial" w:eastAsia="Arial" w:hAnsi="Arial"/>
          <w:color w:val="1A1A1A"/>
          <w:sz w:val="22"/>
          <w:szCs w:val="22"/>
        </w:rPr>
        <w:t xml:space="preserve">Radiology Information Systems (RIS) and PACS: Image storage, worklist management, diagnostic viewing (Nuance PowerScribe, Sectra, Change Healthcare PACS)</w:t>
      </w:r>
    </w:p>
    <w:p>
      <w:pPr>
        <w:pStyle w:val="ListParagraph"/>
        <w:numPr>
          <w:ilvl w:val="0"/>
          <w:numId w:val="2"/>
        </w:numPr>
        <w:spacing w:after="60"/>
      </w:pPr>
      <w:r>
        <w:rPr>
          <w:rFonts w:ascii="Arial" w:cs="Arial" w:eastAsia="Arial" w:hAnsi="Arial"/>
          <w:color w:val="1A1A1A"/>
          <w:sz w:val="22"/>
          <w:szCs w:val="22"/>
        </w:rPr>
        <w:t xml:space="preserve">Pharmacy Information Systems: Automated dispensing cabinets (Pyxis, Omnicell), BCMA (barcode medication administration), 340B compliance</w:t>
      </w:r>
    </w:p>
    <w:p>
      <w:pPr>
        <w:pStyle w:val="ListParagraph"/>
        <w:numPr>
          <w:ilvl w:val="0"/>
          <w:numId w:val="2"/>
        </w:numPr>
        <w:spacing w:after="60"/>
      </w:pPr>
      <w:r>
        <w:rPr>
          <w:rFonts w:ascii="Arial" w:cs="Arial" w:eastAsia="Arial" w:hAnsi="Arial"/>
          <w:color w:val="1A1A1A"/>
          <w:sz w:val="22"/>
          <w:szCs w:val="22"/>
        </w:rPr>
        <w:t xml:space="preserve">Revenue Cycle / Practice Management Systems: Epic Resolute, Cerner RevElate, athenaCollector, Waystar, R1 RCM</w:t>
      </w:r>
    </w:p>
    <w:p>
      <w:pPr>
        <w:pStyle w:val="ListParagraph"/>
        <w:numPr>
          <w:ilvl w:val="0"/>
          <w:numId w:val="2"/>
        </w:numPr>
        <w:spacing w:after="60"/>
      </w:pPr>
      <w:r>
        <w:rPr>
          <w:rFonts w:ascii="Arial" w:cs="Arial" w:eastAsia="Arial" w:hAnsi="Arial"/>
          <w:color w:val="1A1A1A"/>
          <w:sz w:val="22"/>
          <w:szCs w:val="22"/>
        </w:rPr>
        <w:t xml:space="preserve">Enterprise Resource Planning (ERP): Workday, Infor, SAP in healthcare — Supply chain, HR, Finance</w:t>
      </w:r>
    </w:p>
    <w:p>
      <w:pPr>
        <w:pStyle w:val="ListParagraph"/>
        <w:numPr>
          <w:ilvl w:val="0"/>
          <w:numId w:val="2"/>
        </w:numPr>
        <w:spacing w:after="60"/>
      </w:pPr>
      <w:r>
        <w:rPr>
          <w:rFonts w:ascii="Arial" w:cs="Arial" w:eastAsia="Arial" w:hAnsi="Arial"/>
          <w:color w:val="1A1A1A"/>
          <w:sz w:val="22"/>
          <w:szCs w:val="22"/>
        </w:rPr>
        <w:t xml:space="preserve">Operating Room Management: Scheduling, preference cards, case costing, implant tracking</w:t>
      </w:r>
    </w:p>
    <w:p>
      <w:pPr>
        <w:pStyle w:val="ListParagraph"/>
        <w:numPr>
          <w:ilvl w:val="0"/>
          <w:numId w:val="2"/>
        </w:numPr>
        <w:spacing w:after="60"/>
      </w:pPr>
      <w:r>
        <w:rPr>
          <w:rFonts w:ascii="Arial" w:cs="Arial" w:eastAsia="Arial" w:hAnsi="Arial"/>
          <w:color w:val="1A1A1A"/>
          <w:sz w:val="22"/>
          <w:szCs w:val="22"/>
        </w:rPr>
        <w:t xml:space="preserve">Blood Bank / Transfusion Management Systems</w:t>
      </w:r>
    </w:p>
    <w:p>
      <w:pPr>
        <w:pStyle w:val="ListParagraph"/>
        <w:numPr>
          <w:ilvl w:val="0"/>
          <w:numId w:val="2"/>
        </w:numPr>
        <w:spacing w:after="60"/>
      </w:pPr>
      <w:r>
        <w:rPr>
          <w:rFonts w:ascii="Arial" w:cs="Arial" w:eastAsia="Arial" w:hAnsi="Arial"/>
          <w:color w:val="1A1A1A"/>
          <w:sz w:val="22"/>
          <w:szCs w:val="22"/>
        </w:rPr>
        <w:t xml:space="preserve">Infection Control &amp; Surveillance Systems: TheraDoc, VigiLanz, Wolters Kluwer</w:t>
      </w:r>
    </w:p>
    <w:p>
      <w:pPr>
        <w:pStyle w:val="ListParagraph"/>
        <w:numPr>
          <w:ilvl w:val="0"/>
          <w:numId w:val="2"/>
        </w:numPr>
        <w:spacing w:after="60"/>
      </w:pPr>
      <w:r>
        <w:rPr>
          <w:rFonts w:ascii="Arial" w:cs="Arial" w:eastAsia="Arial" w:hAnsi="Arial"/>
          <w:color w:val="1A1A1A"/>
          <w:sz w:val="22"/>
          <w:szCs w:val="22"/>
        </w:rPr>
        <w:t xml:space="preserve">Population Health Management platforms: Healthy Planet (Epic), HealtheIntent (Cerner), Arcadia, Innovaccer</w:t>
      </w:r>
    </w:p>
    <w:p>
      <w:pPr>
        <w:pStyle w:val="ListParagraph"/>
        <w:numPr>
          <w:ilvl w:val="0"/>
          <w:numId w:val="2"/>
        </w:numPr>
        <w:spacing w:after="60"/>
      </w:pPr>
      <w:r>
        <w:rPr>
          <w:rFonts w:ascii="Arial" w:cs="Arial" w:eastAsia="Arial" w:hAnsi="Arial"/>
          <w:color w:val="1A1A1A"/>
          <w:sz w:val="22"/>
          <w:szCs w:val="22"/>
        </w:rPr>
        <w:t xml:space="preserve">Care Management / Care Coordination platforms</w:t>
      </w:r>
    </w:p>
    <w:p>
      <w:pPr>
        <w:pStyle w:val="ListParagraph"/>
        <w:numPr>
          <w:ilvl w:val="0"/>
          <w:numId w:val="2"/>
        </w:numPr>
        <w:spacing w:after="60"/>
      </w:pPr>
      <w:r>
        <w:rPr>
          <w:rFonts w:ascii="Arial" w:cs="Arial" w:eastAsia="Arial" w:hAnsi="Arial"/>
          <w:color w:val="1A1A1A"/>
          <w:sz w:val="22"/>
          <w:szCs w:val="22"/>
        </w:rPr>
        <w:t xml:space="preserve">Patient Scheduling and Registration systems</w:t>
      </w:r>
    </w:p>
    <w:p>
      <w:pPr>
        <w:pStyle w:val="ListParagraph"/>
        <w:numPr>
          <w:ilvl w:val="0"/>
          <w:numId w:val="2"/>
        </w:numPr>
        <w:spacing w:after="60"/>
      </w:pPr>
      <w:r>
        <w:rPr>
          <w:rFonts w:ascii="Arial" w:cs="Arial" w:eastAsia="Arial" w:hAnsi="Arial"/>
          <w:color w:val="1A1A1A"/>
          <w:sz w:val="22"/>
          <w:szCs w:val="22"/>
        </w:rPr>
        <w:t xml:space="preserve">Health plan / Payer platforms: Claims adjudication, member management, provider credentialing, utilization management</w:t>
      </w:r>
    </w:p>
    <w:p>
      <w:r>
        <w:br w:type="page"/>
      </w:r>
    </w:p>
    <w:p>
      <w:pPr>
        <w:pStyle w:val="Heading1"/>
        <w:spacing w:after="200" w:before="400"/>
      </w:pPr>
      <w:r>
        <w:rPr>
          <w:rFonts w:ascii="Arial" w:cs="Arial" w:eastAsia="Arial" w:hAnsi="Arial"/>
          <w:b/>
          <w:bCs/>
          <w:color w:val="1B3A5C"/>
          <w:sz w:val="36"/>
          <w:szCs w:val="36"/>
        </w:rPr>
        <w:t xml:space="preserve">Phase 3: Healthcare Data, Analytics &amp; AI (Months 11–16)</w:t>
      </w:r>
    </w:p>
    <w:p>
      <w:pPr>
        <w:spacing w:after="120"/>
      </w:pPr>
      <w:r>
        <w:rPr>
          <w:rFonts w:ascii="Arial" w:cs="Arial" w:eastAsia="Arial" w:hAnsi="Arial"/>
          <w:color w:val="1A1A1A"/>
          <w:sz w:val="22"/>
          <w:szCs w:val="22"/>
        </w:rPr>
        <w:t xml:space="preserve">Data is the lifeblood of healthcare transformation. This phase equips you to design, build, and govern the data infrastructure that drives clinical quality, operational efficiency, financial performance, and population health.</w:t>
      </w:r>
    </w:p>
    <w:p>
      <w:pPr>
        <w:pBdr>
          <w:bottom w:val="single" w:color="2A7B88" w:sz="6" w:space="1"/>
        </w:pBdr>
        <w:spacing w:after="200" w:before="200"/>
      </w:pPr>
    </w:p>
    <w:p>
      <w:pPr>
        <w:pStyle w:val="Heading2"/>
        <w:spacing w:after="150" w:before="300"/>
      </w:pPr>
      <w:r>
        <w:rPr>
          <w:rFonts w:ascii="Arial" w:cs="Arial" w:eastAsia="Arial" w:hAnsi="Arial"/>
          <w:b/>
          <w:bCs/>
          <w:color w:val="2A7B88"/>
          <w:sz w:val="28"/>
          <w:szCs w:val="28"/>
        </w:rPr>
        <w:t xml:space="preserve">3.1 Healthcare Data Architecture &amp; Warehousing</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Healthcare data models: Relational (star schema, snowflake), document-based, graph databases for clinical ontologies</w:t>
      </w:r>
    </w:p>
    <w:p>
      <w:pPr>
        <w:pStyle w:val="ListParagraph"/>
        <w:numPr>
          <w:ilvl w:val="0"/>
          <w:numId w:val="2"/>
        </w:numPr>
        <w:spacing w:after="60"/>
      </w:pPr>
      <w:r>
        <w:rPr>
          <w:rFonts w:ascii="Arial" w:cs="Arial" w:eastAsia="Arial" w:hAnsi="Arial"/>
          <w:color w:val="1A1A1A"/>
          <w:sz w:val="22"/>
          <w:szCs w:val="22"/>
        </w:rPr>
        <w:t xml:space="preserve">Enterprise Data Warehouse (EDW) design for healthcare: Epic Caboodle, Cerner HealtheDataLab, custom solutions</w:t>
      </w:r>
    </w:p>
    <w:p>
      <w:pPr>
        <w:pStyle w:val="ListParagraph"/>
        <w:numPr>
          <w:ilvl w:val="0"/>
          <w:numId w:val="2"/>
        </w:numPr>
        <w:spacing w:after="60"/>
      </w:pPr>
      <w:r>
        <w:rPr>
          <w:rFonts w:ascii="Arial" w:cs="Arial" w:eastAsia="Arial" w:hAnsi="Arial"/>
          <w:color w:val="1A1A1A"/>
          <w:sz w:val="22"/>
          <w:szCs w:val="22"/>
        </w:rPr>
        <w:t xml:space="preserve">Data lake architecture: Raw clinical/claims/genomic data ingestion, schema-on-read</w:t>
      </w:r>
    </w:p>
    <w:p>
      <w:pPr>
        <w:pStyle w:val="ListParagraph"/>
        <w:numPr>
          <w:ilvl w:val="0"/>
          <w:numId w:val="2"/>
        </w:numPr>
        <w:spacing w:after="60"/>
      </w:pPr>
      <w:r>
        <w:rPr>
          <w:rFonts w:ascii="Arial" w:cs="Arial" w:eastAsia="Arial" w:hAnsi="Arial"/>
          <w:color w:val="1A1A1A"/>
          <w:sz w:val="22"/>
          <w:szCs w:val="22"/>
        </w:rPr>
        <w:t xml:space="preserve">Lakehouse architecture: Delta Lake, Apache Iceberg for healthcare</w:t>
      </w:r>
    </w:p>
    <w:p>
      <w:pPr>
        <w:pStyle w:val="ListParagraph"/>
        <w:numPr>
          <w:ilvl w:val="0"/>
          <w:numId w:val="2"/>
        </w:numPr>
        <w:spacing w:after="60"/>
      </w:pPr>
      <w:r>
        <w:rPr>
          <w:rFonts w:ascii="Arial" w:cs="Arial" w:eastAsia="Arial" w:hAnsi="Arial"/>
          <w:color w:val="1A1A1A"/>
          <w:sz w:val="22"/>
          <w:szCs w:val="22"/>
        </w:rPr>
        <w:t xml:space="preserve">Common data models: OMOP CDM (Observational Medical Outcomes Partnership), PCORnet, i2b2, Sentinel</w:t>
      </w:r>
    </w:p>
    <w:p>
      <w:pPr>
        <w:pStyle w:val="ListParagraph"/>
        <w:numPr>
          <w:ilvl w:val="0"/>
          <w:numId w:val="2"/>
        </w:numPr>
        <w:spacing w:after="60"/>
      </w:pPr>
      <w:r>
        <w:rPr>
          <w:rFonts w:ascii="Arial" w:cs="Arial" w:eastAsia="Arial" w:hAnsi="Arial"/>
          <w:color w:val="1A1A1A"/>
          <w:sz w:val="22"/>
          <w:szCs w:val="22"/>
        </w:rPr>
        <w:t xml:space="preserve">ETL/ELT pipelines for healthcare data: Source extraction from EHR, claims, devices; transformation; loading</w:t>
      </w:r>
    </w:p>
    <w:p>
      <w:pPr>
        <w:pStyle w:val="ListParagraph"/>
        <w:numPr>
          <w:ilvl w:val="0"/>
          <w:numId w:val="2"/>
        </w:numPr>
        <w:spacing w:after="60"/>
      </w:pPr>
      <w:r>
        <w:rPr>
          <w:rFonts w:ascii="Arial" w:cs="Arial" w:eastAsia="Arial" w:hAnsi="Arial"/>
          <w:color w:val="1A1A1A"/>
          <w:sz w:val="22"/>
          <w:szCs w:val="22"/>
        </w:rPr>
        <w:t xml:space="preserve">Real-time streaming architectures: Kafka, Flink for clinical event processing, vital sign monitoring</w:t>
      </w:r>
    </w:p>
    <w:p>
      <w:pPr>
        <w:pStyle w:val="ListParagraph"/>
        <w:numPr>
          <w:ilvl w:val="0"/>
          <w:numId w:val="2"/>
        </w:numPr>
        <w:spacing w:after="60"/>
      </w:pPr>
      <w:r>
        <w:rPr>
          <w:rFonts w:ascii="Arial" w:cs="Arial" w:eastAsia="Arial" w:hAnsi="Arial"/>
          <w:color w:val="1A1A1A"/>
          <w:sz w:val="22"/>
          <w:szCs w:val="22"/>
        </w:rPr>
        <w:t xml:space="preserve">Master Data Management (MDM): Patient, provider, facility, medication master data</w:t>
      </w:r>
    </w:p>
    <w:p>
      <w:pPr>
        <w:pStyle w:val="ListParagraph"/>
        <w:numPr>
          <w:ilvl w:val="0"/>
          <w:numId w:val="2"/>
        </w:numPr>
        <w:spacing w:after="60"/>
      </w:pPr>
      <w:r>
        <w:rPr>
          <w:rFonts w:ascii="Arial" w:cs="Arial" w:eastAsia="Arial" w:hAnsi="Arial"/>
          <w:color w:val="1A1A1A"/>
          <w:sz w:val="22"/>
          <w:szCs w:val="22"/>
        </w:rPr>
        <w:t xml:space="preserve">Data catalog and metadata management: Collibra, Alation, Apache Atlas for healthcare data discovery</w:t>
      </w:r>
    </w:p>
    <w:p>
      <w:pPr>
        <w:pStyle w:val="Heading2"/>
        <w:spacing w:after="150" w:before="300"/>
      </w:pPr>
      <w:r>
        <w:rPr>
          <w:rFonts w:ascii="Arial" w:cs="Arial" w:eastAsia="Arial" w:hAnsi="Arial"/>
          <w:b/>
          <w:bCs/>
          <w:color w:val="2A7B88"/>
          <w:sz w:val="28"/>
          <w:szCs w:val="28"/>
        </w:rPr>
        <w:t xml:space="preserve">3.2 Healthcare Analytics &amp; Business Intelligence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Clinical analytics: Readmission prediction, sepsis early warning, length of stay optimization, mortality risk</w:t>
      </w:r>
    </w:p>
    <w:p>
      <w:pPr>
        <w:pStyle w:val="ListParagraph"/>
        <w:numPr>
          <w:ilvl w:val="0"/>
          <w:numId w:val="2"/>
        </w:numPr>
        <w:spacing w:after="60"/>
      </w:pPr>
      <w:r>
        <w:rPr>
          <w:rFonts w:ascii="Arial" w:cs="Arial" w:eastAsia="Arial" w:hAnsi="Arial"/>
          <w:color w:val="1A1A1A"/>
          <w:sz w:val="22"/>
          <w:szCs w:val="22"/>
        </w:rPr>
        <w:t xml:space="preserve">Operational analytics: OR utilization, bed management, staffing optimization, patient flow, throughput</w:t>
      </w:r>
    </w:p>
    <w:p>
      <w:pPr>
        <w:pStyle w:val="ListParagraph"/>
        <w:numPr>
          <w:ilvl w:val="0"/>
          <w:numId w:val="2"/>
        </w:numPr>
        <w:spacing w:after="60"/>
      </w:pPr>
      <w:r>
        <w:rPr>
          <w:rFonts w:ascii="Arial" w:cs="Arial" w:eastAsia="Arial" w:hAnsi="Arial"/>
          <w:color w:val="1A1A1A"/>
          <w:sz w:val="22"/>
          <w:szCs w:val="22"/>
        </w:rPr>
        <w:t xml:space="preserve">Financial analytics: Cost accounting, profitability by service line, payer performance, denial analytics, revenue leakage</w:t>
      </w:r>
    </w:p>
    <w:p>
      <w:pPr>
        <w:pStyle w:val="ListParagraph"/>
        <w:numPr>
          <w:ilvl w:val="0"/>
          <w:numId w:val="2"/>
        </w:numPr>
        <w:spacing w:after="60"/>
      </w:pPr>
      <w:r>
        <w:rPr>
          <w:rFonts w:ascii="Arial" w:cs="Arial" w:eastAsia="Arial" w:hAnsi="Arial"/>
          <w:color w:val="1A1A1A"/>
          <w:sz w:val="22"/>
          <w:szCs w:val="22"/>
        </w:rPr>
        <w:t xml:space="preserve">Quality and safety analytics: Hospital-acquired infections, falls, medication errors, core measures, Leapfrog</w:t>
      </w:r>
    </w:p>
    <w:p>
      <w:pPr>
        <w:pStyle w:val="ListParagraph"/>
        <w:numPr>
          <w:ilvl w:val="0"/>
          <w:numId w:val="2"/>
        </w:numPr>
        <w:spacing w:after="60"/>
      </w:pPr>
      <w:r>
        <w:rPr>
          <w:rFonts w:ascii="Arial" w:cs="Arial" w:eastAsia="Arial" w:hAnsi="Arial"/>
          <w:color w:val="1A1A1A"/>
          <w:sz w:val="22"/>
          <w:szCs w:val="22"/>
        </w:rPr>
        <w:t xml:space="preserve">Population health analytics: Risk stratification, care gap identification, chronic disease management, HEDIS measures</w:t>
      </w:r>
    </w:p>
    <w:p>
      <w:pPr>
        <w:pStyle w:val="ListParagraph"/>
        <w:numPr>
          <w:ilvl w:val="0"/>
          <w:numId w:val="2"/>
        </w:numPr>
        <w:spacing w:after="60"/>
      </w:pPr>
      <w:r>
        <w:rPr>
          <w:rFonts w:ascii="Arial" w:cs="Arial" w:eastAsia="Arial" w:hAnsi="Arial"/>
          <w:color w:val="1A1A1A"/>
          <w:sz w:val="22"/>
          <w:szCs w:val="22"/>
        </w:rPr>
        <w:t xml:space="preserve">Regulatory reporting: CMS quality programs (MIPS, Hospital IQR/OQR), state reporting mandates</w:t>
      </w:r>
    </w:p>
    <w:p>
      <w:pPr>
        <w:pStyle w:val="ListParagraph"/>
        <w:numPr>
          <w:ilvl w:val="0"/>
          <w:numId w:val="2"/>
        </w:numPr>
        <w:spacing w:after="60"/>
      </w:pPr>
      <w:r>
        <w:rPr>
          <w:rFonts w:ascii="Arial" w:cs="Arial" w:eastAsia="Arial" w:hAnsi="Arial"/>
          <w:color w:val="1A1A1A"/>
          <w:sz w:val="22"/>
          <w:szCs w:val="22"/>
        </w:rPr>
        <w:t xml:space="preserve">Patient experience analytics: HCAHPS analysis, sentiment analysis, patient journey analytics</w:t>
      </w:r>
    </w:p>
    <w:p>
      <w:pPr>
        <w:pStyle w:val="ListParagraph"/>
        <w:numPr>
          <w:ilvl w:val="0"/>
          <w:numId w:val="2"/>
        </w:numPr>
        <w:spacing w:after="60"/>
      </w:pPr>
      <w:r>
        <w:rPr>
          <w:rFonts w:ascii="Arial" w:cs="Arial" w:eastAsia="Arial" w:hAnsi="Arial"/>
          <w:color w:val="1A1A1A"/>
          <w:sz w:val="22"/>
          <w:szCs w:val="22"/>
        </w:rPr>
        <w:t xml:space="preserve">Supply chain analytics: Inventory optimization, implant utilization, contract compliance</w:t>
      </w:r>
    </w:p>
    <w:p>
      <w:pPr>
        <w:pStyle w:val="ListParagraph"/>
        <w:numPr>
          <w:ilvl w:val="0"/>
          <w:numId w:val="2"/>
        </w:numPr>
        <w:spacing w:after="60"/>
      </w:pPr>
      <w:r>
        <w:rPr>
          <w:rFonts w:ascii="Arial" w:cs="Arial" w:eastAsia="Arial" w:hAnsi="Arial"/>
          <w:color w:val="1A1A1A"/>
          <w:sz w:val="22"/>
          <w:szCs w:val="22"/>
        </w:rPr>
        <w:t xml:space="preserve">BI tools in healthcare: Tableau, Power BI, Qlik, SAP BusinessObjects, Epic Slicer Dicer, Cogito</w:t>
      </w:r>
    </w:p>
    <w:p>
      <w:pPr>
        <w:pStyle w:val="ListParagraph"/>
        <w:numPr>
          <w:ilvl w:val="0"/>
          <w:numId w:val="2"/>
        </w:numPr>
        <w:spacing w:after="60"/>
      </w:pPr>
      <w:r>
        <w:rPr>
          <w:rFonts w:ascii="Arial" w:cs="Arial" w:eastAsia="Arial" w:hAnsi="Arial"/>
          <w:color w:val="1A1A1A"/>
          <w:sz w:val="22"/>
          <w:szCs w:val="22"/>
        </w:rPr>
        <w:t xml:space="preserve">Self-service analytics and data democratization strategies for clinical and operational leaders</w:t>
      </w:r>
    </w:p>
    <w:p>
      <w:pPr>
        <w:pStyle w:val="Heading2"/>
        <w:spacing w:after="150" w:before="300"/>
      </w:pPr>
      <w:r>
        <w:rPr>
          <w:rFonts w:ascii="Arial" w:cs="Arial" w:eastAsia="Arial" w:hAnsi="Arial"/>
          <w:b/>
          <w:bCs/>
          <w:color w:val="2A7B88"/>
          <w:sz w:val="28"/>
          <w:szCs w:val="28"/>
        </w:rPr>
        <w:t xml:space="preserve">3.3 Artificial Intelligence &amp; Machine Learning in Healthcare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ML fundamentals for healthcare: Supervised (classification, regression), unsupervised (clustering, anomaly detection), reinforcement learning</w:t>
      </w:r>
    </w:p>
    <w:p>
      <w:pPr>
        <w:pStyle w:val="ListParagraph"/>
        <w:numPr>
          <w:ilvl w:val="0"/>
          <w:numId w:val="2"/>
        </w:numPr>
        <w:spacing w:after="60"/>
      </w:pPr>
      <w:r>
        <w:rPr>
          <w:rFonts w:ascii="Arial" w:cs="Arial" w:eastAsia="Arial" w:hAnsi="Arial"/>
          <w:color w:val="1A1A1A"/>
          <w:sz w:val="22"/>
          <w:szCs w:val="22"/>
        </w:rPr>
        <w:t xml:space="preserve">Clinical NLP: Extracting structured data from unstructured clinical notes, discharge summaries, pathology reports</w:t>
      </w:r>
    </w:p>
    <w:p>
      <w:pPr>
        <w:pStyle w:val="ListParagraph"/>
        <w:numPr>
          <w:ilvl w:val="0"/>
          <w:numId w:val="2"/>
        </w:numPr>
        <w:spacing w:after="60"/>
      </w:pPr>
      <w:r>
        <w:rPr>
          <w:rFonts w:ascii="Arial" w:cs="Arial" w:eastAsia="Arial" w:hAnsi="Arial"/>
          <w:color w:val="1A1A1A"/>
          <w:sz w:val="22"/>
          <w:szCs w:val="22"/>
        </w:rPr>
        <w:t xml:space="preserve">Computer vision in healthcare: Medical image analysis (radiology AI, pathology AI, dermatology), retinal screening</w:t>
      </w:r>
    </w:p>
    <w:p>
      <w:pPr>
        <w:pStyle w:val="ListParagraph"/>
        <w:numPr>
          <w:ilvl w:val="0"/>
          <w:numId w:val="2"/>
        </w:numPr>
        <w:spacing w:after="60"/>
      </w:pPr>
      <w:r>
        <w:rPr>
          <w:rFonts w:ascii="Arial" w:cs="Arial" w:eastAsia="Arial" w:hAnsi="Arial"/>
          <w:color w:val="1A1A1A"/>
          <w:sz w:val="22"/>
          <w:szCs w:val="22"/>
        </w:rPr>
        <w:t xml:space="preserve">Predictive models: Sepsis prediction, deterioration scores (NEWS, MEWS), readmission risk, no-show prediction</w:t>
      </w:r>
    </w:p>
    <w:p>
      <w:pPr>
        <w:pStyle w:val="ListParagraph"/>
        <w:numPr>
          <w:ilvl w:val="0"/>
          <w:numId w:val="2"/>
        </w:numPr>
        <w:spacing w:after="60"/>
      </w:pPr>
      <w:r>
        <w:rPr>
          <w:rFonts w:ascii="Arial" w:cs="Arial" w:eastAsia="Arial" w:hAnsi="Arial"/>
          <w:color w:val="1A1A1A"/>
          <w:sz w:val="22"/>
          <w:szCs w:val="22"/>
        </w:rPr>
        <w:t xml:space="preserve">Large Language Models (LLMs) in healthcare: Ambient clinical documentation (DAX Copilot, Abridge, Nuance), clinical summarization, patient communication</w:t>
      </w:r>
    </w:p>
    <w:p>
      <w:pPr>
        <w:pStyle w:val="ListParagraph"/>
        <w:numPr>
          <w:ilvl w:val="0"/>
          <w:numId w:val="2"/>
        </w:numPr>
        <w:spacing w:after="60"/>
      </w:pPr>
      <w:r>
        <w:rPr>
          <w:rFonts w:ascii="Arial" w:cs="Arial" w:eastAsia="Arial" w:hAnsi="Arial"/>
          <w:color w:val="1A1A1A"/>
          <w:sz w:val="22"/>
          <w:szCs w:val="22"/>
        </w:rPr>
        <w:t xml:space="preserve">Generative AI applications: Prior authorization automation, clinical trial matching, patient education content</w:t>
      </w:r>
    </w:p>
    <w:p>
      <w:pPr>
        <w:pStyle w:val="ListParagraph"/>
        <w:numPr>
          <w:ilvl w:val="0"/>
          <w:numId w:val="2"/>
        </w:numPr>
        <w:spacing w:after="60"/>
      </w:pPr>
      <w:r>
        <w:rPr>
          <w:rFonts w:ascii="Arial" w:cs="Arial" w:eastAsia="Arial" w:hAnsi="Arial"/>
          <w:color w:val="1A1A1A"/>
          <w:sz w:val="22"/>
          <w:szCs w:val="22"/>
        </w:rPr>
        <w:t xml:space="preserve">Drug discovery and genomics: AI for molecular modeling, precision medicine, pharmacogenomics</w:t>
      </w:r>
    </w:p>
    <w:p>
      <w:pPr>
        <w:pStyle w:val="ListParagraph"/>
        <w:numPr>
          <w:ilvl w:val="0"/>
          <w:numId w:val="2"/>
        </w:numPr>
        <w:spacing w:after="60"/>
      </w:pPr>
      <w:r>
        <w:rPr>
          <w:rFonts w:ascii="Arial" w:cs="Arial" w:eastAsia="Arial" w:hAnsi="Arial"/>
          <w:color w:val="1A1A1A"/>
          <w:sz w:val="22"/>
          <w:szCs w:val="22"/>
        </w:rPr>
        <w:t xml:space="preserve">AI/ML model validation: Clinical validation studies, bias detection, fairness metrics, model monitoring/drift</w:t>
      </w:r>
    </w:p>
    <w:p>
      <w:pPr>
        <w:pStyle w:val="ListParagraph"/>
        <w:numPr>
          <w:ilvl w:val="0"/>
          <w:numId w:val="2"/>
        </w:numPr>
        <w:spacing w:after="60"/>
      </w:pPr>
      <w:r>
        <w:rPr>
          <w:rFonts w:ascii="Arial" w:cs="Arial" w:eastAsia="Arial" w:hAnsi="Arial"/>
          <w:color w:val="1A1A1A"/>
          <w:sz w:val="22"/>
          <w:szCs w:val="22"/>
        </w:rPr>
        <w:t xml:space="preserve">FDA regulation of AI/ML: Predetermined Change Control Plans, SaMD framework, total product lifecycle approach</w:t>
      </w:r>
    </w:p>
    <w:p>
      <w:pPr>
        <w:pStyle w:val="ListParagraph"/>
        <w:numPr>
          <w:ilvl w:val="0"/>
          <w:numId w:val="2"/>
        </w:numPr>
        <w:spacing w:after="60"/>
      </w:pPr>
      <w:r>
        <w:rPr>
          <w:rFonts w:ascii="Arial" w:cs="Arial" w:eastAsia="Arial" w:hAnsi="Arial"/>
          <w:color w:val="1A1A1A"/>
          <w:sz w:val="22"/>
          <w:szCs w:val="22"/>
        </w:rPr>
        <w:t xml:space="preserve">Responsible AI in healthcare: Explainability (XAI), bias mitigation, clinical workflow integration, clinician trust</w:t>
      </w:r>
    </w:p>
    <w:p>
      <w:pPr>
        <w:pStyle w:val="ListParagraph"/>
        <w:numPr>
          <w:ilvl w:val="0"/>
          <w:numId w:val="2"/>
        </w:numPr>
        <w:spacing w:after="60"/>
      </w:pPr>
      <w:r>
        <w:rPr>
          <w:rFonts w:ascii="Arial" w:cs="Arial" w:eastAsia="Arial" w:hAnsi="Arial"/>
          <w:color w:val="1A1A1A"/>
          <w:sz w:val="22"/>
          <w:szCs w:val="22"/>
        </w:rPr>
        <w:t xml:space="preserve">MLOps for healthcare: Model deployment, monitoring, retraining pipelines, A/B testing in clinical settings</w:t>
      </w:r>
    </w:p>
    <w:p>
      <w:pPr>
        <w:pStyle w:val="Heading2"/>
        <w:spacing w:after="150" w:before="300"/>
      </w:pPr>
      <w:r>
        <w:rPr>
          <w:rFonts w:ascii="Arial" w:cs="Arial" w:eastAsia="Arial" w:hAnsi="Arial"/>
          <w:b/>
          <w:bCs/>
          <w:color w:val="2A7B88"/>
          <w:sz w:val="28"/>
          <w:szCs w:val="28"/>
        </w:rPr>
        <w:t xml:space="preserve">3.4 Healthcare Data Governance &amp; Quality</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Data governance frameworks for healthcare: Roles (data steward, data owner, data custodian), policies, standards</w:t>
      </w:r>
    </w:p>
    <w:p>
      <w:pPr>
        <w:pStyle w:val="ListParagraph"/>
        <w:numPr>
          <w:ilvl w:val="0"/>
          <w:numId w:val="2"/>
        </w:numPr>
        <w:spacing w:after="60"/>
      </w:pPr>
      <w:r>
        <w:rPr>
          <w:rFonts w:ascii="Arial" w:cs="Arial" w:eastAsia="Arial" w:hAnsi="Arial"/>
          <w:color w:val="1A1A1A"/>
          <w:sz w:val="22"/>
          <w:szCs w:val="22"/>
        </w:rPr>
        <w:t xml:space="preserve">Data quality dimensions: Completeness, accuracy, timeliness, consistency, validity, uniqueness</w:t>
      </w:r>
    </w:p>
    <w:p>
      <w:pPr>
        <w:pStyle w:val="ListParagraph"/>
        <w:numPr>
          <w:ilvl w:val="0"/>
          <w:numId w:val="2"/>
        </w:numPr>
        <w:spacing w:after="60"/>
      </w:pPr>
      <w:r>
        <w:rPr>
          <w:rFonts w:ascii="Arial" w:cs="Arial" w:eastAsia="Arial" w:hAnsi="Arial"/>
          <w:color w:val="1A1A1A"/>
          <w:sz w:val="22"/>
          <w:szCs w:val="22"/>
        </w:rPr>
        <w:t xml:space="preserve">Data lineage and provenance tracking: Source-to-report traceability</w:t>
      </w:r>
    </w:p>
    <w:p>
      <w:pPr>
        <w:pStyle w:val="ListParagraph"/>
        <w:numPr>
          <w:ilvl w:val="0"/>
          <w:numId w:val="2"/>
        </w:numPr>
        <w:spacing w:after="60"/>
      </w:pPr>
      <w:r>
        <w:rPr>
          <w:rFonts w:ascii="Arial" w:cs="Arial" w:eastAsia="Arial" w:hAnsi="Arial"/>
          <w:color w:val="1A1A1A"/>
          <w:sz w:val="22"/>
          <w:szCs w:val="22"/>
        </w:rPr>
        <w:t xml:space="preserve">De-identification and anonymization: HIPAA Safe Harbor, Expert Determination, k-anonymity, differential privacy</w:t>
      </w:r>
    </w:p>
    <w:p>
      <w:pPr>
        <w:pStyle w:val="ListParagraph"/>
        <w:numPr>
          <w:ilvl w:val="0"/>
          <w:numId w:val="2"/>
        </w:numPr>
        <w:spacing w:after="60"/>
      </w:pPr>
      <w:r>
        <w:rPr>
          <w:rFonts w:ascii="Arial" w:cs="Arial" w:eastAsia="Arial" w:hAnsi="Arial"/>
          <w:color w:val="1A1A1A"/>
          <w:sz w:val="22"/>
          <w:szCs w:val="22"/>
        </w:rPr>
        <w:t xml:space="preserve">Research data governance: IRB requirements, Common Rule, data use agreements (DUAs)</w:t>
      </w:r>
    </w:p>
    <w:p>
      <w:pPr>
        <w:pStyle w:val="ListParagraph"/>
        <w:numPr>
          <w:ilvl w:val="0"/>
          <w:numId w:val="2"/>
        </w:numPr>
        <w:spacing w:after="60"/>
      </w:pPr>
      <w:r>
        <w:rPr>
          <w:rFonts w:ascii="Arial" w:cs="Arial" w:eastAsia="Arial" w:hAnsi="Arial"/>
          <w:color w:val="1A1A1A"/>
          <w:sz w:val="22"/>
          <w:szCs w:val="22"/>
        </w:rPr>
        <w:t xml:space="preserve">Consent management: Granular consent, dynamic consent, consent across HIE networks</w:t>
      </w:r>
    </w:p>
    <w:p>
      <w:pPr>
        <w:pStyle w:val="ListParagraph"/>
        <w:numPr>
          <w:ilvl w:val="0"/>
          <w:numId w:val="2"/>
        </w:numPr>
        <w:spacing w:after="60"/>
      </w:pPr>
      <w:r>
        <w:rPr>
          <w:rFonts w:ascii="Arial" w:cs="Arial" w:eastAsia="Arial" w:hAnsi="Arial"/>
          <w:color w:val="1A1A1A"/>
          <w:sz w:val="22"/>
          <w:szCs w:val="22"/>
        </w:rPr>
        <w:t xml:space="preserve">Clinical data registries: Submitting to and extracting from clinical quality registries</w:t>
      </w:r>
    </w:p>
    <w:p>
      <w:pPr>
        <w:pStyle w:val="ListParagraph"/>
        <w:numPr>
          <w:ilvl w:val="0"/>
          <w:numId w:val="2"/>
        </w:numPr>
        <w:spacing w:after="60"/>
      </w:pPr>
      <w:r>
        <w:rPr>
          <w:rFonts w:ascii="Arial" w:cs="Arial" w:eastAsia="Arial" w:hAnsi="Arial"/>
          <w:color w:val="1A1A1A"/>
          <w:sz w:val="22"/>
          <w:szCs w:val="22"/>
        </w:rPr>
        <w:t xml:space="preserve">Data retention and archival policies: State and federal requirements, legal hold</w:t>
      </w:r>
    </w:p>
    <w:p>
      <w:r>
        <w:br w:type="page"/>
      </w:r>
    </w:p>
    <w:p>
      <w:pPr>
        <w:pStyle w:val="Heading1"/>
        <w:spacing w:after="200" w:before="400"/>
      </w:pPr>
      <w:r>
        <w:rPr>
          <w:rFonts w:ascii="Arial" w:cs="Arial" w:eastAsia="Arial" w:hAnsi="Arial"/>
          <w:b/>
          <w:bCs/>
          <w:color w:val="1B3A5C"/>
          <w:sz w:val="36"/>
          <w:szCs w:val="36"/>
        </w:rPr>
        <w:t xml:space="preserve">Phase 4: Cloud, Infrastructure &amp; Cybersecurity (Months 17–22)</w:t>
      </w:r>
    </w:p>
    <w:p>
      <w:pPr>
        <w:spacing w:after="120"/>
      </w:pPr>
      <w:r>
        <w:rPr>
          <w:rFonts w:ascii="Arial" w:cs="Arial" w:eastAsia="Arial" w:hAnsi="Arial"/>
          <w:color w:val="1A1A1A"/>
          <w:sz w:val="22"/>
          <w:szCs w:val="22"/>
        </w:rPr>
        <w:t xml:space="preserve">Healthcare is rapidly migrating to the cloud while facing escalating cyber threats. This phase equips you with the infrastructure, cloud, and security expertise critical for healthcare IT leadership.</w:t>
      </w:r>
    </w:p>
    <w:p>
      <w:pPr>
        <w:pBdr>
          <w:bottom w:val="single" w:color="2A7B88" w:sz="6" w:space="1"/>
        </w:pBdr>
        <w:spacing w:after="200" w:before="200"/>
      </w:pPr>
    </w:p>
    <w:p>
      <w:pPr>
        <w:pStyle w:val="Heading2"/>
        <w:spacing w:after="150" w:before="300"/>
      </w:pPr>
      <w:r>
        <w:rPr>
          <w:rFonts w:ascii="Arial" w:cs="Arial" w:eastAsia="Arial" w:hAnsi="Arial"/>
          <w:b/>
          <w:bCs/>
          <w:color w:val="2A7B88"/>
          <w:sz w:val="28"/>
          <w:szCs w:val="28"/>
        </w:rPr>
        <w:t xml:space="preserve">4.1 Cloud Computing in Healthcare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Cloud adoption strategy for healthcare: Lift-and-shift vs. re-platforming vs. cloud-native</w:t>
      </w:r>
    </w:p>
    <w:p>
      <w:pPr>
        <w:pStyle w:val="ListParagraph"/>
        <w:numPr>
          <w:ilvl w:val="1"/>
          <w:numId w:val="2"/>
        </w:numPr>
        <w:spacing w:after="60"/>
      </w:pPr>
      <w:r>
        <w:rPr>
          <w:rFonts w:ascii="Arial" w:cs="Arial" w:eastAsia="Arial" w:hAnsi="Arial"/>
          <w:b/>
          <w:bCs/>
          <w:color w:val="1A1A1A"/>
          <w:sz w:val="22"/>
          <w:szCs w:val="22"/>
        </w:rPr>
        <w:t xml:space="preserve">AWS for Healthcare: </w:t>
      </w:r>
      <w:r>
        <w:rPr>
          <w:rFonts w:ascii="Arial" w:cs="Arial" w:eastAsia="Arial" w:hAnsi="Arial"/>
          <w:color w:val="1A1A1A"/>
          <w:sz w:val="22"/>
          <w:szCs w:val="22"/>
        </w:rPr>
        <w:t xml:space="preserve">HealthLake (FHIR data store), Comprehend Medical (NLP), SageMaker for clinical ML</w:t>
      </w:r>
    </w:p>
    <w:p>
      <w:pPr>
        <w:pStyle w:val="ListParagraph"/>
        <w:numPr>
          <w:ilvl w:val="1"/>
          <w:numId w:val="2"/>
        </w:numPr>
        <w:spacing w:after="60"/>
      </w:pPr>
      <w:r>
        <w:rPr>
          <w:rFonts w:ascii="Arial" w:cs="Arial" w:eastAsia="Arial" w:hAnsi="Arial"/>
          <w:b/>
          <w:bCs/>
          <w:color w:val="1A1A1A"/>
          <w:sz w:val="22"/>
          <w:szCs w:val="22"/>
        </w:rPr>
        <w:t xml:space="preserve">Microsoft Azure for Healthcare: </w:t>
      </w:r>
      <w:r>
        <w:rPr>
          <w:rFonts w:ascii="Arial" w:cs="Arial" w:eastAsia="Arial" w:hAnsi="Arial"/>
          <w:color w:val="1A1A1A"/>
          <w:sz w:val="22"/>
          <w:szCs w:val="22"/>
        </w:rPr>
        <w:t xml:space="preserve">Azure Health Data Services (FHIR, DICOM, MedTech), Azure AI Health Bot, Fabric</w:t>
      </w:r>
    </w:p>
    <w:p>
      <w:pPr>
        <w:pStyle w:val="ListParagraph"/>
        <w:numPr>
          <w:ilvl w:val="1"/>
          <w:numId w:val="2"/>
        </w:numPr>
        <w:spacing w:after="60"/>
      </w:pPr>
      <w:r>
        <w:rPr>
          <w:rFonts w:ascii="Arial" w:cs="Arial" w:eastAsia="Arial" w:hAnsi="Arial"/>
          <w:b/>
          <w:bCs/>
          <w:color w:val="1A1A1A"/>
          <w:sz w:val="22"/>
          <w:szCs w:val="22"/>
        </w:rPr>
        <w:t xml:space="preserve">Google Cloud for Healthcare: </w:t>
      </w:r>
      <w:r>
        <w:rPr>
          <w:rFonts w:ascii="Arial" w:cs="Arial" w:eastAsia="Arial" w:hAnsi="Arial"/>
          <w:color w:val="1A1A1A"/>
          <w:sz w:val="22"/>
          <w:szCs w:val="22"/>
        </w:rPr>
        <w:t xml:space="preserve">Healthcare API, BigQuery for clinical analytics, Vertex AI, MedLM</w:t>
      </w:r>
    </w:p>
    <w:p>
      <w:pPr>
        <w:pStyle w:val="ListParagraph"/>
        <w:numPr>
          <w:ilvl w:val="0"/>
          <w:numId w:val="2"/>
        </w:numPr>
        <w:spacing w:after="60"/>
      </w:pPr>
      <w:r>
        <w:rPr>
          <w:rFonts w:ascii="Arial" w:cs="Arial" w:eastAsia="Arial" w:hAnsi="Arial"/>
          <w:color w:val="1A1A1A"/>
          <w:sz w:val="22"/>
          <w:szCs w:val="22"/>
        </w:rPr>
        <w:t xml:space="preserve">HIPAA-compliant cloud architecture: BAAs, encryption (at-rest, in-transit), access controls, audit logging</w:t>
      </w:r>
    </w:p>
    <w:p>
      <w:pPr>
        <w:pStyle w:val="ListParagraph"/>
        <w:numPr>
          <w:ilvl w:val="0"/>
          <w:numId w:val="2"/>
        </w:numPr>
        <w:spacing w:after="60"/>
      </w:pPr>
      <w:r>
        <w:rPr>
          <w:rFonts w:ascii="Arial" w:cs="Arial" w:eastAsia="Arial" w:hAnsi="Arial"/>
          <w:color w:val="1A1A1A"/>
          <w:sz w:val="22"/>
          <w:szCs w:val="22"/>
        </w:rPr>
        <w:t xml:space="preserve">Cloud networking for healthcare: VPN, Direct Connect/ExpressRoute, private endpoints, zero-trust networking</w:t>
      </w:r>
    </w:p>
    <w:p>
      <w:pPr>
        <w:pStyle w:val="ListParagraph"/>
        <w:numPr>
          <w:ilvl w:val="0"/>
          <w:numId w:val="2"/>
        </w:numPr>
        <w:spacing w:after="60"/>
      </w:pPr>
      <w:r>
        <w:rPr>
          <w:rFonts w:ascii="Arial" w:cs="Arial" w:eastAsia="Arial" w:hAnsi="Arial"/>
          <w:color w:val="1A1A1A"/>
          <w:sz w:val="22"/>
          <w:szCs w:val="22"/>
        </w:rPr>
        <w:t xml:space="preserve">Containerization and microservices: Docker, Kubernetes in healthcare — deploying FHIR servers, analytics workloads</w:t>
      </w:r>
    </w:p>
    <w:p>
      <w:pPr>
        <w:pStyle w:val="ListParagraph"/>
        <w:numPr>
          <w:ilvl w:val="0"/>
          <w:numId w:val="2"/>
        </w:numPr>
        <w:spacing w:after="60"/>
      </w:pPr>
      <w:r>
        <w:rPr>
          <w:rFonts w:ascii="Arial" w:cs="Arial" w:eastAsia="Arial" w:hAnsi="Arial"/>
          <w:color w:val="1A1A1A"/>
          <w:sz w:val="22"/>
          <w:szCs w:val="22"/>
        </w:rPr>
        <w:t xml:space="preserve">Serverless architecture for healthcare applications</w:t>
      </w:r>
    </w:p>
    <w:p>
      <w:pPr>
        <w:pStyle w:val="ListParagraph"/>
        <w:numPr>
          <w:ilvl w:val="0"/>
          <w:numId w:val="2"/>
        </w:numPr>
        <w:spacing w:after="60"/>
      </w:pPr>
      <w:r>
        <w:rPr>
          <w:rFonts w:ascii="Arial" w:cs="Arial" w:eastAsia="Arial" w:hAnsi="Arial"/>
          <w:color w:val="1A1A1A"/>
          <w:sz w:val="22"/>
          <w:szCs w:val="22"/>
        </w:rPr>
        <w:t xml:space="preserve">Multi-cloud and hybrid strategies: EHR on-premises + analytics in cloud, disaster recovery in cloud</w:t>
      </w:r>
    </w:p>
    <w:p>
      <w:pPr>
        <w:pStyle w:val="ListParagraph"/>
        <w:numPr>
          <w:ilvl w:val="0"/>
          <w:numId w:val="2"/>
        </w:numPr>
        <w:spacing w:after="60"/>
      </w:pPr>
      <w:r>
        <w:rPr>
          <w:rFonts w:ascii="Arial" w:cs="Arial" w:eastAsia="Arial" w:hAnsi="Arial"/>
          <w:color w:val="1A1A1A"/>
          <w:sz w:val="22"/>
          <w:szCs w:val="22"/>
        </w:rPr>
        <w:t xml:space="preserve">Cloud cost optimization: Reserved instances, right-sizing, FinOps for healthcare IT budgets</w:t>
      </w:r>
    </w:p>
    <w:p>
      <w:pPr>
        <w:pStyle w:val="ListParagraph"/>
        <w:numPr>
          <w:ilvl w:val="0"/>
          <w:numId w:val="2"/>
        </w:numPr>
        <w:spacing w:after="60"/>
      </w:pPr>
      <w:r>
        <w:rPr>
          <w:rFonts w:ascii="Arial" w:cs="Arial" w:eastAsia="Arial" w:hAnsi="Arial"/>
          <w:color w:val="1A1A1A"/>
          <w:sz w:val="22"/>
          <w:szCs w:val="22"/>
        </w:rPr>
        <w:t xml:space="preserve">SaaS healthcare applications: Evaluating, procuring, and governing cloud-based clinical and administrative tools</w:t>
      </w:r>
    </w:p>
    <w:p>
      <w:pPr>
        <w:pStyle w:val="Heading2"/>
        <w:spacing w:after="150" w:before="300"/>
      </w:pPr>
      <w:r>
        <w:rPr>
          <w:rFonts w:ascii="Arial" w:cs="Arial" w:eastAsia="Arial" w:hAnsi="Arial"/>
          <w:b/>
          <w:bCs/>
          <w:color w:val="2A7B88"/>
          <w:sz w:val="28"/>
          <w:szCs w:val="28"/>
        </w:rPr>
        <w:t xml:space="preserve">4.2 Healthcare Cybersecurity</w:t>
      </w:r>
    </w:p>
    <w:p>
      <w:pPr>
        <w:spacing w:after="120"/>
      </w:pPr>
      <w:r>
        <w:rPr>
          <w:rFonts w:ascii="Arial" w:cs="Arial" w:eastAsia="Arial" w:hAnsi="Arial"/>
          <w:color w:val="1A1A1A"/>
          <w:sz w:val="22"/>
          <w:szCs w:val="22"/>
        </w:rPr>
        <w:t xml:space="preserve">Healthcare is the #1 target for cyberattacks. Mastering cybersecurity in this context is non-negotiable for any health IT leader.</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Healthcare threat landscape: Ransomware, phishing, insider threats, nation-state actors, supply chain attacks</w:t>
      </w:r>
    </w:p>
    <w:p>
      <w:pPr>
        <w:pStyle w:val="ListParagraph"/>
        <w:numPr>
          <w:ilvl w:val="0"/>
          <w:numId w:val="2"/>
        </w:numPr>
        <w:spacing w:after="60"/>
      </w:pPr>
      <w:r>
        <w:rPr>
          <w:rFonts w:ascii="Arial" w:cs="Arial" w:eastAsia="Arial" w:hAnsi="Arial"/>
          <w:color w:val="1A1A1A"/>
          <w:sz w:val="22"/>
          <w:szCs w:val="22"/>
        </w:rPr>
        <w:t xml:space="preserve">HIPAA Security Rule deep dive: Administrative, Physical, and Technical safeguards, required vs. addressable</w:t>
      </w:r>
    </w:p>
    <w:p>
      <w:pPr>
        <w:pStyle w:val="ListParagraph"/>
        <w:numPr>
          <w:ilvl w:val="0"/>
          <w:numId w:val="2"/>
        </w:numPr>
        <w:spacing w:after="60"/>
      </w:pPr>
      <w:r>
        <w:rPr>
          <w:rFonts w:ascii="Arial" w:cs="Arial" w:eastAsia="Arial" w:hAnsi="Arial"/>
          <w:color w:val="1A1A1A"/>
          <w:sz w:val="22"/>
          <w:szCs w:val="22"/>
        </w:rPr>
        <w:t xml:space="preserve">NIST Cybersecurity Framework applied to healthcare</w:t>
      </w:r>
    </w:p>
    <w:p>
      <w:pPr>
        <w:pStyle w:val="ListParagraph"/>
        <w:numPr>
          <w:ilvl w:val="0"/>
          <w:numId w:val="2"/>
        </w:numPr>
        <w:spacing w:after="60"/>
      </w:pPr>
      <w:r>
        <w:rPr>
          <w:rFonts w:ascii="Arial" w:cs="Arial" w:eastAsia="Arial" w:hAnsi="Arial"/>
          <w:color w:val="1A1A1A"/>
          <w:sz w:val="22"/>
          <w:szCs w:val="22"/>
        </w:rPr>
        <w:t xml:space="preserve">HITRUST CSF: Common Security Framework, certification process, assessment methodology</w:t>
      </w:r>
    </w:p>
    <w:p>
      <w:pPr>
        <w:pStyle w:val="ListParagraph"/>
        <w:numPr>
          <w:ilvl w:val="0"/>
          <w:numId w:val="2"/>
        </w:numPr>
        <w:spacing w:after="60"/>
      </w:pPr>
      <w:r>
        <w:rPr>
          <w:rFonts w:ascii="Arial" w:cs="Arial" w:eastAsia="Arial" w:hAnsi="Arial"/>
          <w:color w:val="1A1A1A"/>
          <w:sz w:val="22"/>
          <w:szCs w:val="22"/>
        </w:rPr>
        <w:t xml:space="preserve">Zero Trust Architecture for healthcare networks</w:t>
      </w:r>
    </w:p>
    <w:p>
      <w:pPr>
        <w:pStyle w:val="ListParagraph"/>
        <w:numPr>
          <w:ilvl w:val="0"/>
          <w:numId w:val="2"/>
        </w:numPr>
        <w:spacing w:after="60"/>
      </w:pPr>
      <w:r>
        <w:rPr>
          <w:rFonts w:ascii="Arial" w:cs="Arial" w:eastAsia="Arial" w:hAnsi="Arial"/>
          <w:color w:val="1A1A1A"/>
          <w:sz w:val="22"/>
          <w:szCs w:val="22"/>
        </w:rPr>
        <w:t xml:space="preserve">Medical device cybersecurity: FDA pre-market and post-market guidance, SBOM (Software Bill of Materials)</w:t>
      </w:r>
    </w:p>
    <w:p>
      <w:pPr>
        <w:pStyle w:val="ListParagraph"/>
        <w:numPr>
          <w:ilvl w:val="0"/>
          <w:numId w:val="2"/>
        </w:numPr>
        <w:spacing w:after="60"/>
      </w:pPr>
      <w:r>
        <w:rPr>
          <w:rFonts w:ascii="Arial" w:cs="Arial" w:eastAsia="Arial" w:hAnsi="Arial"/>
          <w:color w:val="1A1A1A"/>
          <w:sz w:val="22"/>
          <w:szCs w:val="22"/>
        </w:rPr>
        <w:t xml:space="preserve">Network segmentation for clinical environments: Biomedical device isolation, microsegmentation</w:t>
      </w:r>
    </w:p>
    <w:p>
      <w:pPr>
        <w:pStyle w:val="ListParagraph"/>
        <w:numPr>
          <w:ilvl w:val="0"/>
          <w:numId w:val="2"/>
        </w:numPr>
        <w:spacing w:after="60"/>
      </w:pPr>
      <w:r>
        <w:rPr>
          <w:rFonts w:ascii="Arial" w:cs="Arial" w:eastAsia="Arial" w:hAnsi="Arial"/>
          <w:color w:val="1A1A1A"/>
          <w:sz w:val="22"/>
          <w:szCs w:val="22"/>
        </w:rPr>
        <w:t xml:space="preserve">Identity security: Privileged access management, service account governance, EPCS (Electronic Prescribing for Controlled Substances)</w:t>
      </w:r>
    </w:p>
    <w:p>
      <w:pPr>
        <w:pStyle w:val="ListParagraph"/>
        <w:numPr>
          <w:ilvl w:val="0"/>
          <w:numId w:val="2"/>
        </w:numPr>
        <w:spacing w:after="60"/>
      </w:pPr>
      <w:r>
        <w:rPr>
          <w:rFonts w:ascii="Arial" w:cs="Arial" w:eastAsia="Arial" w:hAnsi="Arial"/>
          <w:color w:val="1A1A1A"/>
          <w:sz w:val="22"/>
          <w:szCs w:val="22"/>
        </w:rPr>
        <w:t xml:space="preserve">Security Operations Center (SOC) for healthcare: SIEM, SOAR, threat hunting, incident response</w:t>
      </w:r>
    </w:p>
    <w:p>
      <w:pPr>
        <w:pStyle w:val="ListParagraph"/>
        <w:numPr>
          <w:ilvl w:val="0"/>
          <w:numId w:val="2"/>
        </w:numPr>
        <w:spacing w:after="60"/>
      </w:pPr>
      <w:r>
        <w:rPr>
          <w:rFonts w:ascii="Arial" w:cs="Arial" w:eastAsia="Arial" w:hAnsi="Arial"/>
          <w:color w:val="1A1A1A"/>
          <w:sz w:val="22"/>
          <w:szCs w:val="22"/>
        </w:rPr>
        <w:t xml:space="preserve">Vulnerability management: Patching clinical systems, legacy system risk, compensating controls</w:t>
      </w:r>
    </w:p>
    <w:p>
      <w:pPr>
        <w:pStyle w:val="ListParagraph"/>
        <w:numPr>
          <w:ilvl w:val="0"/>
          <w:numId w:val="2"/>
        </w:numPr>
        <w:spacing w:after="60"/>
      </w:pPr>
      <w:r>
        <w:rPr>
          <w:rFonts w:ascii="Arial" w:cs="Arial" w:eastAsia="Arial" w:hAnsi="Arial"/>
          <w:color w:val="1A1A1A"/>
          <w:sz w:val="22"/>
          <w:szCs w:val="22"/>
        </w:rPr>
        <w:t xml:space="preserve">Third-party risk management: Vendor security assessments, BAA compliance, cloud security posture management</w:t>
      </w:r>
    </w:p>
    <w:p>
      <w:pPr>
        <w:pStyle w:val="ListParagraph"/>
        <w:numPr>
          <w:ilvl w:val="0"/>
          <w:numId w:val="2"/>
        </w:numPr>
        <w:spacing w:after="60"/>
      </w:pPr>
      <w:r>
        <w:rPr>
          <w:rFonts w:ascii="Arial" w:cs="Arial" w:eastAsia="Arial" w:hAnsi="Arial"/>
          <w:color w:val="1A1A1A"/>
          <w:sz w:val="22"/>
          <w:szCs w:val="22"/>
        </w:rPr>
        <w:t xml:space="preserve">Incident response and breach management: Tabletop exercises, HIPAA breach notification, OCR investigations</w:t>
      </w:r>
    </w:p>
    <w:p>
      <w:pPr>
        <w:pStyle w:val="ListParagraph"/>
        <w:numPr>
          <w:ilvl w:val="0"/>
          <w:numId w:val="2"/>
        </w:numPr>
        <w:spacing w:after="60"/>
      </w:pPr>
      <w:r>
        <w:rPr>
          <w:rFonts w:ascii="Arial" w:cs="Arial" w:eastAsia="Arial" w:hAnsi="Arial"/>
          <w:color w:val="1A1A1A"/>
          <w:sz w:val="22"/>
          <w:szCs w:val="22"/>
        </w:rPr>
        <w:t xml:space="preserve">Cyber insurance and risk quantification for healthcare organizations</w:t>
      </w:r>
    </w:p>
    <w:p>
      <w:pPr>
        <w:pStyle w:val="Heading2"/>
        <w:spacing w:after="150" w:before="300"/>
      </w:pPr>
      <w:r>
        <w:rPr>
          <w:rFonts w:ascii="Arial" w:cs="Arial" w:eastAsia="Arial" w:hAnsi="Arial"/>
          <w:b/>
          <w:bCs/>
          <w:color w:val="2A7B88"/>
          <w:sz w:val="28"/>
          <w:szCs w:val="28"/>
        </w:rPr>
        <w:t xml:space="preserve">4.3 Healthcare IT Operations &amp; Service Management</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ITIL framework adapted for healthcare: Incident, Problem, Change, Configuration management</w:t>
      </w:r>
    </w:p>
    <w:p>
      <w:pPr>
        <w:pStyle w:val="ListParagraph"/>
        <w:numPr>
          <w:ilvl w:val="0"/>
          <w:numId w:val="2"/>
        </w:numPr>
        <w:spacing w:after="60"/>
      </w:pPr>
      <w:r>
        <w:rPr>
          <w:rFonts w:ascii="Arial" w:cs="Arial" w:eastAsia="Arial" w:hAnsi="Arial"/>
          <w:color w:val="1A1A1A"/>
          <w:sz w:val="22"/>
          <w:szCs w:val="22"/>
        </w:rPr>
        <w:t xml:space="preserve">Clinical system uptime requirements: 99.99% availability, planned downtime procedures, downtime documentation</w:t>
      </w:r>
    </w:p>
    <w:p>
      <w:pPr>
        <w:pStyle w:val="ListParagraph"/>
        <w:numPr>
          <w:ilvl w:val="0"/>
          <w:numId w:val="2"/>
        </w:numPr>
        <w:spacing w:after="60"/>
      </w:pPr>
      <w:r>
        <w:rPr>
          <w:rFonts w:ascii="Arial" w:cs="Arial" w:eastAsia="Arial" w:hAnsi="Arial"/>
          <w:color w:val="1A1A1A"/>
          <w:sz w:val="22"/>
          <w:szCs w:val="22"/>
        </w:rPr>
        <w:t xml:space="preserve">Help desk and clinical support models: 24/7 command center, at-the-elbow support, tiered escalation</w:t>
      </w:r>
    </w:p>
    <w:p>
      <w:pPr>
        <w:pStyle w:val="ListParagraph"/>
        <w:numPr>
          <w:ilvl w:val="0"/>
          <w:numId w:val="2"/>
        </w:numPr>
        <w:spacing w:after="60"/>
      </w:pPr>
      <w:r>
        <w:rPr>
          <w:rFonts w:ascii="Arial" w:cs="Arial" w:eastAsia="Arial" w:hAnsi="Arial"/>
          <w:color w:val="1A1A1A"/>
          <w:sz w:val="22"/>
          <w:szCs w:val="22"/>
        </w:rPr>
        <w:t xml:space="preserve">Change management in clinical environments: Clinical validation, regression testing, go-live support</w:t>
      </w:r>
    </w:p>
    <w:p>
      <w:pPr>
        <w:pStyle w:val="ListParagraph"/>
        <w:numPr>
          <w:ilvl w:val="0"/>
          <w:numId w:val="2"/>
        </w:numPr>
        <w:spacing w:after="60"/>
      </w:pPr>
      <w:r>
        <w:rPr>
          <w:rFonts w:ascii="Arial" w:cs="Arial" w:eastAsia="Arial" w:hAnsi="Arial"/>
          <w:color w:val="1A1A1A"/>
          <w:sz w:val="22"/>
          <w:szCs w:val="22"/>
        </w:rPr>
        <w:t xml:space="preserve">IT Asset Management (ITAM): Hardware lifecycle, software licensing, biomedical equipment inventory</w:t>
      </w:r>
    </w:p>
    <w:p>
      <w:pPr>
        <w:pStyle w:val="ListParagraph"/>
        <w:numPr>
          <w:ilvl w:val="0"/>
          <w:numId w:val="2"/>
        </w:numPr>
        <w:spacing w:after="60"/>
      </w:pPr>
      <w:r>
        <w:rPr>
          <w:rFonts w:ascii="Arial" w:cs="Arial" w:eastAsia="Arial" w:hAnsi="Arial"/>
          <w:color w:val="1A1A1A"/>
          <w:sz w:val="22"/>
          <w:szCs w:val="22"/>
        </w:rPr>
        <w:t xml:space="preserve">Disaster Recovery and Business Continuity: RPO/RTO for clinical systems, failover testing, pandemic preparedness</w:t>
      </w:r>
    </w:p>
    <w:p>
      <w:pPr>
        <w:pStyle w:val="ListParagraph"/>
        <w:numPr>
          <w:ilvl w:val="0"/>
          <w:numId w:val="2"/>
        </w:numPr>
        <w:spacing w:after="60"/>
      </w:pPr>
      <w:r>
        <w:rPr>
          <w:rFonts w:ascii="Arial" w:cs="Arial" w:eastAsia="Arial" w:hAnsi="Arial"/>
          <w:color w:val="1A1A1A"/>
          <w:sz w:val="22"/>
          <w:szCs w:val="22"/>
        </w:rPr>
        <w:t xml:space="preserve">Performance monitoring: Application performance (APM), database tuning, network monitoring for clinical systems</w:t>
      </w:r>
    </w:p>
    <w:p>
      <w:pPr>
        <w:pStyle w:val="ListParagraph"/>
        <w:numPr>
          <w:ilvl w:val="0"/>
          <w:numId w:val="2"/>
        </w:numPr>
        <w:spacing w:after="60"/>
      </w:pPr>
      <w:r>
        <w:rPr>
          <w:rFonts w:ascii="Arial" w:cs="Arial" w:eastAsia="Arial" w:hAnsi="Arial"/>
          <w:color w:val="1A1A1A"/>
          <w:sz w:val="22"/>
          <w:szCs w:val="22"/>
        </w:rPr>
        <w:t xml:space="preserve">Print management and label printing in clinical settings (pharmacy, lab, wristbands)</w:t>
      </w:r>
    </w:p>
    <w:p>
      <w:pPr>
        <w:pStyle w:val="Heading2"/>
        <w:spacing w:after="150" w:before="300"/>
      </w:pPr>
      <w:r>
        <w:rPr>
          <w:rFonts w:ascii="Arial" w:cs="Arial" w:eastAsia="Arial" w:hAnsi="Arial"/>
          <w:b/>
          <w:bCs/>
          <w:color w:val="2A7B88"/>
          <w:sz w:val="28"/>
          <w:szCs w:val="28"/>
        </w:rPr>
        <w:t xml:space="preserve">4.4 DevOps &amp; Software Engineering in Healthcare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Healthcare software development lifecycle (SDLC): Waterfall vs. Agile vs. SAFe in clinical contexts</w:t>
      </w:r>
    </w:p>
    <w:p>
      <w:pPr>
        <w:pStyle w:val="ListParagraph"/>
        <w:numPr>
          <w:ilvl w:val="0"/>
          <w:numId w:val="2"/>
        </w:numPr>
        <w:spacing w:after="60"/>
      </w:pPr>
      <w:r>
        <w:rPr>
          <w:rFonts w:ascii="Arial" w:cs="Arial" w:eastAsia="Arial" w:hAnsi="Arial"/>
          <w:color w:val="1A1A1A"/>
          <w:sz w:val="22"/>
          <w:szCs w:val="22"/>
        </w:rPr>
        <w:t xml:space="preserve">CI/CD pipelines for healthcare applications: Automated testing, security scanning, compliance gates</w:t>
      </w:r>
    </w:p>
    <w:p>
      <w:pPr>
        <w:pStyle w:val="ListParagraph"/>
        <w:numPr>
          <w:ilvl w:val="0"/>
          <w:numId w:val="2"/>
        </w:numPr>
        <w:spacing w:after="60"/>
      </w:pPr>
      <w:r>
        <w:rPr>
          <w:rFonts w:ascii="Arial" w:cs="Arial" w:eastAsia="Arial" w:hAnsi="Arial"/>
          <w:color w:val="1A1A1A"/>
          <w:sz w:val="22"/>
          <w:szCs w:val="22"/>
        </w:rPr>
        <w:t xml:space="preserve">API development and management: FHIR API design, API gateways, rate limiting, developer portals</w:t>
      </w:r>
    </w:p>
    <w:p>
      <w:pPr>
        <w:pStyle w:val="ListParagraph"/>
        <w:numPr>
          <w:ilvl w:val="0"/>
          <w:numId w:val="2"/>
        </w:numPr>
        <w:spacing w:after="60"/>
      </w:pPr>
      <w:r>
        <w:rPr>
          <w:rFonts w:ascii="Arial" w:cs="Arial" w:eastAsia="Arial" w:hAnsi="Arial"/>
          <w:color w:val="1A1A1A"/>
          <w:sz w:val="22"/>
          <w:szCs w:val="22"/>
        </w:rPr>
        <w:t xml:space="preserve">SMART on FHIR application development: OAuth 2.0, app launch framework, EHR integration</w:t>
      </w:r>
    </w:p>
    <w:p>
      <w:pPr>
        <w:pStyle w:val="ListParagraph"/>
        <w:numPr>
          <w:ilvl w:val="0"/>
          <w:numId w:val="2"/>
        </w:numPr>
        <w:spacing w:after="60"/>
      </w:pPr>
      <w:r>
        <w:rPr>
          <w:rFonts w:ascii="Arial" w:cs="Arial" w:eastAsia="Arial" w:hAnsi="Arial"/>
          <w:color w:val="1A1A1A"/>
          <w:sz w:val="22"/>
          <w:szCs w:val="22"/>
        </w:rPr>
        <w:t xml:space="preserve">Test automation for clinical systems: Unit testing, integration testing, clinical scenario testing</w:t>
      </w:r>
    </w:p>
    <w:p>
      <w:pPr>
        <w:pStyle w:val="ListParagraph"/>
        <w:numPr>
          <w:ilvl w:val="0"/>
          <w:numId w:val="2"/>
        </w:numPr>
        <w:spacing w:after="60"/>
      </w:pPr>
      <w:r>
        <w:rPr>
          <w:rFonts w:ascii="Arial" w:cs="Arial" w:eastAsia="Arial" w:hAnsi="Arial"/>
          <w:color w:val="1A1A1A"/>
          <w:sz w:val="22"/>
          <w:szCs w:val="22"/>
        </w:rPr>
        <w:t xml:space="preserve">Infrastructure as Code (IaC): Terraform, CloudFormation for healthcare infrastructure</w:t>
      </w:r>
    </w:p>
    <w:p>
      <w:pPr>
        <w:pStyle w:val="ListParagraph"/>
        <w:numPr>
          <w:ilvl w:val="0"/>
          <w:numId w:val="2"/>
        </w:numPr>
        <w:spacing w:after="60"/>
      </w:pPr>
      <w:r>
        <w:rPr>
          <w:rFonts w:ascii="Arial" w:cs="Arial" w:eastAsia="Arial" w:hAnsi="Arial"/>
          <w:color w:val="1A1A1A"/>
          <w:sz w:val="22"/>
          <w:szCs w:val="22"/>
        </w:rPr>
        <w:t xml:space="preserve">Monitoring and observability: Logging, tracing, alerting for healthcare microservices</w:t>
      </w:r>
    </w:p>
    <w:p>
      <w:pPr>
        <w:pStyle w:val="ListParagraph"/>
        <w:numPr>
          <w:ilvl w:val="0"/>
          <w:numId w:val="2"/>
        </w:numPr>
        <w:spacing w:after="60"/>
      </w:pPr>
      <w:r>
        <w:rPr>
          <w:rFonts w:ascii="Arial" w:cs="Arial" w:eastAsia="Arial" w:hAnsi="Arial"/>
          <w:color w:val="1A1A1A"/>
          <w:sz w:val="22"/>
          <w:szCs w:val="22"/>
        </w:rPr>
        <w:t xml:space="preserve">Technical debt management in healthcare legacy systems</w:t>
      </w:r>
    </w:p>
    <w:p>
      <w:r>
        <w:br w:type="page"/>
      </w:r>
    </w:p>
    <w:p>
      <w:pPr>
        <w:pStyle w:val="Heading1"/>
        <w:spacing w:after="200" w:before="400"/>
      </w:pPr>
      <w:r>
        <w:rPr>
          <w:rFonts w:ascii="Arial" w:cs="Arial" w:eastAsia="Arial" w:hAnsi="Arial"/>
          <w:b/>
          <w:bCs/>
          <w:color w:val="1B3A5C"/>
          <w:sz w:val="36"/>
          <w:szCs w:val="36"/>
        </w:rPr>
        <w:t xml:space="preserve">Phase 5: Specialized Health IT Domains (Months 23–28)</w:t>
      </w:r>
    </w:p>
    <w:p>
      <w:pPr>
        <w:spacing w:after="120"/>
      </w:pPr>
      <w:r>
        <w:rPr>
          <w:rFonts w:ascii="Arial" w:cs="Arial" w:eastAsia="Arial" w:hAnsi="Arial"/>
          <w:color w:val="1A1A1A"/>
          <w:sz w:val="22"/>
          <w:szCs w:val="22"/>
        </w:rPr>
        <w:t xml:space="preserve">Deepen your expertise in the specialized sub-domains that define healthcare IT leadership. These areas represent the frontier of innovation and highest-impact opportunities.</w:t>
      </w:r>
    </w:p>
    <w:p>
      <w:pPr>
        <w:pBdr>
          <w:bottom w:val="single" w:color="2A7B88" w:sz="6" w:space="1"/>
        </w:pBdr>
        <w:spacing w:after="200" w:before="200"/>
      </w:pPr>
    </w:p>
    <w:p>
      <w:pPr>
        <w:pStyle w:val="Heading2"/>
        <w:spacing w:after="150" w:before="300"/>
      </w:pPr>
      <w:r>
        <w:rPr>
          <w:rFonts w:ascii="Arial" w:cs="Arial" w:eastAsia="Arial" w:hAnsi="Arial"/>
          <w:b/>
          <w:bCs/>
          <w:color w:val="2A7B88"/>
          <w:sz w:val="28"/>
          <w:szCs w:val="28"/>
        </w:rPr>
        <w:t xml:space="preserve">5.1 Digital Health &amp; Patient Engagement</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Patient portals and consumer health platforms: MyChart, patient-generated health data (PGHD), health records on iPhone/Android</w:t>
      </w:r>
    </w:p>
    <w:p>
      <w:pPr>
        <w:pStyle w:val="ListParagraph"/>
        <w:numPr>
          <w:ilvl w:val="0"/>
          <w:numId w:val="2"/>
        </w:numPr>
        <w:spacing w:after="60"/>
      </w:pPr>
      <w:r>
        <w:rPr>
          <w:rFonts w:ascii="Arial" w:cs="Arial" w:eastAsia="Arial" w:hAnsi="Arial"/>
          <w:color w:val="1A1A1A"/>
          <w:sz w:val="22"/>
          <w:szCs w:val="22"/>
        </w:rPr>
        <w:t xml:space="preserve">Telehealth and virtual care platforms: Synchronous (video visits), asynchronous (eVisits, store-and-forward), hybrid models</w:t>
      </w:r>
    </w:p>
    <w:p>
      <w:pPr>
        <w:pStyle w:val="ListParagraph"/>
        <w:numPr>
          <w:ilvl w:val="0"/>
          <w:numId w:val="2"/>
        </w:numPr>
        <w:spacing w:after="60"/>
      </w:pPr>
      <w:r>
        <w:rPr>
          <w:rFonts w:ascii="Arial" w:cs="Arial" w:eastAsia="Arial" w:hAnsi="Arial"/>
          <w:color w:val="1A1A1A"/>
          <w:sz w:val="22"/>
          <w:szCs w:val="22"/>
        </w:rPr>
        <w:t xml:space="preserve">Remote Patient Monitoring (RPM): Connected devices, data integration, chronic disease management, CMS reimbursement</w:t>
      </w:r>
    </w:p>
    <w:p>
      <w:pPr>
        <w:pStyle w:val="ListParagraph"/>
        <w:numPr>
          <w:ilvl w:val="0"/>
          <w:numId w:val="2"/>
        </w:numPr>
        <w:spacing w:after="60"/>
      </w:pPr>
      <w:r>
        <w:rPr>
          <w:rFonts w:ascii="Arial" w:cs="Arial" w:eastAsia="Arial" w:hAnsi="Arial"/>
          <w:color w:val="1A1A1A"/>
          <w:sz w:val="22"/>
          <w:szCs w:val="22"/>
        </w:rPr>
        <w:t xml:space="preserve">Digital therapeutics (DTx): FDA-cleared digital treatments, prescription digital therapeutics</w:t>
      </w:r>
    </w:p>
    <w:p>
      <w:pPr>
        <w:pStyle w:val="ListParagraph"/>
        <w:numPr>
          <w:ilvl w:val="0"/>
          <w:numId w:val="2"/>
        </w:numPr>
        <w:spacing w:after="60"/>
      </w:pPr>
      <w:r>
        <w:rPr>
          <w:rFonts w:ascii="Arial" w:cs="Arial" w:eastAsia="Arial" w:hAnsi="Arial"/>
          <w:color w:val="1A1A1A"/>
          <w:sz w:val="22"/>
          <w:szCs w:val="22"/>
        </w:rPr>
        <w:t xml:space="preserve">Wearables and IoT in healthcare: Continuous glucose monitors, smartwatches, fall detection, environmental sensors</w:t>
      </w:r>
    </w:p>
    <w:p>
      <w:pPr>
        <w:pStyle w:val="ListParagraph"/>
        <w:numPr>
          <w:ilvl w:val="0"/>
          <w:numId w:val="2"/>
        </w:numPr>
        <w:spacing w:after="60"/>
      </w:pPr>
      <w:r>
        <w:rPr>
          <w:rFonts w:ascii="Arial" w:cs="Arial" w:eastAsia="Arial" w:hAnsi="Arial"/>
          <w:color w:val="1A1A1A"/>
          <w:sz w:val="22"/>
          <w:szCs w:val="22"/>
        </w:rPr>
        <w:t xml:space="preserve">Patient communication: Automated appointment reminders, care gap outreach, health literacy, multilingual support</w:t>
      </w:r>
    </w:p>
    <w:p>
      <w:pPr>
        <w:pStyle w:val="ListParagraph"/>
        <w:numPr>
          <w:ilvl w:val="0"/>
          <w:numId w:val="2"/>
        </w:numPr>
        <w:spacing w:after="60"/>
      </w:pPr>
      <w:r>
        <w:rPr>
          <w:rFonts w:ascii="Arial" w:cs="Arial" w:eastAsia="Arial" w:hAnsi="Arial"/>
          <w:color w:val="1A1A1A"/>
          <w:sz w:val="22"/>
          <w:szCs w:val="22"/>
        </w:rPr>
        <w:t xml:space="preserve">Digital front door strategy: Online scheduling, virtual triage, symptom checkers, chatbots</w:t>
      </w:r>
    </w:p>
    <w:p>
      <w:pPr>
        <w:pStyle w:val="ListParagraph"/>
        <w:numPr>
          <w:ilvl w:val="0"/>
          <w:numId w:val="2"/>
        </w:numPr>
        <w:spacing w:after="60"/>
      </w:pPr>
      <w:r>
        <w:rPr>
          <w:rFonts w:ascii="Arial" w:cs="Arial" w:eastAsia="Arial" w:hAnsi="Arial"/>
          <w:color w:val="1A1A1A"/>
          <w:sz w:val="22"/>
          <w:szCs w:val="22"/>
        </w:rPr>
        <w:t xml:space="preserve">Patient identity and authentication: Digital identity verification, biometrics, proxy access</w:t>
      </w:r>
    </w:p>
    <w:p>
      <w:pPr>
        <w:pStyle w:val="ListParagraph"/>
        <w:numPr>
          <w:ilvl w:val="0"/>
          <w:numId w:val="2"/>
        </w:numPr>
        <w:spacing w:after="60"/>
      </w:pPr>
      <w:r>
        <w:rPr>
          <w:rFonts w:ascii="Arial" w:cs="Arial" w:eastAsia="Arial" w:hAnsi="Arial"/>
          <w:color w:val="1A1A1A"/>
          <w:sz w:val="22"/>
          <w:szCs w:val="22"/>
        </w:rPr>
        <w:t xml:space="preserve">Consumer data platforms and CRM in healthcare: Salesforce Health Cloud, patient acquisition and retention</w:t>
      </w:r>
    </w:p>
    <w:p>
      <w:pPr>
        <w:pStyle w:val="ListParagraph"/>
        <w:numPr>
          <w:ilvl w:val="0"/>
          <w:numId w:val="2"/>
        </w:numPr>
        <w:spacing w:after="60"/>
      </w:pPr>
      <w:r>
        <w:rPr>
          <w:rFonts w:ascii="Arial" w:cs="Arial" w:eastAsia="Arial" w:hAnsi="Arial"/>
          <w:color w:val="1A1A1A"/>
          <w:sz w:val="22"/>
          <w:szCs w:val="22"/>
        </w:rPr>
        <w:t xml:space="preserve">Health equity in digital health: Digital divide, accessibility, broadband access, health literacy</w:t>
      </w:r>
    </w:p>
    <w:p>
      <w:pPr>
        <w:pStyle w:val="Heading2"/>
        <w:spacing w:after="150" w:before="300"/>
      </w:pPr>
      <w:r>
        <w:rPr>
          <w:rFonts w:ascii="Arial" w:cs="Arial" w:eastAsia="Arial" w:hAnsi="Arial"/>
          <w:b/>
          <w:bCs/>
          <w:color w:val="2A7B88"/>
          <w:sz w:val="28"/>
          <w:szCs w:val="28"/>
        </w:rPr>
        <w:t xml:space="preserve">5.2 Clinical Informatics &amp; Decision Support</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Clinical informatics as a discipline: 10x10 program, AMIA, board certification (Clinical Informatics subspecialty)</w:t>
      </w:r>
    </w:p>
    <w:p>
      <w:pPr>
        <w:pStyle w:val="ListParagraph"/>
        <w:numPr>
          <w:ilvl w:val="0"/>
          <w:numId w:val="2"/>
        </w:numPr>
        <w:spacing w:after="60"/>
      </w:pPr>
      <w:r>
        <w:rPr>
          <w:rFonts w:ascii="Arial" w:cs="Arial" w:eastAsia="Arial" w:hAnsi="Arial"/>
          <w:color w:val="1A1A1A"/>
          <w:sz w:val="22"/>
          <w:szCs w:val="22"/>
        </w:rPr>
        <w:t xml:space="preserve">Clinical Decision Support (CDS): Five Rights of CDS, CDS Hooks, alert fatigue management</w:t>
      </w:r>
    </w:p>
    <w:p>
      <w:pPr>
        <w:pStyle w:val="ListParagraph"/>
        <w:numPr>
          <w:ilvl w:val="0"/>
          <w:numId w:val="2"/>
        </w:numPr>
        <w:spacing w:after="60"/>
      </w:pPr>
      <w:r>
        <w:rPr>
          <w:rFonts w:ascii="Arial" w:cs="Arial" w:eastAsia="Arial" w:hAnsi="Arial"/>
          <w:color w:val="1A1A1A"/>
          <w:sz w:val="22"/>
          <w:szCs w:val="22"/>
        </w:rPr>
        <w:t xml:space="preserve">Order sets and clinical protocols: Evidence-based design, maintenance, effectiveness measurement</w:t>
      </w:r>
    </w:p>
    <w:p>
      <w:pPr>
        <w:pStyle w:val="ListParagraph"/>
        <w:numPr>
          <w:ilvl w:val="0"/>
          <w:numId w:val="2"/>
        </w:numPr>
        <w:spacing w:after="60"/>
      </w:pPr>
      <w:r>
        <w:rPr>
          <w:rFonts w:ascii="Arial" w:cs="Arial" w:eastAsia="Arial" w:hAnsi="Arial"/>
          <w:color w:val="1A1A1A"/>
          <w:sz w:val="22"/>
          <w:szCs w:val="22"/>
        </w:rPr>
        <w:t xml:space="preserve">Clinical documentation optimization: Templates, smart phrases/texts, voice recognition, ambient AI</w:t>
      </w:r>
    </w:p>
    <w:p>
      <w:pPr>
        <w:pStyle w:val="ListParagraph"/>
        <w:numPr>
          <w:ilvl w:val="0"/>
          <w:numId w:val="2"/>
        </w:numPr>
        <w:spacing w:after="60"/>
      </w:pPr>
      <w:r>
        <w:rPr>
          <w:rFonts w:ascii="Arial" w:cs="Arial" w:eastAsia="Arial" w:hAnsi="Arial"/>
          <w:color w:val="1A1A1A"/>
          <w:sz w:val="22"/>
          <w:szCs w:val="22"/>
        </w:rPr>
        <w:t xml:space="preserve">Nursing informatics: Standardized nursing terminologies (NANDA, NIC, NOC), nursing workflow optimization</w:t>
      </w:r>
    </w:p>
    <w:p>
      <w:pPr>
        <w:pStyle w:val="ListParagraph"/>
        <w:numPr>
          <w:ilvl w:val="0"/>
          <w:numId w:val="2"/>
        </w:numPr>
        <w:spacing w:after="60"/>
      </w:pPr>
      <w:r>
        <w:rPr>
          <w:rFonts w:ascii="Arial" w:cs="Arial" w:eastAsia="Arial" w:hAnsi="Arial"/>
          <w:color w:val="1A1A1A"/>
          <w:sz w:val="22"/>
          <w:szCs w:val="22"/>
        </w:rPr>
        <w:t xml:space="preserve">Pharmacy informatics: CPOE optimization, drug interaction alerting, antimicrobial stewardship, 340B IT</w:t>
      </w:r>
    </w:p>
    <w:p>
      <w:pPr>
        <w:pStyle w:val="ListParagraph"/>
        <w:numPr>
          <w:ilvl w:val="0"/>
          <w:numId w:val="2"/>
        </w:numPr>
        <w:spacing w:after="60"/>
      </w:pPr>
      <w:r>
        <w:rPr>
          <w:rFonts w:ascii="Arial" w:cs="Arial" w:eastAsia="Arial" w:hAnsi="Arial"/>
          <w:color w:val="1A1A1A"/>
          <w:sz w:val="22"/>
          <w:szCs w:val="22"/>
        </w:rPr>
        <w:t xml:space="preserve">Imaging informatics: PACS administration, AI-assisted radiology, radiology workflow optimization</w:t>
      </w:r>
    </w:p>
    <w:p>
      <w:pPr>
        <w:pStyle w:val="ListParagraph"/>
        <w:numPr>
          <w:ilvl w:val="0"/>
          <w:numId w:val="2"/>
        </w:numPr>
        <w:spacing w:after="60"/>
      </w:pPr>
      <w:r>
        <w:rPr>
          <w:rFonts w:ascii="Arial" w:cs="Arial" w:eastAsia="Arial" w:hAnsi="Arial"/>
          <w:color w:val="1A1A1A"/>
          <w:sz w:val="22"/>
          <w:szCs w:val="22"/>
        </w:rPr>
        <w:t xml:space="preserve">Genomic informatics: Precision medicine, pharmacogenomics, CDS for genetic data, FHIR Genomics</w:t>
      </w:r>
    </w:p>
    <w:p>
      <w:pPr>
        <w:pStyle w:val="ListParagraph"/>
        <w:numPr>
          <w:ilvl w:val="0"/>
          <w:numId w:val="2"/>
        </w:numPr>
        <w:spacing w:after="60"/>
      </w:pPr>
      <w:r>
        <w:rPr>
          <w:rFonts w:ascii="Arial" w:cs="Arial" w:eastAsia="Arial" w:hAnsi="Arial"/>
          <w:color w:val="1A1A1A"/>
          <w:sz w:val="22"/>
          <w:szCs w:val="22"/>
        </w:rPr>
        <w:t xml:space="preserve">Research informatics: Clinical trial management systems (CTMS), EDC, IRB systems, i2b2, REDCap</w:t>
      </w:r>
    </w:p>
    <w:p>
      <w:pPr>
        <w:pStyle w:val="ListParagraph"/>
        <w:numPr>
          <w:ilvl w:val="0"/>
          <w:numId w:val="2"/>
        </w:numPr>
        <w:spacing w:after="60"/>
      </w:pPr>
      <w:r>
        <w:rPr>
          <w:rFonts w:ascii="Arial" w:cs="Arial" w:eastAsia="Arial" w:hAnsi="Arial"/>
          <w:color w:val="1A1A1A"/>
          <w:sz w:val="22"/>
          <w:szCs w:val="22"/>
        </w:rPr>
        <w:t xml:space="preserve">Public health informatics: Electronic lab reporting (ELR), immunization registries (IIS), syndromic surveillance, case reporting</w:t>
      </w:r>
    </w:p>
    <w:p>
      <w:pPr>
        <w:pStyle w:val="Heading2"/>
        <w:spacing w:after="150" w:before="300"/>
      </w:pPr>
      <w:r>
        <w:rPr>
          <w:rFonts w:ascii="Arial" w:cs="Arial" w:eastAsia="Arial" w:hAnsi="Arial"/>
          <w:b/>
          <w:bCs/>
          <w:color w:val="2A7B88"/>
          <w:sz w:val="28"/>
          <w:szCs w:val="28"/>
        </w:rPr>
        <w:t xml:space="preserve">5.3 Payer/Health Plan IT</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Claims processing systems: Adjudication engines, auto-adjudication rules, claims workflow</w:t>
      </w:r>
    </w:p>
    <w:p>
      <w:pPr>
        <w:pStyle w:val="ListParagraph"/>
        <w:numPr>
          <w:ilvl w:val="0"/>
          <w:numId w:val="2"/>
        </w:numPr>
        <w:spacing w:after="60"/>
      </w:pPr>
      <w:r>
        <w:rPr>
          <w:rFonts w:ascii="Arial" w:cs="Arial" w:eastAsia="Arial" w:hAnsi="Arial"/>
          <w:color w:val="1A1A1A"/>
          <w:sz w:val="22"/>
          <w:szCs w:val="22"/>
        </w:rPr>
        <w:t xml:space="preserve">Member management and enrollment systems</w:t>
      </w:r>
    </w:p>
    <w:p>
      <w:pPr>
        <w:pStyle w:val="ListParagraph"/>
        <w:numPr>
          <w:ilvl w:val="0"/>
          <w:numId w:val="2"/>
        </w:numPr>
        <w:spacing w:after="60"/>
      </w:pPr>
      <w:r>
        <w:rPr>
          <w:rFonts w:ascii="Arial" w:cs="Arial" w:eastAsia="Arial" w:hAnsi="Arial"/>
          <w:color w:val="1A1A1A"/>
          <w:sz w:val="22"/>
          <w:szCs w:val="22"/>
        </w:rPr>
        <w:t xml:space="preserve">Provider credentialing and network management platforms</w:t>
      </w:r>
    </w:p>
    <w:p>
      <w:pPr>
        <w:pStyle w:val="ListParagraph"/>
        <w:numPr>
          <w:ilvl w:val="0"/>
          <w:numId w:val="2"/>
        </w:numPr>
        <w:spacing w:after="60"/>
      </w:pPr>
      <w:r>
        <w:rPr>
          <w:rFonts w:ascii="Arial" w:cs="Arial" w:eastAsia="Arial" w:hAnsi="Arial"/>
          <w:color w:val="1A1A1A"/>
          <w:sz w:val="22"/>
          <w:szCs w:val="22"/>
        </w:rPr>
        <w:t xml:space="preserve">Utilization management and prior authorization systems</w:t>
      </w:r>
    </w:p>
    <w:p>
      <w:pPr>
        <w:pStyle w:val="ListParagraph"/>
        <w:numPr>
          <w:ilvl w:val="0"/>
          <w:numId w:val="2"/>
        </w:numPr>
        <w:spacing w:after="60"/>
      </w:pPr>
      <w:r>
        <w:rPr>
          <w:rFonts w:ascii="Arial" w:cs="Arial" w:eastAsia="Arial" w:hAnsi="Arial"/>
          <w:color w:val="1A1A1A"/>
          <w:sz w:val="22"/>
          <w:szCs w:val="22"/>
        </w:rPr>
        <w:t xml:space="preserve">Care management platforms for health plans</w:t>
      </w:r>
    </w:p>
    <w:p>
      <w:pPr>
        <w:pStyle w:val="ListParagraph"/>
        <w:numPr>
          <w:ilvl w:val="0"/>
          <w:numId w:val="2"/>
        </w:numPr>
        <w:spacing w:after="60"/>
      </w:pPr>
      <w:r>
        <w:rPr>
          <w:rFonts w:ascii="Arial" w:cs="Arial" w:eastAsia="Arial" w:hAnsi="Arial"/>
          <w:color w:val="1A1A1A"/>
          <w:sz w:val="22"/>
          <w:szCs w:val="22"/>
        </w:rPr>
        <w:t xml:space="preserve">Risk adjustment and HCC coding technology</w:t>
      </w:r>
    </w:p>
    <w:p>
      <w:pPr>
        <w:pStyle w:val="ListParagraph"/>
        <w:numPr>
          <w:ilvl w:val="0"/>
          <w:numId w:val="2"/>
        </w:numPr>
        <w:spacing w:after="60"/>
      </w:pPr>
      <w:r>
        <w:rPr>
          <w:rFonts w:ascii="Arial" w:cs="Arial" w:eastAsia="Arial" w:hAnsi="Arial"/>
          <w:color w:val="1A1A1A"/>
          <w:sz w:val="22"/>
          <w:szCs w:val="22"/>
        </w:rPr>
        <w:t xml:space="preserve">Medicare Advantage and Medicaid managed care IT</w:t>
      </w:r>
    </w:p>
    <w:p>
      <w:pPr>
        <w:pStyle w:val="ListParagraph"/>
        <w:numPr>
          <w:ilvl w:val="0"/>
          <w:numId w:val="2"/>
        </w:numPr>
        <w:spacing w:after="60"/>
      </w:pPr>
      <w:r>
        <w:rPr>
          <w:rFonts w:ascii="Arial" w:cs="Arial" w:eastAsia="Arial" w:hAnsi="Arial"/>
          <w:color w:val="1A1A1A"/>
          <w:sz w:val="22"/>
          <w:szCs w:val="22"/>
        </w:rPr>
        <w:t xml:space="preserve">Value-based contract management and payment systems</w:t>
      </w:r>
    </w:p>
    <w:p>
      <w:pPr>
        <w:pStyle w:val="ListParagraph"/>
        <w:numPr>
          <w:ilvl w:val="0"/>
          <w:numId w:val="2"/>
        </w:numPr>
        <w:spacing w:after="60"/>
      </w:pPr>
      <w:r>
        <w:rPr>
          <w:rFonts w:ascii="Arial" w:cs="Arial" w:eastAsia="Arial" w:hAnsi="Arial"/>
          <w:color w:val="1A1A1A"/>
          <w:sz w:val="22"/>
          <w:szCs w:val="22"/>
        </w:rPr>
        <w:t xml:space="preserve">Health plan analytics: Medical loss ratio (MLR), PMPM analysis, utilization patterns, fraud detection</w:t>
      </w:r>
    </w:p>
    <w:p>
      <w:pPr>
        <w:pStyle w:val="ListParagraph"/>
        <w:numPr>
          <w:ilvl w:val="0"/>
          <w:numId w:val="2"/>
        </w:numPr>
        <w:spacing w:after="60"/>
      </w:pPr>
      <w:r>
        <w:rPr>
          <w:rFonts w:ascii="Arial" w:cs="Arial" w:eastAsia="Arial" w:hAnsi="Arial"/>
          <w:color w:val="1A1A1A"/>
          <w:sz w:val="22"/>
          <w:szCs w:val="22"/>
        </w:rPr>
        <w:t xml:space="preserve">Government program compliance: CMS EDGE server, encounter data submission, HEDIS/Stars reporting</w:t>
      </w:r>
    </w:p>
    <w:p>
      <w:pPr>
        <w:pStyle w:val="Heading2"/>
        <w:spacing w:after="150" w:before="300"/>
      </w:pPr>
      <w:r>
        <w:rPr>
          <w:rFonts w:ascii="Arial" w:cs="Arial" w:eastAsia="Arial" w:hAnsi="Arial"/>
          <w:b/>
          <w:bCs/>
          <w:color w:val="2A7B88"/>
          <w:sz w:val="28"/>
          <w:szCs w:val="28"/>
        </w:rPr>
        <w:t xml:space="preserve">5.4 Life Sciences &amp; Pharma IT Intersections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Clinical trial systems: EDC (Electronic Data Capture), CTMS, RTSM/IRT, ePRO/eCOA</w:t>
      </w:r>
    </w:p>
    <w:p>
      <w:pPr>
        <w:pStyle w:val="ListParagraph"/>
        <w:numPr>
          <w:ilvl w:val="0"/>
          <w:numId w:val="2"/>
        </w:numPr>
        <w:spacing w:after="60"/>
      </w:pPr>
      <w:r>
        <w:rPr>
          <w:rFonts w:ascii="Arial" w:cs="Arial" w:eastAsia="Arial" w:hAnsi="Arial"/>
          <w:color w:val="1A1A1A"/>
          <w:sz w:val="22"/>
          <w:szCs w:val="22"/>
        </w:rPr>
        <w:t xml:space="preserve">Real-World Evidence (RWE) and Real-World Data (RWD): EHR-derived data for research, FDA guidance</w:t>
      </w:r>
    </w:p>
    <w:p>
      <w:pPr>
        <w:pStyle w:val="ListParagraph"/>
        <w:numPr>
          <w:ilvl w:val="0"/>
          <w:numId w:val="2"/>
        </w:numPr>
        <w:spacing w:after="60"/>
      </w:pPr>
      <w:r>
        <w:rPr>
          <w:rFonts w:ascii="Arial" w:cs="Arial" w:eastAsia="Arial" w:hAnsi="Arial"/>
          <w:color w:val="1A1A1A"/>
          <w:sz w:val="22"/>
          <w:szCs w:val="22"/>
        </w:rPr>
        <w:t xml:space="preserve">Drug safety and pharmacovigilance systems: FAERS, signal detection, safety databases</w:t>
      </w:r>
    </w:p>
    <w:p>
      <w:pPr>
        <w:pStyle w:val="ListParagraph"/>
        <w:numPr>
          <w:ilvl w:val="0"/>
          <w:numId w:val="2"/>
        </w:numPr>
        <w:spacing w:after="60"/>
      </w:pPr>
      <w:r>
        <w:rPr>
          <w:rFonts w:ascii="Arial" w:cs="Arial" w:eastAsia="Arial" w:hAnsi="Arial"/>
          <w:color w:val="1A1A1A"/>
          <w:sz w:val="22"/>
          <w:szCs w:val="22"/>
        </w:rPr>
        <w:t xml:space="preserve">Medical device IT: UDI (Unique Device Identification), device registries, post-market surveillance</w:t>
      </w:r>
    </w:p>
    <w:p>
      <w:pPr>
        <w:pStyle w:val="ListParagraph"/>
        <w:numPr>
          <w:ilvl w:val="0"/>
          <w:numId w:val="2"/>
        </w:numPr>
        <w:spacing w:after="60"/>
      </w:pPr>
      <w:r>
        <w:rPr>
          <w:rFonts w:ascii="Arial" w:cs="Arial" w:eastAsia="Arial" w:hAnsi="Arial"/>
          <w:color w:val="1A1A1A"/>
          <w:sz w:val="22"/>
          <w:szCs w:val="22"/>
        </w:rPr>
        <w:t xml:space="preserve">Precision medicine IT: Genomic data platforms, biobanking systems, companion diagnostics</w:t>
      </w:r>
    </w:p>
    <w:p>
      <w:pPr>
        <w:pStyle w:val="ListParagraph"/>
        <w:numPr>
          <w:ilvl w:val="0"/>
          <w:numId w:val="2"/>
        </w:numPr>
        <w:spacing w:after="60"/>
      </w:pPr>
      <w:r>
        <w:rPr>
          <w:rFonts w:ascii="Arial" w:cs="Arial" w:eastAsia="Arial" w:hAnsi="Arial"/>
          <w:color w:val="1A1A1A"/>
          <w:sz w:val="22"/>
          <w:szCs w:val="22"/>
        </w:rPr>
        <w:t xml:space="preserve">21 CFR Part 11 compliance: Electronic records, electronic signatures in regulated environments</w:t>
      </w:r>
    </w:p>
    <w:p>
      <w:pPr>
        <w:pStyle w:val="ListParagraph"/>
        <w:numPr>
          <w:ilvl w:val="0"/>
          <w:numId w:val="2"/>
        </w:numPr>
        <w:spacing w:after="60"/>
      </w:pPr>
      <w:r>
        <w:rPr>
          <w:rFonts w:ascii="Arial" w:cs="Arial" w:eastAsia="Arial" w:hAnsi="Arial"/>
          <w:color w:val="1A1A1A"/>
          <w:sz w:val="22"/>
          <w:szCs w:val="22"/>
        </w:rPr>
        <w:t xml:space="preserve">Health economics and outcomes research (HEOR) data platforms</w:t>
      </w:r>
    </w:p>
    <w:p>
      <w:pPr>
        <w:pStyle w:val="Heading2"/>
        <w:spacing w:after="150" w:before="300"/>
      </w:pPr>
      <w:r>
        <w:rPr>
          <w:rFonts w:ascii="Arial" w:cs="Arial" w:eastAsia="Arial" w:hAnsi="Arial"/>
          <w:b/>
          <w:bCs/>
          <w:color w:val="2A7B88"/>
          <w:sz w:val="28"/>
          <w:szCs w:val="28"/>
        </w:rPr>
        <w:t xml:space="preserve">5.5 Clinical Safety &amp; Patient Safety Engineering</w:t>
      </w:r>
    </w:p>
    <w:p>
      <w:pPr>
        <w:spacing w:after="120"/>
      </w:pPr>
      <w:r>
        <w:rPr>
          <w:rFonts w:ascii="Arial" w:cs="Arial" w:eastAsia="Arial" w:hAnsi="Arial"/>
          <w:color w:val="1A1A1A"/>
          <w:sz w:val="22"/>
          <w:szCs w:val="22"/>
        </w:rPr>
        <w:t xml:space="preserve">Patient safety is the ultimate measure of healthcare IT effectiveness. Technology failures in clinical environments can directly harm patients, making safety engineering a critical competency for every health IT professional.</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Healthcare Failure Mode and Effects Analysis (HFMEA): Proactive risk identification for IT-enabled clinical processes</w:t>
      </w:r>
    </w:p>
    <w:p>
      <w:pPr>
        <w:pStyle w:val="ListParagraph"/>
        <w:numPr>
          <w:ilvl w:val="0"/>
          <w:numId w:val="2"/>
        </w:numPr>
        <w:spacing w:after="60"/>
      </w:pPr>
      <w:r>
        <w:rPr>
          <w:rFonts w:ascii="Arial" w:cs="Arial" w:eastAsia="Arial" w:hAnsi="Arial"/>
          <w:color w:val="1A1A1A"/>
          <w:sz w:val="22"/>
          <w:szCs w:val="22"/>
        </w:rPr>
        <w:t xml:space="preserve">Clinical hazard analysis for health IT systems: Identifying potential patient harm from software defects, misconfigurations, and workflow gaps</w:t>
      </w:r>
    </w:p>
    <w:p>
      <w:pPr>
        <w:pStyle w:val="ListParagraph"/>
        <w:numPr>
          <w:ilvl w:val="0"/>
          <w:numId w:val="2"/>
        </w:numPr>
        <w:spacing w:after="60"/>
      </w:pPr>
      <w:r>
        <w:rPr>
          <w:rFonts w:ascii="Arial" w:cs="Arial" w:eastAsia="Arial" w:hAnsi="Arial"/>
          <w:color w:val="1A1A1A"/>
          <w:sz w:val="22"/>
          <w:szCs w:val="22"/>
        </w:rPr>
        <w:t xml:space="preserve">Safety risk classification frameworks: NHS Digital Clinical Safety Standards (DCB0129, DCB0160), IEC 62304 for medical software lifecycle</w:t>
      </w:r>
    </w:p>
    <w:p>
      <w:pPr>
        <w:pStyle w:val="ListParagraph"/>
        <w:numPr>
          <w:ilvl w:val="0"/>
          <w:numId w:val="2"/>
        </w:numPr>
        <w:spacing w:after="60"/>
      </w:pPr>
      <w:r>
        <w:rPr>
          <w:rFonts w:ascii="Arial" w:cs="Arial" w:eastAsia="Arial" w:hAnsi="Arial"/>
          <w:color w:val="1A1A1A"/>
          <w:sz w:val="22"/>
          <w:szCs w:val="22"/>
        </w:rPr>
        <w:t xml:space="preserve">Downtime preparedness and workflows: Paper-based fallback procedures, downtime documentation kits, recovery validation protocols</w:t>
      </w:r>
    </w:p>
    <w:p>
      <w:pPr>
        <w:pStyle w:val="ListParagraph"/>
        <w:numPr>
          <w:ilvl w:val="0"/>
          <w:numId w:val="2"/>
        </w:numPr>
        <w:spacing w:after="60"/>
      </w:pPr>
      <w:r>
        <w:rPr>
          <w:rFonts w:ascii="Arial" w:cs="Arial" w:eastAsia="Arial" w:hAnsi="Arial"/>
          <w:color w:val="1A1A1A"/>
          <w:sz w:val="22"/>
          <w:szCs w:val="22"/>
        </w:rPr>
        <w:t xml:space="preserve">Clinical Decision Support (CDS) validation: Testing alert logic accuracy, sensitivity/specificity analysis, false positive/negative impact assessment</w:t>
      </w:r>
    </w:p>
    <w:p>
      <w:pPr>
        <w:pStyle w:val="ListParagraph"/>
        <w:numPr>
          <w:ilvl w:val="0"/>
          <w:numId w:val="2"/>
        </w:numPr>
        <w:spacing w:after="60"/>
      </w:pPr>
      <w:r>
        <w:rPr>
          <w:rFonts w:ascii="Arial" w:cs="Arial" w:eastAsia="Arial" w:hAnsi="Arial"/>
          <w:color w:val="1A1A1A"/>
          <w:sz w:val="22"/>
          <w:szCs w:val="22"/>
        </w:rPr>
        <w:t xml:space="preserve">Safety event reporting systems: Patient Safety Organizations (PSOs), AHRQ Common Formats, internal event reporting and root cause analysis</w:t>
      </w:r>
    </w:p>
    <w:p>
      <w:pPr>
        <w:pStyle w:val="ListParagraph"/>
        <w:numPr>
          <w:ilvl w:val="0"/>
          <w:numId w:val="2"/>
        </w:numPr>
        <w:spacing w:after="60"/>
      </w:pPr>
      <w:r>
        <w:rPr>
          <w:rFonts w:ascii="Arial" w:cs="Arial" w:eastAsia="Arial" w:hAnsi="Arial"/>
          <w:color w:val="1A1A1A"/>
          <w:sz w:val="22"/>
          <w:szCs w:val="22"/>
        </w:rPr>
        <w:t xml:space="preserve">Medication safety technology: Barcode verification accuracy, smart pump drug library management, closed-loop medication administration</w:t>
      </w:r>
    </w:p>
    <w:p>
      <w:pPr>
        <w:pStyle w:val="ListParagraph"/>
        <w:numPr>
          <w:ilvl w:val="0"/>
          <w:numId w:val="2"/>
        </w:numPr>
        <w:spacing w:after="60"/>
      </w:pPr>
      <w:r>
        <w:rPr>
          <w:rFonts w:ascii="Arial" w:cs="Arial" w:eastAsia="Arial" w:hAnsi="Arial"/>
          <w:color w:val="1A1A1A"/>
          <w:sz w:val="22"/>
          <w:szCs w:val="22"/>
        </w:rPr>
        <w:t xml:space="preserve">High-reliability organization (HRO) principles applied to health IT: Preoccupation with failure, reluctance to simplify, sensitivity to operations</w:t>
      </w:r>
    </w:p>
    <w:p>
      <w:pPr>
        <w:pStyle w:val="ListParagraph"/>
        <w:numPr>
          <w:ilvl w:val="0"/>
          <w:numId w:val="2"/>
        </w:numPr>
        <w:spacing w:after="60"/>
      </w:pPr>
      <w:r>
        <w:rPr>
          <w:rFonts w:ascii="Arial" w:cs="Arial" w:eastAsia="Arial" w:hAnsi="Arial"/>
          <w:color w:val="1A1A1A"/>
          <w:sz w:val="22"/>
          <w:szCs w:val="22"/>
        </w:rPr>
        <w:t xml:space="preserve">Post-implementation safety surveillance: Monitoring for unintended consequences of IT changes, near-miss analysis, safety dashboards</w:t>
      </w:r>
    </w:p>
    <w:p>
      <w:pPr>
        <w:pStyle w:val="ListParagraph"/>
        <w:numPr>
          <w:ilvl w:val="0"/>
          <w:numId w:val="2"/>
        </w:numPr>
        <w:spacing w:after="60"/>
      </w:pPr>
      <w:r>
        <w:rPr>
          <w:rFonts w:ascii="Arial" w:cs="Arial" w:eastAsia="Arial" w:hAnsi="Arial"/>
          <w:color w:val="1A1A1A"/>
          <w:sz w:val="22"/>
          <w:szCs w:val="22"/>
        </w:rPr>
        <w:t xml:space="preserve">Clinical workflow simulation and testing: Usability testing with clinicians, scenario-based testing, cognitive walkthrough for safety-critical workflows</w:t>
      </w:r>
    </w:p>
    <w:p>
      <w:pPr>
        <w:pStyle w:val="Heading2"/>
        <w:spacing w:after="150" w:before="300"/>
      </w:pPr>
      <w:r>
        <w:rPr>
          <w:rFonts w:ascii="Arial" w:cs="Arial" w:eastAsia="Arial" w:hAnsi="Arial"/>
          <w:b/>
          <w:bCs/>
          <w:color w:val="2A7B88"/>
          <w:sz w:val="28"/>
          <w:szCs w:val="28"/>
        </w:rPr>
        <w:t xml:space="preserve">5.6 Healthcare UX &amp; Human Factors Engineering</w:t>
      </w:r>
    </w:p>
    <w:p>
      <w:pPr>
        <w:spacing w:after="120"/>
      </w:pPr>
      <w:r>
        <w:rPr>
          <w:rFonts w:ascii="Arial" w:cs="Arial" w:eastAsia="Arial" w:hAnsi="Arial"/>
          <w:color w:val="1A1A1A"/>
          <w:sz w:val="22"/>
          <w:szCs w:val="22"/>
        </w:rPr>
        <w:t xml:space="preserve">Poorly designed clinical interfaces contribute to clinician burnout, medical errors, and workflow inefficiency. Understanding human factors is essential for building healthcare technology that clinicians will actually use safely and effectively.</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Human-centered design in healthcare: Design thinking methodologies adapted for clinical environments and patient safety</w:t>
      </w:r>
    </w:p>
    <w:p>
      <w:pPr>
        <w:pStyle w:val="ListParagraph"/>
        <w:numPr>
          <w:ilvl w:val="0"/>
          <w:numId w:val="2"/>
        </w:numPr>
        <w:spacing w:after="60"/>
      </w:pPr>
      <w:r>
        <w:rPr>
          <w:rFonts w:ascii="Arial" w:cs="Arial" w:eastAsia="Arial" w:hAnsi="Arial"/>
          <w:color w:val="1A1A1A"/>
          <w:sz w:val="22"/>
          <w:szCs w:val="22"/>
        </w:rPr>
        <w:t xml:space="preserve">Cognitive load theory for clinical interfaces: Reducing information overload in EHR screens, alert fatigue mitigation strategies</w:t>
      </w:r>
    </w:p>
    <w:p>
      <w:pPr>
        <w:pStyle w:val="ListParagraph"/>
        <w:numPr>
          <w:ilvl w:val="0"/>
          <w:numId w:val="2"/>
        </w:numPr>
        <w:spacing w:after="60"/>
      </w:pPr>
      <w:r>
        <w:rPr>
          <w:rFonts w:ascii="Arial" w:cs="Arial" w:eastAsia="Arial" w:hAnsi="Arial"/>
          <w:color w:val="1A1A1A"/>
          <w:sz w:val="22"/>
          <w:szCs w:val="22"/>
        </w:rPr>
        <w:t xml:space="preserve">Clinician usability studies: Contextual inquiry, think-aloud protocols, task analysis in live clinical environments</w:t>
      </w:r>
    </w:p>
    <w:p>
      <w:pPr>
        <w:pStyle w:val="ListParagraph"/>
        <w:numPr>
          <w:ilvl w:val="0"/>
          <w:numId w:val="2"/>
        </w:numPr>
        <w:spacing w:after="60"/>
      </w:pPr>
      <w:r>
        <w:rPr>
          <w:rFonts w:ascii="Arial" w:cs="Arial" w:eastAsia="Arial" w:hAnsi="Arial"/>
          <w:color w:val="1A1A1A"/>
          <w:sz w:val="22"/>
          <w:szCs w:val="22"/>
        </w:rPr>
        <w:t xml:space="preserve">EHR usability evaluation: SUS (System Usability Scale), TURF (Task, User, Representation, Function) framework, ONC Safety-Enhanced Design</w:t>
      </w:r>
    </w:p>
    <w:p>
      <w:pPr>
        <w:pStyle w:val="ListParagraph"/>
        <w:numPr>
          <w:ilvl w:val="0"/>
          <w:numId w:val="2"/>
        </w:numPr>
        <w:spacing w:after="60"/>
      </w:pPr>
      <w:r>
        <w:rPr>
          <w:rFonts w:ascii="Arial" w:cs="Arial" w:eastAsia="Arial" w:hAnsi="Arial"/>
          <w:color w:val="1A1A1A"/>
          <w:sz w:val="22"/>
          <w:szCs w:val="22"/>
        </w:rPr>
        <w:t xml:space="preserve">Alert fatigue and notification design: Override rates analysis, tiered alerting strategies, interruptive vs. non-interruptive alert design</w:t>
      </w:r>
    </w:p>
    <w:p>
      <w:pPr>
        <w:pStyle w:val="ListParagraph"/>
        <w:numPr>
          <w:ilvl w:val="0"/>
          <w:numId w:val="2"/>
        </w:numPr>
        <w:spacing w:after="60"/>
      </w:pPr>
      <w:r>
        <w:rPr>
          <w:rFonts w:ascii="Arial" w:cs="Arial" w:eastAsia="Arial" w:hAnsi="Arial"/>
          <w:color w:val="1A1A1A"/>
          <w:sz w:val="22"/>
          <w:szCs w:val="22"/>
        </w:rPr>
        <w:t xml:space="preserve">Mobile and responsive design for clinical workflows: Point-of-care interfaces, tablet/smartphone optimization, offline capability</w:t>
      </w:r>
    </w:p>
    <w:p>
      <w:pPr>
        <w:pStyle w:val="ListParagraph"/>
        <w:numPr>
          <w:ilvl w:val="0"/>
          <w:numId w:val="2"/>
        </w:numPr>
        <w:spacing w:after="60"/>
      </w:pPr>
      <w:r>
        <w:rPr>
          <w:rFonts w:ascii="Arial" w:cs="Arial" w:eastAsia="Arial" w:hAnsi="Arial"/>
          <w:color w:val="1A1A1A"/>
          <w:sz w:val="22"/>
          <w:szCs w:val="22"/>
        </w:rPr>
        <w:t xml:space="preserve">Accessibility in healthcare IT: ADA/Section 508 compliance, WCAG standards, accommodating clinicians and patients with disabilities</w:t>
      </w:r>
    </w:p>
    <w:p>
      <w:pPr>
        <w:pStyle w:val="ListParagraph"/>
        <w:numPr>
          <w:ilvl w:val="0"/>
          <w:numId w:val="2"/>
        </w:numPr>
        <w:spacing w:after="60"/>
      </w:pPr>
      <w:r>
        <w:rPr>
          <w:rFonts w:ascii="Arial" w:cs="Arial" w:eastAsia="Arial" w:hAnsi="Arial"/>
          <w:color w:val="1A1A1A"/>
          <w:sz w:val="22"/>
          <w:szCs w:val="22"/>
        </w:rPr>
        <w:t xml:space="preserve">Clinical workflow mapping for UI design: Observation-driven design, shadowing clinicians, time-motion studies</w:t>
      </w:r>
    </w:p>
    <w:p>
      <w:pPr>
        <w:pStyle w:val="ListParagraph"/>
        <w:numPr>
          <w:ilvl w:val="0"/>
          <w:numId w:val="2"/>
        </w:numPr>
        <w:spacing w:after="60"/>
      </w:pPr>
      <w:r>
        <w:rPr>
          <w:rFonts w:ascii="Arial" w:cs="Arial" w:eastAsia="Arial" w:hAnsi="Arial"/>
          <w:color w:val="1A1A1A"/>
          <w:sz w:val="22"/>
          <w:szCs w:val="22"/>
        </w:rPr>
        <w:t xml:space="preserve">Information visualization for clinical data: Dashboard design for patient acuity, trend displays for vital signs, surgical schedule boards</w:t>
      </w:r>
    </w:p>
    <w:p>
      <w:pPr>
        <w:pStyle w:val="ListParagraph"/>
        <w:numPr>
          <w:ilvl w:val="0"/>
          <w:numId w:val="2"/>
        </w:numPr>
        <w:spacing w:after="60"/>
      </w:pPr>
      <w:r>
        <w:rPr>
          <w:rFonts w:ascii="Arial" w:cs="Arial" w:eastAsia="Arial" w:hAnsi="Arial"/>
          <w:color w:val="1A1A1A"/>
          <w:sz w:val="22"/>
          <w:szCs w:val="22"/>
        </w:rPr>
        <w:t xml:space="preserve">User feedback loops: Clinical governance committees for UI changes, rapid iteration cycles, A/B testing in clinical settings</w:t>
      </w:r>
    </w:p>
    <w:p>
      <w:pPr>
        <w:pStyle w:val="Heading2"/>
        <w:spacing w:after="150" w:before="300"/>
      </w:pPr>
      <w:r>
        <w:rPr>
          <w:rFonts w:ascii="Arial" w:cs="Arial" w:eastAsia="Arial" w:hAnsi="Arial"/>
          <w:b/>
          <w:bCs/>
          <w:color w:val="2A7B88"/>
          <w:sz w:val="28"/>
          <w:szCs w:val="28"/>
        </w:rPr>
        <w:t xml:space="preserve">5.7 Interoperability Testing &amp; Integration Quality</w:t>
      </w:r>
    </w:p>
    <w:p>
      <w:pPr>
        <w:spacing w:after="120"/>
      </w:pPr>
      <w:r>
        <w:rPr>
          <w:rFonts w:ascii="Arial" w:cs="Arial" w:eastAsia="Arial" w:hAnsi="Arial"/>
          <w:color w:val="1A1A1A"/>
          <w:sz w:val="22"/>
          <w:szCs w:val="22"/>
        </w:rPr>
        <w:t xml:space="preserve">Healthcare integrations are only as reliable as the testing behind them. Data exchange errors between systems can lead to missed diagnoses, billing failures, and patient safety events.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HL7 v2.x message validation: Syntax validation, conformance profiles, segment/field verification, Z-segment documentation</w:t>
      </w:r>
    </w:p>
    <w:p>
      <w:pPr>
        <w:pStyle w:val="ListParagraph"/>
        <w:numPr>
          <w:ilvl w:val="0"/>
          <w:numId w:val="2"/>
        </w:numPr>
        <w:spacing w:after="60"/>
      </w:pPr>
      <w:r>
        <w:rPr>
          <w:rFonts w:ascii="Arial" w:cs="Arial" w:eastAsia="Arial" w:hAnsi="Arial"/>
          <w:color w:val="1A1A1A"/>
          <w:sz w:val="22"/>
          <w:szCs w:val="22"/>
        </w:rPr>
        <w:t xml:space="preserve">FHIR resource validation: StructureDefinition conformance, FHIRPath assertions, Implementation Guide validation, FHIR validators (Inferno, Touchstone)</w:t>
      </w:r>
    </w:p>
    <w:p>
      <w:pPr>
        <w:pStyle w:val="ListParagraph"/>
        <w:numPr>
          <w:ilvl w:val="0"/>
          <w:numId w:val="2"/>
        </w:numPr>
        <w:spacing w:after="60"/>
      </w:pPr>
      <w:r>
        <w:rPr>
          <w:rFonts w:ascii="Arial" w:cs="Arial" w:eastAsia="Arial" w:hAnsi="Arial"/>
          <w:color w:val="1A1A1A"/>
          <w:sz w:val="22"/>
          <w:szCs w:val="22"/>
        </w:rPr>
        <w:t xml:space="preserve">Interface simulation and test harnesses: Mock interfaces for development, synthetic message generation, end-to-end integration testing</w:t>
      </w:r>
    </w:p>
    <w:p>
      <w:pPr>
        <w:pStyle w:val="ListParagraph"/>
        <w:numPr>
          <w:ilvl w:val="0"/>
          <w:numId w:val="2"/>
        </w:numPr>
        <w:spacing w:after="60"/>
      </w:pPr>
      <w:r>
        <w:rPr>
          <w:rFonts w:ascii="Arial" w:cs="Arial" w:eastAsia="Arial" w:hAnsi="Arial"/>
          <w:color w:val="1A1A1A"/>
          <w:sz w:val="22"/>
          <w:szCs w:val="22"/>
        </w:rPr>
        <w:t xml:space="preserve">Regression testing for clinical interfaces: Automated test suites for HL7/FHIR interfaces, change impact analysis, backward compatibility testing</w:t>
      </w:r>
    </w:p>
    <w:p>
      <w:pPr>
        <w:pStyle w:val="ListParagraph"/>
        <w:numPr>
          <w:ilvl w:val="0"/>
          <w:numId w:val="2"/>
        </w:numPr>
        <w:spacing w:after="60"/>
      </w:pPr>
      <w:r>
        <w:rPr>
          <w:rFonts w:ascii="Arial" w:cs="Arial" w:eastAsia="Arial" w:hAnsi="Arial"/>
          <w:color w:val="1A1A1A"/>
          <w:sz w:val="22"/>
          <w:szCs w:val="22"/>
        </w:rPr>
        <w:t xml:space="preserve">Data mapping and transformation validation: Source-to-target mapping documentation, code crosswalk accuracy verification, terminology mapping QA</w:t>
      </w:r>
    </w:p>
    <w:p>
      <w:pPr>
        <w:pStyle w:val="ListParagraph"/>
        <w:numPr>
          <w:ilvl w:val="0"/>
          <w:numId w:val="2"/>
        </w:numPr>
        <w:spacing w:after="60"/>
      </w:pPr>
      <w:r>
        <w:rPr>
          <w:rFonts w:ascii="Arial" w:cs="Arial" w:eastAsia="Arial" w:hAnsi="Arial"/>
          <w:color w:val="1A1A1A"/>
          <w:sz w:val="22"/>
          <w:szCs w:val="22"/>
        </w:rPr>
        <w:t xml:space="preserve">IHE Connectathon testing: Pre-connectathon preparation, test execution, results analysis, profile conformance certification</w:t>
      </w:r>
    </w:p>
    <w:p>
      <w:pPr>
        <w:pStyle w:val="ListParagraph"/>
        <w:numPr>
          <w:ilvl w:val="0"/>
          <w:numId w:val="2"/>
        </w:numPr>
        <w:spacing w:after="60"/>
      </w:pPr>
      <w:r>
        <w:rPr>
          <w:rFonts w:ascii="Arial" w:cs="Arial" w:eastAsia="Arial" w:hAnsi="Arial"/>
          <w:color w:val="1A1A1A"/>
          <w:sz w:val="22"/>
          <w:szCs w:val="22"/>
        </w:rPr>
        <w:t xml:space="preserve">ONC Health IT Certification testing: Certified EHR Technology (CEHRT) requirements, test procedures, real-world testing</w:t>
      </w:r>
    </w:p>
    <w:p>
      <w:pPr>
        <w:pStyle w:val="ListParagraph"/>
        <w:numPr>
          <w:ilvl w:val="0"/>
          <w:numId w:val="2"/>
        </w:numPr>
        <w:spacing w:after="60"/>
      </w:pPr>
      <w:r>
        <w:rPr>
          <w:rFonts w:ascii="Arial" w:cs="Arial" w:eastAsia="Arial" w:hAnsi="Arial"/>
          <w:color w:val="1A1A1A"/>
          <w:sz w:val="22"/>
          <w:szCs w:val="22"/>
        </w:rPr>
        <w:t xml:space="preserve">Performance and load testing for integration engines: Message throughput benchmarks, queue monitoring, failover testing under load</w:t>
      </w:r>
    </w:p>
    <w:p>
      <w:pPr>
        <w:pStyle w:val="ListParagraph"/>
        <w:numPr>
          <w:ilvl w:val="0"/>
          <w:numId w:val="2"/>
        </w:numPr>
        <w:spacing w:after="60"/>
      </w:pPr>
      <w:r>
        <w:rPr>
          <w:rFonts w:ascii="Arial" w:cs="Arial" w:eastAsia="Arial" w:hAnsi="Arial"/>
          <w:color w:val="1A1A1A"/>
          <w:sz w:val="22"/>
          <w:szCs w:val="22"/>
        </w:rPr>
        <w:t xml:space="preserve">Interface monitoring and alerting: Real-time message flow dashboards, error rate tracking, SLA compliance monitoring for data feeds</w:t>
      </w:r>
    </w:p>
    <w:p>
      <w:pPr>
        <w:pStyle w:val="ListParagraph"/>
        <w:numPr>
          <w:ilvl w:val="0"/>
          <w:numId w:val="2"/>
        </w:numPr>
        <w:spacing w:after="60"/>
      </w:pPr>
      <w:r>
        <w:rPr>
          <w:rFonts w:ascii="Arial" w:cs="Arial" w:eastAsia="Arial" w:hAnsi="Arial"/>
          <w:color w:val="1A1A1A"/>
          <w:sz w:val="22"/>
          <w:szCs w:val="22"/>
        </w:rPr>
        <w:t xml:space="preserve">Clinical data reconciliation: Verifying data fidelity across systems, patient matching accuracy audits, duplicate detection and resolution</w:t>
      </w:r>
    </w:p>
    <w:p>
      <w:r>
        <w:br w:type="page"/>
      </w:r>
    </w:p>
    <w:p>
      <w:pPr>
        <w:pStyle w:val="Heading1"/>
        <w:spacing w:after="200" w:before="400"/>
      </w:pPr>
      <w:r>
        <w:rPr>
          <w:rFonts w:ascii="Arial" w:cs="Arial" w:eastAsia="Arial" w:hAnsi="Arial"/>
          <w:b/>
          <w:bCs/>
          <w:color w:val="1B3A5C"/>
          <w:sz w:val="36"/>
          <w:szCs w:val="36"/>
        </w:rPr>
        <w:t xml:space="preserve">Phase 6: Leadership, Strategy &amp; Transformation (Months 29–36)</w:t>
      </w:r>
    </w:p>
    <w:p>
      <w:pPr>
        <w:spacing w:after="120"/>
      </w:pPr>
      <w:r>
        <w:rPr>
          <w:rFonts w:ascii="Arial" w:cs="Arial" w:eastAsia="Arial" w:hAnsi="Arial"/>
          <w:color w:val="1A1A1A"/>
          <w:sz w:val="22"/>
          <w:szCs w:val="22"/>
        </w:rPr>
        <w:t xml:space="preserve">This final phase transforms you from a skilled health IT professional into a strategic leader who can drive organizational transformation, manage complex programs, and shape the future of healthcare technology.</w:t>
      </w:r>
    </w:p>
    <w:p>
      <w:pPr>
        <w:pBdr>
          <w:bottom w:val="single" w:color="2A7B88" w:sz="6" w:space="1"/>
        </w:pBdr>
        <w:spacing w:after="200" w:before="200"/>
      </w:pPr>
    </w:p>
    <w:p>
      <w:pPr>
        <w:pStyle w:val="Heading2"/>
        <w:spacing w:after="150" w:before="300"/>
      </w:pPr>
      <w:r>
        <w:rPr>
          <w:rFonts w:ascii="Arial" w:cs="Arial" w:eastAsia="Arial" w:hAnsi="Arial"/>
          <w:b/>
          <w:bCs/>
          <w:color w:val="2A7B88"/>
          <w:sz w:val="28"/>
          <w:szCs w:val="28"/>
        </w:rPr>
        <w:t xml:space="preserve">6.1 Health IT Strategy &amp; Governance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Developing a health IT strategic plan aligned with organizational mission and clinical priorities</w:t>
      </w:r>
    </w:p>
    <w:p>
      <w:pPr>
        <w:pStyle w:val="ListParagraph"/>
        <w:numPr>
          <w:ilvl w:val="0"/>
          <w:numId w:val="2"/>
        </w:numPr>
        <w:spacing w:after="60"/>
      </w:pPr>
      <w:r>
        <w:rPr>
          <w:rFonts w:ascii="Arial" w:cs="Arial" w:eastAsia="Arial" w:hAnsi="Arial"/>
          <w:color w:val="1A1A1A"/>
          <w:sz w:val="22"/>
          <w:szCs w:val="22"/>
        </w:rPr>
        <w:t xml:space="preserve">IT governance frameworks: COBIT, ITIL, steering committees, clinical informatics governance</w:t>
      </w:r>
    </w:p>
    <w:p>
      <w:pPr>
        <w:pStyle w:val="ListParagraph"/>
        <w:numPr>
          <w:ilvl w:val="0"/>
          <w:numId w:val="2"/>
        </w:numPr>
        <w:spacing w:after="60"/>
      </w:pPr>
      <w:r>
        <w:rPr>
          <w:rFonts w:ascii="Arial" w:cs="Arial" w:eastAsia="Arial" w:hAnsi="Arial"/>
          <w:color w:val="1A1A1A"/>
          <w:sz w:val="22"/>
          <w:szCs w:val="22"/>
        </w:rPr>
        <w:t xml:space="preserve">Technology roadmap development: 1-year, 3-year, 5-year planning horizons</w:t>
      </w:r>
    </w:p>
    <w:p>
      <w:pPr>
        <w:pStyle w:val="ListParagraph"/>
        <w:numPr>
          <w:ilvl w:val="0"/>
          <w:numId w:val="2"/>
        </w:numPr>
        <w:spacing w:after="60"/>
      </w:pPr>
      <w:r>
        <w:rPr>
          <w:rFonts w:ascii="Arial" w:cs="Arial" w:eastAsia="Arial" w:hAnsi="Arial"/>
          <w:color w:val="1A1A1A"/>
          <w:sz w:val="22"/>
          <w:szCs w:val="22"/>
        </w:rPr>
        <w:t xml:space="preserve">Vendor strategy: Best-of-breed vs. integrated platform decisions, vendor evaluation and selection (RFP/RFI)</w:t>
      </w:r>
    </w:p>
    <w:p>
      <w:pPr>
        <w:pStyle w:val="ListParagraph"/>
        <w:numPr>
          <w:ilvl w:val="0"/>
          <w:numId w:val="2"/>
        </w:numPr>
        <w:spacing w:after="60"/>
      </w:pPr>
      <w:r>
        <w:rPr>
          <w:rFonts w:ascii="Arial" w:cs="Arial" w:eastAsia="Arial" w:hAnsi="Arial"/>
          <w:color w:val="1A1A1A"/>
          <w:sz w:val="22"/>
          <w:szCs w:val="22"/>
        </w:rPr>
        <w:t xml:space="preserve">Partnership models: Staff augmentation, managed services, co-development, strategic partnerships</w:t>
      </w:r>
    </w:p>
    <w:p>
      <w:pPr>
        <w:pStyle w:val="ListParagraph"/>
        <w:numPr>
          <w:ilvl w:val="0"/>
          <w:numId w:val="2"/>
        </w:numPr>
        <w:spacing w:after="60"/>
      </w:pPr>
      <w:r>
        <w:rPr>
          <w:rFonts w:ascii="Arial" w:cs="Arial" w:eastAsia="Arial" w:hAnsi="Arial"/>
          <w:color w:val="1A1A1A"/>
          <w:sz w:val="22"/>
          <w:szCs w:val="22"/>
        </w:rPr>
        <w:t xml:space="preserve">Innovation management: Innovation labs, pilot programs, startup partnerships, health IT incubators</w:t>
      </w:r>
    </w:p>
    <w:p>
      <w:pPr>
        <w:pStyle w:val="ListParagraph"/>
        <w:numPr>
          <w:ilvl w:val="0"/>
          <w:numId w:val="2"/>
        </w:numPr>
        <w:spacing w:after="60"/>
      </w:pPr>
      <w:r>
        <w:rPr>
          <w:rFonts w:ascii="Arial" w:cs="Arial" w:eastAsia="Arial" w:hAnsi="Arial"/>
          <w:color w:val="1A1A1A"/>
          <w:sz w:val="22"/>
          <w:szCs w:val="22"/>
        </w:rPr>
        <w:t xml:space="preserve">Board-level communication: Translating technology investments into clinical and financial outcomes</w:t>
      </w:r>
    </w:p>
    <w:p>
      <w:pPr>
        <w:pStyle w:val="ListParagraph"/>
        <w:numPr>
          <w:ilvl w:val="0"/>
          <w:numId w:val="2"/>
        </w:numPr>
        <w:spacing w:after="60"/>
      </w:pPr>
      <w:r>
        <w:rPr>
          <w:rFonts w:ascii="Arial" w:cs="Arial" w:eastAsia="Arial" w:hAnsi="Arial"/>
          <w:color w:val="1A1A1A"/>
          <w:sz w:val="22"/>
          <w:szCs w:val="22"/>
        </w:rPr>
        <w:t xml:space="preserve">Benchmarking: KLAS, CHIME DHAM (Digital Health Analytics Model), Gartner, peer networking</w:t>
      </w:r>
    </w:p>
    <w:p>
      <w:pPr>
        <w:pStyle w:val="Heading2"/>
        <w:spacing w:after="150" w:before="300"/>
      </w:pPr>
      <w:r>
        <w:rPr>
          <w:rFonts w:ascii="Arial" w:cs="Arial" w:eastAsia="Arial" w:hAnsi="Arial"/>
          <w:b/>
          <w:bCs/>
          <w:color w:val="2A7B88"/>
          <w:sz w:val="28"/>
          <w:szCs w:val="28"/>
        </w:rPr>
        <w:t xml:space="preserve">6.2 Digital Transformation in Healthcare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Enterprise digital transformation strategy: Beyond EHR — reimagining care delivery through technology</w:t>
      </w:r>
    </w:p>
    <w:p>
      <w:pPr>
        <w:pStyle w:val="ListParagraph"/>
        <w:numPr>
          <w:ilvl w:val="0"/>
          <w:numId w:val="2"/>
        </w:numPr>
        <w:spacing w:after="60"/>
      </w:pPr>
      <w:r>
        <w:rPr>
          <w:rFonts w:ascii="Arial" w:cs="Arial" w:eastAsia="Arial" w:hAnsi="Arial"/>
          <w:color w:val="1A1A1A"/>
          <w:sz w:val="22"/>
          <w:szCs w:val="22"/>
        </w:rPr>
        <w:t xml:space="preserve">Workflow redesign and process optimization: Lean, Six Sigma, human-centered design in clinical settings</w:t>
      </w:r>
    </w:p>
    <w:p>
      <w:pPr>
        <w:pStyle w:val="ListParagraph"/>
        <w:numPr>
          <w:ilvl w:val="0"/>
          <w:numId w:val="2"/>
        </w:numPr>
        <w:spacing w:after="60"/>
      </w:pPr>
      <w:r>
        <w:rPr>
          <w:rFonts w:ascii="Arial" w:cs="Arial" w:eastAsia="Arial" w:hAnsi="Arial"/>
          <w:color w:val="1A1A1A"/>
          <w:sz w:val="22"/>
          <w:szCs w:val="22"/>
        </w:rPr>
        <w:t xml:space="preserve">Organizational change management: ADKAR, Kotter’s 8-step model adapted for clinical environments</w:t>
      </w:r>
    </w:p>
    <w:p>
      <w:pPr>
        <w:pStyle w:val="ListParagraph"/>
        <w:numPr>
          <w:ilvl w:val="0"/>
          <w:numId w:val="2"/>
        </w:numPr>
        <w:spacing w:after="60"/>
      </w:pPr>
      <w:r>
        <w:rPr>
          <w:rFonts w:ascii="Arial" w:cs="Arial" w:eastAsia="Arial" w:hAnsi="Arial"/>
          <w:color w:val="1A1A1A"/>
          <w:sz w:val="22"/>
          <w:szCs w:val="22"/>
        </w:rPr>
        <w:t xml:space="preserve">Clinician adoption and engagement: Physician champions, super users, clinical informatics liaisons</w:t>
      </w:r>
    </w:p>
    <w:p>
      <w:pPr>
        <w:pStyle w:val="ListParagraph"/>
        <w:numPr>
          <w:ilvl w:val="0"/>
          <w:numId w:val="2"/>
        </w:numPr>
        <w:spacing w:after="60"/>
      </w:pPr>
      <w:r>
        <w:rPr>
          <w:rFonts w:ascii="Arial" w:cs="Arial" w:eastAsia="Arial" w:hAnsi="Arial"/>
          <w:color w:val="1A1A1A"/>
          <w:sz w:val="22"/>
          <w:szCs w:val="22"/>
        </w:rPr>
        <w:t xml:space="preserve">Patient experience transformation: Digital patient journey, consumer-grade experiences in healthcare</w:t>
      </w:r>
    </w:p>
    <w:p>
      <w:pPr>
        <w:pStyle w:val="ListParagraph"/>
        <w:numPr>
          <w:ilvl w:val="0"/>
          <w:numId w:val="2"/>
        </w:numPr>
        <w:spacing w:after="60"/>
      </w:pPr>
      <w:r>
        <w:rPr>
          <w:rFonts w:ascii="Arial" w:cs="Arial" w:eastAsia="Arial" w:hAnsi="Arial"/>
          <w:color w:val="1A1A1A"/>
          <w:sz w:val="22"/>
          <w:szCs w:val="22"/>
        </w:rPr>
        <w:t xml:space="preserve">Operational transformation: Command centers, predictive operations, real-time capacity management</w:t>
      </w:r>
    </w:p>
    <w:p>
      <w:pPr>
        <w:pStyle w:val="ListParagraph"/>
        <w:numPr>
          <w:ilvl w:val="0"/>
          <w:numId w:val="2"/>
        </w:numPr>
        <w:spacing w:after="60"/>
      </w:pPr>
      <w:r>
        <w:rPr>
          <w:rFonts w:ascii="Arial" w:cs="Arial" w:eastAsia="Arial" w:hAnsi="Arial"/>
          <w:color w:val="1A1A1A"/>
          <w:sz w:val="22"/>
          <w:szCs w:val="22"/>
        </w:rPr>
        <w:t xml:space="preserve">AI/ML organizational strategy: Building AI governance, clinical AI committee, responsible AI frameworks</w:t>
      </w:r>
    </w:p>
    <w:p>
      <w:pPr>
        <w:pStyle w:val="ListParagraph"/>
        <w:numPr>
          <w:ilvl w:val="0"/>
          <w:numId w:val="2"/>
        </w:numPr>
        <w:spacing w:after="60"/>
      </w:pPr>
      <w:r>
        <w:rPr>
          <w:rFonts w:ascii="Arial" w:cs="Arial" w:eastAsia="Arial" w:hAnsi="Arial"/>
          <w:color w:val="1A1A1A"/>
          <w:sz w:val="22"/>
          <w:szCs w:val="22"/>
        </w:rPr>
        <w:t xml:space="preserve">Platform thinking: APIs, ecosystems, and creating value beyond core systems</w:t>
      </w:r>
    </w:p>
    <w:p>
      <w:pPr>
        <w:pStyle w:val="Heading2"/>
        <w:spacing w:after="150" w:before="300"/>
      </w:pPr>
      <w:r>
        <w:rPr>
          <w:rFonts w:ascii="Arial" w:cs="Arial" w:eastAsia="Arial" w:hAnsi="Arial"/>
          <w:b/>
          <w:bCs/>
          <w:color w:val="2A7B88"/>
          <w:sz w:val="28"/>
          <w:szCs w:val="28"/>
        </w:rPr>
        <w:t xml:space="preserve">6.3 Health IT Program &amp; Portfolio Management</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Large-scale EHR implementations: Multi-year, multi-site go-live planning and execution</w:t>
      </w:r>
    </w:p>
    <w:p>
      <w:pPr>
        <w:pStyle w:val="ListParagraph"/>
        <w:numPr>
          <w:ilvl w:val="0"/>
          <w:numId w:val="2"/>
        </w:numPr>
        <w:spacing w:after="60"/>
      </w:pPr>
      <w:r>
        <w:rPr>
          <w:rFonts w:ascii="Arial" w:cs="Arial" w:eastAsia="Arial" w:hAnsi="Arial"/>
          <w:color w:val="1A1A1A"/>
          <w:sz w:val="22"/>
          <w:szCs w:val="22"/>
        </w:rPr>
        <w:t xml:space="preserve">M&amp;A IT integration: Merging health systems, EHR consolidation strategies, data migration</w:t>
      </w:r>
    </w:p>
    <w:p>
      <w:pPr>
        <w:pStyle w:val="ListParagraph"/>
        <w:numPr>
          <w:ilvl w:val="0"/>
          <w:numId w:val="2"/>
        </w:numPr>
        <w:spacing w:after="60"/>
      </w:pPr>
      <w:r>
        <w:rPr>
          <w:rFonts w:ascii="Arial" w:cs="Arial" w:eastAsia="Arial" w:hAnsi="Arial"/>
          <w:color w:val="1A1A1A"/>
          <w:sz w:val="22"/>
          <w:szCs w:val="22"/>
        </w:rPr>
        <w:t xml:space="preserve">Program management: PMO structure, portfolio prioritization, resource management, benefits realization</w:t>
      </w:r>
    </w:p>
    <w:p>
      <w:pPr>
        <w:pStyle w:val="ListParagraph"/>
        <w:numPr>
          <w:ilvl w:val="0"/>
          <w:numId w:val="2"/>
        </w:numPr>
        <w:spacing w:after="60"/>
      </w:pPr>
      <w:r>
        <w:rPr>
          <w:rFonts w:ascii="Arial" w:cs="Arial" w:eastAsia="Arial" w:hAnsi="Arial"/>
          <w:color w:val="1A1A1A"/>
          <w:sz w:val="22"/>
          <w:szCs w:val="22"/>
        </w:rPr>
        <w:t xml:space="preserve">Budgeting and financial management: Capital vs. operating budgets, TCO analysis, ROI for health IT projects</w:t>
      </w:r>
    </w:p>
    <w:p>
      <w:pPr>
        <w:pStyle w:val="ListParagraph"/>
        <w:numPr>
          <w:ilvl w:val="0"/>
          <w:numId w:val="2"/>
        </w:numPr>
        <w:spacing w:after="60"/>
      </w:pPr>
      <w:r>
        <w:rPr>
          <w:rFonts w:ascii="Arial" w:cs="Arial" w:eastAsia="Arial" w:hAnsi="Arial"/>
          <w:color w:val="1A1A1A"/>
          <w:sz w:val="22"/>
          <w:szCs w:val="22"/>
        </w:rPr>
        <w:t xml:space="preserve">Vendor contract negotiation: Licensing models, SLA management, escalation procedures</w:t>
      </w:r>
    </w:p>
    <w:p>
      <w:pPr>
        <w:pStyle w:val="ListParagraph"/>
        <w:numPr>
          <w:ilvl w:val="0"/>
          <w:numId w:val="2"/>
        </w:numPr>
        <w:spacing w:after="60"/>
      </w:pPr>
      <w:r>
        <w:rPr>
          <w:rFonts w:ascii="Arial" w:cs="Arial" w:eastAsia="Arial" w:hAnsi="Arial"/>
          <w:color w:val="1A1A1A"/>
          <w:sz w:val="22"/>
          <w:szCs w:val="22"/>
        </w:rPr>
        <w:t xml:space="preserve">Risk management for health IT programs: Clinical risk, project risk, regulatory risk</w:t>
      </w:r>
    </w:p>
    <w:p>
      <w:pPr>
        <w:pStyle w:val="ListParagraph"/>
        <w:numPr>
          <w:ilvl w:val="0"/>
          <w:numId w:val="2"/>
        </w:numPr>
        <w:spacing w:after="60"/>
      </w:pPr>
      <w:r>
        <w:rPr>
          <w:rFonts w:ascii="Arial" w:cs="Arial" w:eastAsia="Arial" w:hAnsi="Arial"/>
          <w:color w:val="1A1A1A"/>
          <w:sz w:val="22"/>
          <w:szCs w:val="22"/>
        </w:rPr>
        <w:t xml:space="preserve">Stakeholder management: C-suite engagement, physician leadership, board reporting</w:t>
      </w:r>
    </w:p>
    <w:p>
      <w:pPr>
        <w:pStyle w:val="Heading2"/>
        <w:spacing w:after="150" w:before="300"/>
      </w:pPr>
      <w:r>
        <w:rPr>
          <w:rFonts w:ascii="Arial" w:cs="Arial" w:eastAsia="Arial" w:hAnsi="Arial"/>
          <w:b/>
          <w:bCs/>
          <w:color w:val="2A7B88"/>
          <w:sz w:val="28"/>
          <w:szCs w:val="28"/>
        </w:rPr>
        <w:t xml:space="preserve">6.4 Emerging Trends &amp; Future of Health IT</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Ambient AI and the autonomous clinical documentation future</w:t>
      </w:r>
    </w:p>
    <w:p>
      <w:pPr>
        <w:pStyle w:val="ListParagraph"/>
        <w:numPr>
          <w:ilvl w:val="0"/>
          <w:numId w:val="2"/>
        </w:numPr>
        <w:spacing w:after="60"/>
      </w:pPr>
      <w:r>
        <w:rPr>
          <w:rFonts w:ascii="Arial" w:cs="Arial" w:eastAsia="Arial" w:hAnsi="Arial"/>
          <w:color w:val="1A1A1A"/>
          <w:sz w:val="22"/>
          <w:szCs w:val="22"/>
        </w:rPr>
        <w:t xml:space="preserve">AI-powered clinical decision support: From alerts to AI copilots for clinicians</w:t>
      </w:r>
    </w:p>
    <w:p>
      <w:pPr>
        <w:pStyle w:val="ListParagraph"/>
        <w:numPr>
          <w:ilvl w:val="0"/>
          <w:numId w:val="2"/>
        </w:numPr>
        <w:spacing w:after="60"/>
      </w:pPr>
      <w:r>
        <w:rPr>
          <w:rFonts w:ascii="Arial" w:cs="Arial" w:eastAsia="Arial" w:hAnsi="Arial"/>
          <w:color w:val="1A1A1A"/>
          <w:sz w:val="22"/>
          <w:szCs w:val="22"/>
        </w:rPr>
        <w:t xml:space="preserve">Autonomous coding and billing: AI-driven revenue cycle automation</w:t>
      </w:r>
    </w:p>
    <w:p>
      <w:pPr>
        <w:pStyle w:val="ListParagraph"/>
        <w:numPr>
          <w:ilvl w:val="0"/>
          <w:numId w:val="2"/>
        </w:numPr>
        <w:spacing w:after="60"/>
      </w:pPr>
      <w:r>
        <w:rPr>
          <w:rFonts w:ascii="Arial" w:cs="Arial" w:eastAsia="Arial" w:hAnsi="Arial"/>
          <w:color w:val="1A1A1A"/>
          <w:sz w:val="22"/>
          <w:szCs w:val="22"/>
        </w:rPr>
        <w:t xml:space="preserve">Blockchain in healthcare: Credentialing, supply chain, consent management, clinical trials</w:t>
      </w:r>
    </w:p>
    <w:p>
      <w:pPr>
        <w:pStyle w:val="ListParagraph"/>
        <w:numPr>
          <w:ilvl w:val="0"/>
          <w:numId w:val="2"/>
        </w:numPr>
        <w:spacing w:after="60"/>
      </w:pPr>
      <w:r>
        <w:rPr>
          <w:rFonts w:ascii="Arial" w:cs="Arial" w:eastAsia="Arial" w:hAnsi="Arial"/>
          <w:color w:val="1A1A1A"/>
          <w:sz w:val="22"/>
          <w:szCs w:val="22"/>
        </w:rPr>
        <w:t xml:space="preserve">Edge computing and 5G in healthcare: Real-time monitoring, surgical robotics, connected ambulances</w:t>
      </w:r>
    </w:p>
    <w:p>
      <w:pPr>
        <w:pStyle w:val="ListParagraph"/>
        <w:numPr>
          <w:ilvl w:val="0"/>
          <w:numId w:val="2"/>
        </w:numPr>
        <w:spacing w:after="60"/>
      </w:pPr>
      <w:r>
        <w:rPr>
          <w:rFonts w:ascii="Arial" w:cs="Arial" w:eastAsia="Arial" w:hAnsi="Arial"/>
          <w:color w:val="1A1A1A"/>
          <w:sz w:val="22"/>
          <w:szCs w:val="22"/>
        </w:rPr>
        <w:t xml:space="preserve">Digital twins in healthcare: Patient digital twins for personalized treatment modeling</w:t>
      </w:r>
    </w:p>
    <w:p>
      <w:pPr>
        <w:pStyle w:val="ListParagraph"/>
        <w:numPr>
          <w:ilvl w:val="0"/>
          <w:numId w:val="2"/>
        </w:numPr>
        <w:spacing w:after="60"/>
      </w:pPr>
      <w:r>
        <w:rPr>
          <w:rFonts w:ascii="Arial" w:cs="Arial" w:eastAsia="Arial" w:hAnsi="Arial"/>
          <w:color w:val="1A1A1A"/>
          <w:sz w:val="22"/>
          <w:szCs w:val="22"/>
        </w:rPr>
        <w:t xml:space="preserve">Quantum computing potential: Drug discovery, genomics, complex optimization</w:t>
      </w:r>
    </w:p>
    <w:p>
      <w:pPr>
        <w:pStyle w:val="ListParagraph"/>
        <w:numPr>
          <w:ilvl w:val="0"/>
          <w:numId w:val="2"/>
        </w:numPr>
        <w:spacing w:after="60"/>
      </w:pPr>
      <w:r>
        <w:rPr>
          <w:rFonts w:ascii="Arial" w:cs="Arial" w:eastAsia="Arial" w:hAnsi="Arial"/>
          <w:color w:val="1A1A1A"/>
          <w:sz w:val="22"/>
          <w:szCs w:val="22"/>
        </w:rPr>
        <w:t xml:space="preserve">Healthcare in the metaverse: VR surgical training, virtual rehabilitation, immersive patient education</w:t>
      </w:r>
    </w:p>
    <w:p>
      <w:pPr>
        <w:pStyle w:val="ListParagraph"/>
        <w:numPr>
          <w:ilvl w:val="0"/>
          <w:numId w:val="2"/>
        </w:numPr>
        <w:spacing w:after="60"/>
      </w:pPr>
      <w:r>
        <w:rPr>
          <w:rFonts w:ascii="Arial" w:cs="Arial" w:eastAsia="Arial" w:hAnsi="Arial"/>
          <w:color w:val="1A1A1A"/>
          <w:sz w:val="22"/>
          <w:szCs w:val="22"/>
        </w:rPr>
        <w:t xml:space="preserve">Decentralized clinical trials and site-less research models</w:t>
      </w:r>
    </w:p>
    <w:p>
      <w:pPr>
        <w:pStyle w:val="ListParagraph"/>
        <w:numPr>
          <w:ilvl w:val="0"/>
          <w:numId w:val="2"/>
        </w:numPr>
        <w:spacing w:after="60"/>
      </w:pPr>
      <w:r>
        <w:rPr>
          <w:rFonts w:ascii="Arial" w:cs="Arial" w:eastAsia="Arial" w:hAnsi="Arial"/>
          <w:color w:val="1A1A1A"/>
          <w:sz w:val="22"/>
          <w:szCs w:val="22"/>
        </w:rPr>
        <w:t xml:space="preserve">Global health informatics: WHO Digital Health Strategy, FHIR adoption worldwide, cross-border health data</w:t>
      </w:r>
    </w:p>
    <w:p>
      <w:pPr>
        <w:pStyle w:val="ListParagraph"/>
        <w:numPr>
          <w:ilvl w:val="0"/>
          <w:numId w:val="2"/>
        </w:numPr>
        <w:spacing w:after="60"/>
      </w:pPr>
      <w:r>
        <w:rPr>
          <w:rFonts w:ascii="Arial" w:cs="Arial" w:eastAsia="Arial" w:hAnsi="Arial"/>
          <w:color w:val="1A1A1A"/>
          <w:sz w:val="22"/>
          <w:szCs w:val="22"/>
        </w:rPr>
        <w:t xml:space="preserve">Healthcare workforce of the future: AI augmentation, new roles (data scientists, informaticists, digital navigators)</w:t>
      </w:r>
    </w:p>
    <w:p>
      <w:pPr>
        <w:pStyle w:val="Heading2"/>
        <w:spacing w:after="150" w:before="300"/>
      </w:pPr>
      <w:r>
        <w:rPr>
          <w:rFonts w:ascii="Arial" w:cs="Arial" w:eastAsia="Arial" w:hAnsi="Arial"/>
          <w:b/>
          <w:bCs/>
          <w:color w:val="2A7B88"/>
          <w:sz w:val="28"/>
          <w:szCs w:val="28"/>
        </w:rPr>
        <w:t xml:space="preserve">6.5 Quality Improvement &amp; Performance Excellence</w:t>
      </w:r>
    </w:p>
    <w:p>
      <w:pPr>
        <w:spacing w:after="120"/>
      </w:pPr>
      <w:r>
        <w:rPr>
          <w:rFonts w:ascii="Arial" w:cs="Arial" w:eastAsia="Arial" w:hAnsi="Arial"/>
          <w:color w:val="1A1A1A"/>
          <w:sz w:val="22"/>
          <w:szCs w:val="22"/>
        </w:rPr>
        <w:t xml:space="preserve">Health IT leaders must understand and drive quality improvement methodologies. Technology enables quality measurement, but improvement requires structured approaches and organizational discipline.</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Root cause analysis (RCA): Structured problem-solving for IT-related patient safety events, fishbone diagrams, 5 Whys</w:t>
      </w:r>
    </w:p>
    <w:p>
      <w:pPr>
        <w:pStyle w:val="ListParagraph"/>
        <w:numPr>
          <w:ilvl w:val="0"/>
          <w:numId w:val="2"/>
        </w:numPr>
        <w:spacing w:after="60"/>
      </w:pPr>
      <w:r>
        <w:rPr>
          <w:rFonts w:ascii="Arial" w:cs="Arial" w:eastAsia="Arial" w:hAnsi="Arial"/>
          <w:color w:val="1A1A1A"/>
          <w:sz w:val="22"/>
          <w:szCs w:val="22"/>
        </w:rPr>
        <w:t xml:space="preserve">Plan-Do-Study-Act (PDSA) cycles: Rapid improvement methodology applied to health IT optimization and workflow redesign</w:t>
      </w:r>
    </w:p>
    <w:p>
      <w:pPr>
        <w:pStyle w:val="ListParagraph"/>
        <w:numPr>
          <w:ilvl w:val="0"/>
          <w:numId w:val="2"/>
        </w:numPr>
        <w:spacing w:after="60"/>
      </w:pPr>
      <w:r>
        <w:rPr>
          <w:rFonts w:ascii="Arial" w:cs="Arial" w:eastAsia="Arial" w:hAnsi="Arial"/>
          <w:color w:val="1A1A1A"/>
          <w:sz w:val="22"/>
          <w:szCs w:val="22"/>
        </w:rPr>
        <w:t xml:space="preserve">Lean healthcare: Value stream mapping for clinical workflows, waste elimination in IT-supported processes, Kaizen events</w:t>
      </w:r>
    </w:p>
    <w:p>
      <w:pPr>
        <w:pStyle w:val="ListParagraph"/>
        <w:numPr>
          <w:ilvl w:val="0"/>
          <w:numId w:val="2"/>
        </w:numPr>
        <w:spacing w:after="60"/>
      </w:pPr>
      <w:r>
        <w:rPr>
          <w:rFonts w:ascii="Arial" w:cs="Arial" w:eastAsia="Arial" w:hAnsi="Arial"/>
          <w:color w:val="1A1A1A"/>
          <w:sz w:val="22"/>
          <w:szCs w:val="22"/>
        </w:rPr>
        <w:t xml:space="preserve">Six Sigma in healthcare: DMAIC methodology for reducing variation, process capability analysis, statistical process control for IT metrics</w:t>
      </w:r>
    </w:p>
    <w:p>
      <w:pPr>
        <w:pStyle w:val="ListParagraph"/>
        <w:numPr>
          <w:ilvl w:val="0"/>
          <w:numId w:val="2"/>
        </w:numPr>
        <w:spacing w:after="60"/>
      </w:pPr>
      <w:r>
        <w:rPr>
          <w:rFonts w:ascii="Arial" w:cs="Arial" w:eastAsia="Arial" w:hAnsi="Arial"/>
          <w:color w:val="1A1A1A"/>
          <w:sz w:val="22"/>
          <w:szCs w:val="22"/>
        </w:rPr>
        <w:t xml:space="preserve">Baldrige Excellence Framework for healthcare: Organizational performance assessment and improvement</w:t>
      </w:r>
    </w:p>
    <w:p>
      <w:pPr>
        <w:pStyle w:val="ListParagraph"/>
        <w:numPr>
          <w:ilvl w:val="0"/>
          <w:numId w:val="2"/>
        </w:numPr>
        <w:spacing w:after="60"/>
      </w:pPr>
      <w:r>
        <w:rPr>
          <w:rFonts w:ascii="Arial" w:cs="Arial" w:eastAsia="Arial" w:hAnsi="Arial"/>
          <w:color w:val="1A1A1A"/>
          <w:sz w:val="22"/>
          <w:szCs w:val="22"/>
        </w:rPr>
        <w:t xml:space="preserve">Clinical quality dashboards: Real-time quality metrics, CMS Star Ratings tracking, Leapfrog survey automation</w:t>
      </w:r>
    </w:p>
    <w:p>
      <w:pPr>
        <w:pStyle w:val="ListParagraph"/>
        <w:numPr>
          <w:ilvl w:val="0"/>
          <w:numId w:val="2"/>
        </w:numPr>
        <w:spacing w:after="60"/>
      </w:pPr>
      <w:r>
        <w:rPr>
          <w:rFonts w:ascii="Arial" w:cs="Arial" w:eastAsia="Arial" w:hAnsi="Arial"/>
          <w:color w:val="1A1A1A"/>
          <w:sz w:val="22"/>
          <w:szCs w:val="22"/>
        </w:rPr>
        <w:t xml:space="preserve">IT-enabled quality measurement: Automated eCQM extraction, quality registry submissions, benchmarking platforms</w:t>
      </w:r>
    </w:p>
    <w:p>
      <w:pPr>
        <w:pStyle w:val="ListParagraph"/>
        <w:numPr>
          <w:ilvl w:val="0"/>
          <w:numId w:val="2"/>
        </w:numPr>
        <w:spacing w:after="60"/>
      </w:pPr>
      <w:r>
        <w:rPr>
          <w:rFonts w:ascii="Arial" w:cs="Arial" w:eastAsia="Arial" w:hAnsi="Arial"/>
          <w:color w:val="1A1A1A"/>
          <w:sz w:val="22"/>
          <w:szCs w:val="22"/>
        </w:rPr>
        <w:t xml:space="preserve">Just culture and learning organizations: Balancing accountability with psychological safety, non-punitive error reporting systems</w:t>
      </w:r>
    </w:p>
    <w:p>
      <w:pPr>
        <w:pStyle w:val="Heading2"/>
        <w:spacing w:after="150" w:before="300"/>
      </w:pPr>
      <w:r>
        <w:rPr>
          <w:rFonts w:ascii="Arial" w:cs="Arial" w:eastAsia="Arial" w:hAnsi="Arial"/>
          <w:b/>
          <w:bCs/>
          <w:color w:val="2A7B88"/>
          <w:sz w:val="28"/>
          <w:szCs w:val="28"/>
        </w:rPr>
        <w:t xml:space="preserve">6.6 Training, Workforce Enablement &amp; Adoption</w:t>
      </w:r>
    </w:p>
    <w:p>
      <w:pPr>
        <w:spacing w:after="120"/>
      </w:pPr>
      <w:r>
        <w:rPr>
          <w:rFonts w:ascii="Arial" w:cs="Arial" w:eastAsia="Arial" w:hAnsi="Arial"/>
          <w:color w:val="1A1A1A"/>
          <w:sz w:val="22"/>
          <w:szCs w:val="22"/>
        </w:rPr>
        <w:t xml:space="preserve">Technology is only as effective as the people using it. Health IT leaders must build robust training ecosystems and drive sustained adoption across diverse clinical and administrative teams.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Role-based training design: Tailoring curricula for physicians, nurses, pharmacists, administrative staff, and IT support teams</w:t>
      </w:r>
    </w:p>
    <w:p>
      <w:pPr>
        <w:pStyle w:val="ListParagraph"/>
        <w:numPr>
          <w:ilvl w:val="0"/>
          <w:numId w:val="2"/>
        </w:numPr>
        <w:spacing w:after="60"/>
      </w:pPr>
      <w:r>
        <w:rPr>
          <w:rFonts w:ascii="Arial" w:cs="Arial" w:eastAsia="Arial" w:hAnsi="Arial"/>
          <w:color w:val="1A1A1A"/>
          <w:sz w:val="22"/>
          <w:szCs w:val="22"/>
        </w:rPr>
        <w:t xml:space="preserve">Super user and champion programs: Identifying, training, and empowering clinical super users to support peers and drive adoption</w:t>
      </w:r>
    </w:p>
    <w:p>
      <w:pPr>
        <w:pStyle w:val="ListParagraph"/>
        <w:numPr>
          <w:ilvl w:val="0"/>
          <w:numId w:val="2"/>
        </w:numPr>
        <w:spacing w:after="60"/>
      </w:pPr>
      <w:r>
        <w:rPr>
          <w:rFonts w:ascii="Arial" w:cs="Arial" w:eastAsia="Arial" w:hAnsi="Arial"/>
          <w:color w:val="1A1A1A"/>
          <w:sz w:val="22"/>
          <w:szCs w:val="22"/>
        </w:rPr>
        <w:t xml:space="preserve">Learning Management Systems (LMS) in healthcare: HealthStream, Relias, vendor-specific training platforms (Epic UserWeb, Cerner uLearn)</w:t>
      </w:r>
    </w:p>
    <w:p>
      <w:pPr>
        <w:pStyle w:val="ListParagraph"/>
        <w:numPr>
          <w:ilvl w:val="0"/>
          <w:numId w:val="2"/>
        </w:numPr>
        <w:spacing w:after="60"/>
      </w:pPr>
      <w:r>
        <w:rPr>
          <w:rFonts w:ascii="Arial" w:cs="Arial" w:eastAsia="Arial" w:hAnsi="Arial"/>
          <w:color w:val="1A1A1A"/>
          <w:sz w:val="22"/>
          <w:szCs w:val="22"/>
        </w:rPr>
        <w:t xml:space="preserve">Go-live training strategies: Classroom training, eLearning modules, simulation labs, at-the-elbow support models</w:t>
      </w:r>
    </w:p>
    <w:p>
      <w:pPr>
        <w:pStyle w:val="ListParagraph"/>
        <w:numPr>
          <w:ilvl w:val="0"/>
          <w:numId w:val="2"/>
        </w:numPr>
        <w:spacing w:after="60"/>
      </w:pPr>
      <w:r>
        <w:rPr>
          <w:rFonts w:ascii="Arial" w:cs="Arial" w:eastAsia="Arial" w:hAnsi="Arial"/>
          <w:color w:val="1A1A1A"/>
          <w:sz w:val="22"/>
          <w:szCs w:val="22"/>
        </w:rPr>
        <w:t xml:space="preserve">Competency assessment and credentialing: Skills validation, proficiency testing, ongoing competency requirements</w:t>
      </w:r>
    </w:p>
    <w:p>
      <w:pPr>
        <w:pStyle w:val="ListParagraph"/>
        <w:numPr>
          <w:ilvl w:val="0"/>
          <w:numId w:val="2"/>
        </w:numPr>
        <w:spacing w:after="60"/>
      </w:pPr>
      <w:r>
        <w:rPr>
          <w:rFonts w:ascii="Arial" w:cs="Arial" w:eastAsia="Arial" w:hAnsi="Arial"/>
          <w:color w:val="1A1A1A"/>
          <w:sz w:val="22"/>
          <w:szCs w:val="22"/>
        </w:rPr>
        <w:t xml:space="preserve">Continuing education and knowledge sustainment: Tip sheets, micro-learning, update bulletins, refresher training for system upgrades</w:t>
      </w:r>
    </w:p>
    <w:p>
      <w:pPr>
        <w:pStyle w:val="ListParagraph"/>
        <w:numPr>
          <w:ilvl w:val="0"/>
          <w:numId w:val="2"/>
        </w:numPr>
        <w:spacing w:after="60"/>
      </w:pPr>
      <w:r>
        <w:rPr>
          <w:rFonts w:ascii="Arial" w:cs="Arial" w:eastAsia="Arial" w:hAnsi="Arial"/>
          <w:color w:val="1A1A1A"/>
          <w:sz w:val="22"/>
          <w:szCs w:val="22"/>
        </w:rPr>
        <w:t xml:space="preserve">Clinician engagement for technology adoption: Understanding resistance, change fatigue, cognitive burden, and motivational strategies</w:t>
      </w:r>
    </w:p>
    <w:p>
      <w:pPr>
        <w:pStyle w:val="ListParagraph"/>
        <w:numPr>
          <w:ilvl w:val="0"/>
          <w:numId w:val="2"/>
        </w:numPr>
        <w:spacing w:after="60"/>
      </w:pPr>
      <w:r>
        <w:rPr>
          <w:rFonts w:ascii="Arial" w:cs="Arial" w:eastAsia="Arial" w:hAnsi="Arial"/>
          <w:color w:val="1A1A1A"/>
          <w:sz w:val="22"/>
          <w:szCs w:val="22"/>
        </w:rPr>
        <w:t xml:space="preserve">Measuring training effectiveness: Adoption metrics, help desk ticket analysis, time-to-proficiency, clinical outcome correlation</w:t>
      </w:r>
    </w:p>
    <w:p>
      <w:pPr>
        <w:pStyle w:val="ListParagraph"/>
        <w:numPr>
          <w:ilvl w:val="0"/>
          <w:numId w:val="2"/>
        </w:numPr>
        <w:spacing w:after="60"/>
      </w:pPr>
      <w:r>
        <w:rPr>
          <w:rFonts w:ascii="Arial" w:cs="Arial" w:eastAsia="Arial" w:hAnsi="Arial"/>
          <w:color w:val="1A1A1A"/>
          <w:sz w:val="22"/>
          <w:szCs w:val="22"/>
        </w:rPr>
        <w:t xml:space="preserve">Train-the-trainer models: Scaling training capacity across multi-site health systems during implementations</w:t>
      </w:r>
    </w:p>
    <w:p>
      <w:pPr>
        <w:pStyle w:val="Heading2"/>
        <w:spacing w:after="150" w:before="300"/>
      </w:pPr>
      <w:r>
        <w:rPr>
          <w:rFonts w:ascii="Arial" w:cs="Arial" w:eastAsia="Arial" w:hAnsi="Arial"/>
          <w:b/>
          <w:bCs/>
          <w:color w:val="2A7B88"/>
          <w:sz w:val="28"/>
          <w:szCs w:val="28"/>
        </w:rPr>
        <w:t xml:space="preserve">6.7 Healthcare Product Management</w:t>
      </w:r>
    </w:p>
    <w:p>
      <w:pPr>
        <w:spacing w:after="120"/>
      </w:pPr>
      <w:r>
        <w:rPr>
          <w:rFonts w:ascii="Arial" w:cs="Arial" w:eastAsia="Arial" w:hAnsi="Arial"/>
          <w:color w:val="1A1A1A"/>
          <w:sz w:val="22"/>
          <w:szCs w:val="22"/>
        </w:rPr>
        <w:t xml:space="preserve">As healthcare organizations increasingly build or configure custom digital products, product management skills become essential for health IT leaders.</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Clinical product discovery: Identifying clinician pain points, shadowing workflows, translating clinical needs into product requirements</w:t>
      </w:r>
    </w:p>
    <w:p>
      <w:pPr>
        <w:pStyle w:val="ListParagraph"/>
        <w:numPr>
          <w:ilvl w:val="0"/>
          <w:numId w:val="2"/>
        </w:numPr>
        <w:spacing w:after="60"/>
      </w:pPr>
      <w:r>
        <w:rPr>
          <w:rFonts w:ascii="Arial" w:cs="Arial" w:eastAsia="Arial" w:hAnsi="Arial"/>
          <w:color w:val="1A1A1A"/>
          <w:sz w:val="22"/>
          <w:szCs w:val="22"/>
        </w:rPr>
        <w:t xml:space="preserve">Regulatory-aware product roadmaps: Incorporating FDA, HIPAA, and ONC compliance milestones into product timelines</w:t>
      </w:r>
    </w:p>
    <w:p>
      <w:pPr>
        <w:pStyle w:val="ListParagraph"/>
        <w:numPr>
          <w:ilvl w:val="0"/>
          <w:numId w:val="2"/>
        </w:numPr>
        <w:spacing w:after="60"/>
      </w:pPr>
      <w:r>
        <w:rPr>
          <w:rFonts w:ascii="Arial" w:cs="Arial" w:eastAsia="Arial" w:hAnsi="Arial"/>
          <w:color w:val="1A1A1A"/>
          <w:sz w:val="22"/>
          <w:szCs w:val="22"/>
        </w:rPr>
        <w:t xml:space="preserve">Product lifecycle management for health IT: From concept through development, launch, adoption, optimization, and sunsetting</w:t>
      </w:r>
    </w:p>
    <w:p>
      <w:pPr>
        <w:pStyle w:val="ListParagraph"/>
        <w:numPr>
          <w:ilvl w:val="0"/>
          <w:numId w:val="2"/>
        </w:numPr>
        <w:spacing w:after="60"/>
      </w:pPr>
      <w:r>
        <w:rPr>
          <w:rFonts w:ascii="Arial" w:cs="Arial" w:eastAsia="Arial" w:hAnsi="Arial"/>
          <w:color w:val="1A1A1A"/>
          <w:sz w:val="22"/>
          <w:szCs w:val="22"/>
        </w:rPr>
        <w:t xml:space="preserve">Agile product management in healthcare: Sprint planning with clinical stakeholders, managing competing clinical and regulatory priorities</w:t>
      </w:r>
    </w:p>
    <w:p>
      <w:pPr>
        <w:pStyle w:val="ListParagraph"/>
        <w:numPr>
          <w:ilvl w:val="0"/>
          <w:numId w:val="2"/>
        </w:numPr>
        <w:spacing w:after="60"/>
      </w:pPr>
      <w:r>
        <w:rPr>
          <w:rFonts w:ascii="Arial" w:cs="Arial" w:eastAsia="Arial" w:hAnsi="Arial"/>
          <w:color w:val="1A1A1A"/>
          <w:sz w:val="22"/>
          <w:szCs w:val="22"/>
        </w:rPr>
        <w:t xml:space="preserve">Digital health product strategy: Build vs. buy vs. partner decisions, platform extensibility, marketplace models (Epic App Orchard, Cerner Code)</w:t>
      </w:r>
    </w:p>
    <w:p>
      <w:pPr>
        <w:pStyle w:val="ListParagraph"/>
        <w:numPr>
          <w:ilvl w:val="0"/>
          <w:numId w:val="2"/>
        </w:numPr>
        <w:spacing w:after="60"/>
      </w:pPr>
      <w:r>
        <w:rPr>
          <w:rFonts w:ascii="Arial" w:cs="Arial" w:eastAsia="Arial" w:hAnsi="Arial"/>
          <w:color w:val="1A1A1A"/>
          <w:sz w:val="22"/>
          <w:szCs w:val="22"/>
        </w:rPr>
        <w:t xml:space="preserve">Clinical validation and evidence generation: Designing clinical studies to demonstrate product effectiveness, publishing outcomes</w:t>
      </w:r>
    </w:p>
    <w:p>
      <w:pPr>
        <w:pStyle w:val="ListParagraph"/>
        <w:numPr>
          <w:ilvl w:val="0"/>
          <w:numId w:val="2"/>
        </w:numPr>
        <w:spacing w:after="60"/>
      </w:pPr>
      <w:r>
        <w:rPr>
          <w:rFonts w:ascii="Arial" w:cs="Arial" w:eastAsia="Arial" w:hAnsi="Arial"/>
          <w:color w:val="1A1A1A"/>
          <w:sz w:val="22"/>
          <w:szCs w:val="22"/>
        </w:rPr>
        <w:t xml:space="preserve">Product analytics for healthcare: Feature usage tracking, clinical outcome measurement, user satisfaction (Net Promoter Score for clinicians)</w:t>
      </w:r>
    </w:p>
    <w:p>
      <w:pPr>
        <w:pStyle w:val="ListParagraph"/>
        <w:numPr>
          <w:ilvl w:val="0"/>
          <w:numId w:val="2"/>
        </w:numPr>
        <w:spacing w:after="60"/>
      </w:pPr>
      <w:r>
        <w:rPr>
          <w:rFonts w:ascii="Arial" w:cs="Arial" w:eastAsia="Arial" w:hAnsi="Arial"/>
          <w:color w:val="1A1A1A"/>
          <w:sz w:val="22"/>
          <w:szCs w:val="22"/>
        </w:rPr>
        <w:t xml:space="preserve">Health IT product compliance: HIPAA risk assessments, SOC 2 readiness, HITRUST certification planning for product teams</w:t>
      </w:r>
    </w:p>
    <w:p>
      <w:pPr>
        <w:pStyle w:val="Heading2"/>
        <w:spacing w:after="150" w:before="300"/>
      </w:pPr>
      <w:r>
        <w:rPr>
          <w:rFonts w:ascii="Arial" w:cs="Arial" w:eastAsia="Arial" w:hAnsi="Arial"/>
          <w:b/>
          <w:bCs/>
          <w:color w:val="2A7B88"/>
          <w:sz w:val="28"/>
          <w:szCs w:val="28"/>
        </w:rPr>
        <w:t xml:space="preserve">6.8 Global Regulatory Frameworks</w:t>
      </w:r>
    </w:p>
    <w:p>
      <w:pPr>
        <w:spacing w:after="120"/>
      </w:pPr>
      <w:r>
        <w:rPr>
          <w:rFonts w:ascii="Arial" w:cs="Arial" w:eastAsia="Arial" w:hAnsi="Arial"/>
          <w:color w:val="1A1A1A"/>
          <w:sz w:val="22"/>
          <w:szCs w:val="22"/>
        </w:rPr>
        <w:t xml:space="preserve">For IT professionals working in multinational health systems, health tech companies, or life sciences, understanding global regulatory landscapes is increasingly essential.</w:t>
      </w: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GDPR (General Data Protection Regulation): EU data protection requirements for health data, data subject rights, cross-border data transfers, Data Protection Impact Assessments (DPIAs)</w:t>
      </w:r>
    </w:p>
    <w:p>
      <w:pPr>
        <w:pStyle w:val="ListParagraph"/>
        <w:numPr>
          <w:ilvl w:val="0"/>
          <w:numId w:val="2"/>
        </w:numPr>
        <w:spacing w:after="60"/>
      </w:pPr>
      <w:r>
        <w:rPr>
          <w:rFonts w:ascii="Arial" w:cs="Arial" w:eastAsia="Arial" w:hAnsi="Arial"/>
          <w:color w:val="1A1A1A"/>
          <w:sz w:val="22"/>
          <w:szCs w:val="22"/>
        </w:rPr>
        <w:t xml:space="preserve">NHS Digital and UK health IT standards: NHS Data Security and Protection Toolkit, SNOMED CT in NHS, NHS Spine, GP Connect, UK Conformance Assessment Scheme</w:t>
      </w:r>
    </w:p>
    <w:p>
      <w:pPr>
        <w:pStyle w:val="ListParagraph"/>
        <w:numPr>
          <w:ilvl w:val="0"/>
          <w:numId w:val="2"/>
        </w:numPr>
        <w:spacing w:after="60"/>
      </w:pPr>
      <w:r>
        <w:rPr>
          <w:rFonts w:ascii="Arial" w:cs="Arial" w:eastAsia="Arial" w:hAnsi="Arial"/>
          <w:color w:val="1A1A1A"/>
          <w:sz w:val="22"/>
          <w:szCs w:val="22"/>
        </w:rPr>
        <w:t xml:space="preserve">ISO 13485: Quality management systems for medical devices, applicable to Software as a Medical Device (SaMD) development</w:t>
      </w:r>
    </w:p>
    <w:p>
      <w:pPr>
        <w:pStyle w:val="ListParagraph"/>
        <w:numPr>
          <w:ilvl w:val="0"/>
          <w:numId w:val="2"/>
        </w:numPr>
        <w:spacing w:after="60"/>
      </w:pPr>
      <w:r>
        <w:rPr>
          <w:rFonts w:ascii="Arial" w:cs="Arial" w:eastAsia="Arial" w:hAnsi="Arial"/>
          <w:color w:val="1A1A1A"/>
          <w:sz w:val="22"/>
          <w:szCs w:val="22"/>
        </w:rPr>
        <w:t xml:space="preserve">IEC 62304: Medical device software lifecycle processes, software safety classification, maintenance planning</w:t>
      </w:r>
    </w:p>
    <w:p>
      <w:pPr>
        <w:pStyle w:val="ListParagraph"/>
        <w:numPr>
          <w:ilvl w:val="0"/>
          <w:numId w:val="2"/>
        </w:numPr>
        <w:spacing w:after="60"/>
      </w:pPr>
      <w:r>
        <w:rPr>
          <w:rFonts w:ascii="Arial" w:cs="Arial" w:eastAsia="Arial" w:hAnsi="Arial"/>
          <w:color w:val="1A1A1A"/>
          <w:sz w:val="22"/>
          <w:szCs w:val="22"/>
        </w:rPr>
        <w:t xml:space="preserve">EU Medical Device Regulation (MDR) and In Vitro Diagnostic Regulation (IVDR): CE marking, notified body assessments, post-market surveillance for health IT</w:t>
      </w:r>
    </w:p>
    <w:p>
      <w:pPr>
        <w:pStyle w:val="ListParagraph"/>
        <w:numPr>
          <w:ilvl w:val="0"/>
          <w:numId w:val="2"/>
        </w:numPr>
        <w:spacing w:after="60"/>
      </w:pPr>
      <w:r>
        <w:rPr>
          <w:rFonts w:ascii="Arial" w:cs="Arial" w:eastAsia="Arial" w:hAnsi="Arial"/>
          <w:color w:val="1A1A1A"/>
          <w:sz w:val="22"/>
          <w:szCs w:val="22"/>
        </w:rPr>
        <w:t xml:space="preserve">Health Canada digital health regulations: Software licensing framework, privacy legislation (PIPEDA, provincial laws)</w:t>
      </w:r>
    </w:p>
    <w:p>
      <w:pPr>
        <w:pStyle w:val="ListParagraph"/>
        <w:numPr>
          <w:ilvl w:val="0"/>
          <w:numId w:val="2"/>
        </w:numPr>
        <w:spacing w:after="60"/>
      </w:pPr>
      <w:r>
        <w:rPr>
          <w:rFonts w:ascii="Arial" w:cs="Arial" w:eastAsia="Arial" w:hAnsi="Arial"/>
          <w:color w:val="1A1A1A"/>
          <w:sz w:val="22"/>
          <w:szCs w:val="22"/>
        </w:rPr>
        <w:t xml:space="preserve">Australia’s Therapeutic Goods Administration (TGA): Software-based medical device regulation, My Health Record system</w:t>
      </w:r>
    </w:p>
    <w:p>
      <w:pPr>
        <w:pStyle w:val="ListParagraph"/>
        <w:numPr>
          <w:ilvl w:val="0"/>
          <w:numId w:val="2"/>
        </w:numPr>
        <w:spacing w:after="60"/>
      </w:pPr>
      <w:r>
        <w:rPr>
          <w:rFonts w:ascii="Arial" w:cs="Arial" w:eastAsia="Arial" w:hAnsi="Arial"/>
          <w:color w:val="1A1A1A"/>
          <w:sz w:val="22"/>
          <w:szCs w:val="22"/>
        </w:rPr>
        <w:t xml:space="preserve">Cross-border health data exchange: International patient summary standards (IPS), HL7 FHIR adoption globally, EU Health Data Space (EHDS)</w:t>
      </w:r>
    </w:p>
    <w:p>
      <w:pPr>
        <w:pStyle w:val="ListParagraph"/>
        <w:numPr>
          <w:ilvl w:val="0"/>
          <w:numId w:val="2"/>
        </w:numPr>
        <w:spacing w:after="60"/>
      </w:pPr>
      <w:r>
        <w:rPr>
          <w:rFonts w:ascii="Arial" w:cs="Arial" w:eastAsia="Arial" w:hAnsi="Arial"/>
          <w:color w:val="1A1A1A"/>
          <w:sz w:val="22"/>
          <w:szCs w:val="22"/>
        </w:rPr>
        <w:t xml:space="preserve">WHO Digital Health Strategy: Global frameworks for digital health maturity, digital health investment guidelines, health data governance principles</w:t>
      </w:r>
    </w:p>
    <w:p>
      <w:r>
        <w:br w:type="page"/>
      </w:r>
    </w:p>
    <w:p>
      <w:pPr>
        <w:pStyle w:val="Heading1"/>
        <w:spacing w:after="200" w:before="400"/>
      </w:pPr>
      <w:r>
        <w:rPr>
          <w:rFonts w:ascii="Arial" w:cs="Arial" w:eastAsia="Arial" w:hAnsi="Arial"/>
          <w:b/>
          <w:bCs/>
          <w:color w:val="1B3A5C"/>
          <w:sz w:val="36"/>
          <w:szCs w:val="36"/>
        </w:rPr>
        <w:t xml:space="preserve">Career Pathways in Health IT</w:t>
      </w:r>
    </w:p>
    <w:p>
      <w:pPr>
        <w:spacing w:after="120"/>
      </w:pPr>
      <w:r>
        <w:rPr>
          <w:rFonts w:ascii="Arial" w:cs="Arial" w:eastAsia="Arial" w:hAnsi="Arial"/>
          <w:color w:val="1A1A1A"/>
          <w:sz w:val="22"/>
          <w:szCs w:val="22"/>
        </w:rPr>
        <w:t xml:space="preserve">Healthcare IT offers diverse career trajectories spanning clinical, technical, and leadership domains. Understanding these pathways helps you make strategic career decisions and build relevant skills at each stage.</w:t>
      </w:r>
    </w:p>
    <w:p>
      <w:pPr>
        <w:pBdr>
          <w:bottom w:val="single" w:color="2A7B88" w:sz="6" w:space="1"/>
        </w:pBdr>
        <w:spacing w:after="200" w:before="200"/>
      </w:pPr>
    </w:p>
    <w:p>
      <w:pPr>
        <w:pStyle w:val="Heading2"/>
        <w:spacing w:after="150" w:before="300"/>
      </w:pPr>
      <w:r>
        <w:rPr>
          <w:rFonts w:ascii="Arial" w:cs="Arial" w:eastAsia="Arial" w:hAnsi="Arial"/>
          <w:b/>
          <w:bCs/>
          <w:color w:val="2A7B88"/>
          <w:sz w:val="28"/>
          <w:szCs w:val="28"/>
        </w:rPr>
        <w:t xml:space="preserve">Clinical/Informatics Track</w:t>
      </w:r>
    </w:p>
    <w:p>
      <w:pPr>
        <w:pStyle w:val="ListParagraph"/>
        <w:numPr>
          <w:ilvl w:val="0"/>
          <w:numId w:val="2"/>
        </w:numPr>
        <w:spacing w:after="60"/>
      </w:pPr>
      <w:r>
        <w:rPr>
          <w:rFonts w:ascii="Arial" w:cs="Arial" w:eastAsia="Arial" w:hAnsi="Arial"/>
          <w:color w:val="1A1A1A"/>
          <w:sz w:val="22"/>
          <w:szCs w:val="22"/>
        </w:rPr>
        <w:t xml:space="preserve">Clinical Analyst → Senior Clinical Analyst → Clinical Informatics Manager → Chief Medical Information Officer (CMIO)</w:t>
      </w:r>
    </w:p>
    <w:p>
      <w:pPr>
        <w:pStyle w:val="ListParagraph"/>
        <w:numPr>
          <w:ilvl w:val="0"/>
          <w:numId w:val="2"/>
        </w:numPr>
        <w:spacing w:after="60"/>
      </w:pPr>
      <w:r>
        <w:rPr>
          <w:rFonts w:ascii="Arial" w:cs="Arial" w:eastAsia="Arial" w:hAnsi="Arial"/>
          <w:color w:val="1A1A1A"/>
          <w:sz w:val="22"/>
          <w:szCs w:val="22"/>
        </w:rPr>
        <w:t xml:space="preserve">Core skills: EHR configuration, clinical workflow analysis, CDS design, clinical governance, physician engagement</w:t>
      </w:r>
    </w:p>
    <w:p>
      <w:pPr>
        <w:pStyle w:val="ListParagraph"/>
        <w:numPr>
          <w:ilvl w:val="0"/>
          <w:numId w:val="2"/>
        </w:numPr>
        <w:spacing w:after="60"/>
      </w:pPr>
      <w:r>
        <w:rPr>
          <w:rFonts w:ascii="Arial" w:cs="Arial" w:eastAsia="Arial" w:hAnsi="Arial"/>
          <w:color w:val="1A1A1A"/>
          <w:sz w:val="22"/>
          <w:szCs w:val="22"/>
        </w:rPr>
        <w:t xml:space="preserve">Relevant certifications: CPHIMS, Clinical Informatics Board Certification, Epic/Cerner module certifications</w:t>
      </w:r>
    </w:p>
    <w:p>
      <w:pPr>
        <w:pStyle w:val="Heading2"/>
        <w:spacing w:after="150" w:before="300"/>
      </w:pPr>
      <w:r>
        <w:rPr>
          <w:rFonts w:ascii="Arial" w:cs="Arial" w:eastAsia="Arial" w:hAnsi="Arial"/>
          <w:b/>
          <w:bCs/>
          <w:color w:val="2A7B88"/>
          <w:sz w:val="28"/>
          <w:szCs w:val="28"/>
        </w:rPr>
        <w:t xml:space="preserve">Integration &amp; Interoperability Track</w:t>
      </w:r>
    </w:p>
    <w:p>
      <w:pPr>
        <w:pStyle w:val="ListParagraph"/>
        <w:numPr>
          <w:ilvl w:val="0"/>
          <w:numId w:val="2"/>
        </w:numPr>
        <w:spacing w:after="60"/>
      </w:pPr>
      <w:r>
        <w:rPr>
          <w:rFonts w:ascii="Arial" w:cs="Arial" w:eastAsia="Arial" w:hAnsi="Arial"/>
          <w:color w:val="1A1A1A"/>
          <w:sz w:val="22"/>
          <w:szCs w:val="22"/>
        </w:rPr>
        <w:t xml:space="preserve">Interface Analyst → Integration Engineer → Senior Integration Architect → Chief Integration Officer / VP of Interoperability</w:t>
      </w:r>
    </w:p>
    <w:p>
      <w:pPr>
        <w:pStyle w:val="ListParagraph"/>
        <w:numPr>
          <w:ilvl w:val="0"/>
          <w:numId w:val="2"/>
        </w:numPr>
        <w:spacing w:after="60"/>
      </w:pPr>
      <w:r>
        <w:rPr>
          <w:rFonts w:ascii="Arial" w:cs="Arial" w:eastAsia="Arial" w:hAnsi="Arial"/>
          <w:color w:val="1A1A1A"/>
          <w:sz w:val="22"/>
          <w:szCs w:val="22"/>
        </w:rPr>
        <w:t xml:space="preserve">Core skills: HL7 v2.x, FHIR, integration engines (Mirth, Rhapsody), API design, data mapping, HIE connectivity</w:t>
      </w:r>
    </w:p>
    <w:p>
      <w:pPr>
        <w:pStyle w:val="ListParagraph"/>
        <w:numPr>
          <w:ilvl w:val="0"/>
          <w:numId w:val="2"/>
        </w:numPr>
        <w:spacing w:after="60"/>
      </w:pPr>
      <w:r>
        <w:rPr>
          <w:rFonts w:ascii="Arial" w:cs="Arial" w:eastAsia="Arial" w:hAnsi="Arial"/>
          <w:color w:val="1A1A1A"/>
          <w:sz w:val="22"/>
          <w:szCs w:val="22"/>
        </w:rPr>
        <w:t xml:space="preserve">Relevant certifications: HL7 FHIR Certification, cloud architecture certifications, IHE proficiency</w:t>
      </w:r>
    </w:p>
    <w:p>
      <w:pPr>
        <w:pStyle w:val="Heading2"/>
        <w:spacing w:after="150" w:before="300"/>
      </w:pPr>
      <w:r>
        <w:rPr>
          <w:rFonts w:ascii="Arial" w:cs="Arial" w:eastAsia="Arial" w:hAnsi="Arial"/>
          <w:b/>
          <w:bCs/>
          <w:color w:val="2A7B88"/>
          <w:sz w:val="28"/>
          <w:szCs w:val="28"/>
        </w:rPr>
        <w:t xml:space="preserve">Data &amp; Analytics Track</w:t>
      </w:r>
    </w:p>
    <w:p>
      <w:pPr>
        <w:pStyle w:val="ListParagraph"/>
        <w:numPr>
          <w:ilvl w:val="0"/>
          <w:numId w:val="2"/>
        </w:numPr>
        <w:spacing w:after="60"/>
      </w:pPr>
      <w:r>
        <w:rPr>
          <w:rFonts w:ascii="Arial" w:cs="Arial" w:eastAsia="Arial" w:hAnsi="Arial"/>
          <w:color w:val="1A1A1A"/>
          <w:sz w:val="22"/>
          <w:szCs w:val="22"/>
        </w:rPr>
        <w:t xml:space="preserve">Data Analyst → Healthcare Data Engineer → Senior Data Architect → Chief Data Officer (CDO) / Chief Analytics Officer (CAO)</w:t>
      </w:r>
    </w:p>
    <w:p>
      <w:pPr>
        <w:pStyle w:val="ListParagraph"/>
        <w:numPr>
          <w:ilvl w:val="0"/>
          <w:numId w:val="2"/>
        </w:numPr>
        <w:spacing w:after="60"/>
      </w:pPr>
      <w:r>
        <w:rPr>
          <w:rFonts w:ascii="Arial" w:cs="Arial" w:eastAsia="Arial" w:hAnsi="Arial"/>
          <w:color w:val="1A1A1A"/>
          <w:sz w:val="22"/>
          <w:szCs w:val="22"/>
        </w:rPr>
        <w:t xml:space="preserve">Core skills: SQL, Python/R, EDW design, OMOP CDM, clinical data modeling, BI tools, ML/AI, data governance</w:t>
      </w:r>
    </w:p>
    <w:p>
      <w:pPr>
        <w:pStyle w:val="ListParagraph"/>
        <w:numPr>
          <w:ilvl w:val="0"/>
          <w:numId w:val="2"/>
        </w:numPr>
        <w:spacing w:after="60"/>
      </w:pPr>
      <w:r>
        <w:rPr>
          <w:rFonts w:ascii="Arial" w:cs="Arial" w:eastAsia="Arial" w:hAnsi="Arial"/>
          <w:color w:val="1A1A1A"/>
          <w:sz w:val="22"/>
          <w:szCs w:val="22"/>
        </w:rPr>
        <w:t xml:space="preserve">Relevant certifications: Cloud data certifications (AWS/Azure/GCP), CPHIMS, RHIA</w:t>
      </w:r>
    </w:p>
    <w:p>
      <w:pPr>
        <w:pStyle w:val="Heading2"/>
        <w:spacing w:after="150" w:before="300"/>
      </w:pPr>
      <w:r>
        <w:rPr>
          <w:rFonts w:ascii="Arial" w:cs="Arial" w:eastAsia="Arial" w:hAnsi="Arial"/>
          <w:b/>
          <w:bCs/>
          <w:color w:val="2A7B88"/>
          <w:sz w:val="28"/>
          <w:szCs w:val="28"/>
        </w:rPr>
        <w:t xml:space="preserve">Infrastructure &amp; Security Track</w:t>
      </w:r>
    </w:p>
    <w:p>
      <w:pPr>
        <w:pStyle w:val="ListParagraph"/>
        <w:numPr>
          <w:ilvl w:val="0"/>
          <w:numId w:val="2"/>
        </w:numPr>
        <w:spacing w:after="60"/>
      </w:pPr>
      <w:r>
        <w:rPr>
          <w:rFonts w:ascii="Arial" w:cs="Arial" w:eastAsia="Arial" w:hAnsi="Arial"/>
          <w:color w:val="1A1A1A"/>
          <w:sz w:val="22"/>
          <w:szCs w:val="22"/>
        </w:rPr>
        <w:t xml:space="preserve">IT Support Specialist → Systems/Network Engineer → Security Analyst → CISO / VP of IT Security</w:t>
      </w:r>
    </w:p>
    <w:p>
      <w:pPr>
        <w:pStyle w:val="ListParagraph"/>
        <w:numPr>
          <w:ilvl w:val="0"/>
          <w:numId w:val="2"/>
        </w:numPr>
        <w:spacing w:after="60"/>
      </w:pPr>
      <w:r>
        <w:rPr>
          <w:rFonts w:ascii="Arial" w:cs="Arial" w:eastAsia="Arial" w:hAnsi="Arial"/>
          <w:color w:val="1A1A1A"/>
          <w:sz w:val="22"/>
          <w:szCs w:val="22"/>
        </w:rPr>
        <w:t xml:space="preserve">Core skills: Network segmentation, cloud architecture, HIPAA security, medical device security, incident response</w:t>
      </w:r>
    </w:p>
    <w:p>
      <w:pPr>
        <w:pStyle w:val="ListParagraph"/>
        <w:numPr>
          <w:ilvl w:val="0"/>
          <w:numId w:val="2"/>
        </w:numPr>
        <w:spacing w:after="60"/>
      </w:pPr>
      <w:r>
        <w:rPr>
          <w:rFonts w:ascii="Arial" w:cs="Arial" w:eastAsia="Arial" w:hAnsi="Arial"/>
          <w:color w:val="1A1A1A"/>
          <w:sz w:val="22"/>
          <w:szCs w:val="22"/>
        </w:rPr>
        <w:t xml:space="preserve">Relevant certifications: CISSP, HCISPP, HITRUST CCSFP, cloud security certifications</w:t>
      </w:r>
    </w:p>
    <w:p>
      <w:pPr>
        <w:pStyle w:val="Heading2"/>
        <w:spacing w:after="150" w:before="300"/>
      </w:pPr>
      <w:r>
        <w:rPr>
          <w:rFonts w:ascii="Arial" w:cs="Arial" w:eastAsia="Arial" w:hAnsi="Arial"/>
          <w:b/>
          <w:bCs/>
          <w:color w:val="2A7B88"/>
          <w:sz w:val="28"/>
          <w:szCs w:val="28"/>
        </w:rPr>
        <w:t xml:space="preserve">Product &amp; Innovation Track</w:t>
      </w:r>
    </w:p>
    <w:p>
      <w:pPr>
        <w:pStyle w:val="ListParagraph"/>
        <w:numPr>
          <w:ilvl w:val="0"/>
          <w:numId w:val="2"/>
        </w:numPr>
        <w:spacing w:after="60"/>
      </w:pPr>
      <w:r>
        <w:rPr>
          <w:rFonts w:ascii="Arial" w:cs="Arial" w:eastAsia="Arial" w:hAnsi="Arial"/>
          <w:color w:val="1A1A1A"/>
          <w:sz w:val="22"/>
          <w:szCs w:val="22"/>
        </w:rPr>
        <w:t xml:space="preserve">Business Analyst → Product Manager → Director of Digital Health → Chief Digital Officer (CDO) / Chief Innovation Officer</w:t>
      </w:r>
    </w:p>
    <w:p>
      <w:pPr>
        <w:pStyle w:val="ListParagraph"/>
        <w:numPr>
          <w:ilvl w:val="0"/>
          <w:numId w:val="2"/>
        </w:numPr>
        <w:spacing w:after="60"/>
      </w:pPr>
      <w:r>
        <w:rPr>
          <w:rFonts w:ascii="Arial" w:cs="Arial" w:eastAsia="Arial" w:hAnsi="Arial"/>
          <w:color w:val="1A1A1A"/>
          <w:sz w:val="22"/>
          <w:szCs w:val="22"/>
        </w:rPr>
        <w:t xml:space="preserve">Core skills: Product strategy, user research, regulatory navigation, digital health trends, vendor management</w:t>
      </w:r>
    </w:p>
    <w:p>
      <w:pPr>
        <w:pStyle w:val="ListParagraph"/>
        <w:numPr>
          <w:ilvl w:val="0"/>
          <w:numId w:val="2"/>
        </w:numPr>
        <w:spacing w:after="60"/>
      </w:pPr>
      <w:r>
        <w:rPr>
          <w:rFonts w:ascii="Arial" w:cs="Arial" w:eastAsia="Arial" w:hAnsi="Arial"/>
          <w:color w:val="1A1A1A"/>
          <w:sz w:val="22"/>
          <w:szCs w:val="22"/>
        </w:rPr>
        <w:t xml:space="preserve">Relevant certifications: PMP, SAFe Agilist, CPHIMS, design thinking certifications</w:t>
      </w:r>
    </w:p>
    <w:p>
      <w:pPr>
        <w:pStyle w:val="Heading2"/>
        <w:spacing w:after="150" w:before="300"/>
      </w:pPr>
      <w:r>
        <w:rPr>
          <w:rFonts w:ascii="Arial" w:cs="Arial" w:eastAsia="Arial" w:hAnsi="Arial"/>
          <w:b/>
          <w:bCs/>
          <w:color w:val="2A7B88"/>
          <w:sz w:val="28"/>
          <w:szCs w:val="28"/>
        </w:rPr>
        <w:t xml:space="preserve">Executive Leadership Track</w:t>
      </w:r>
    </w:p>
    <w:p>
      <w:pPr>
        <w:pStyle w:val="ListParagraph"/>
        <w:numPr>
          <w:ilvl w:val="0"/>
          <w:numId w:val="2"/>
        </w:numPr>
        <w:spacing w:after="60"/>
      </w:pPr>
      <w:r>
        <w:rPr>
          <w:rFonts w:ascii="Arial" w:cs="Arial" w:eastAsia="Arial" w:hAnsi="Arial"/>
          <w:color w:val="1A1A1A"/>
          <w:sz w:val="22"/>
          <w:szCs w:val="22"/>
        </w:rPr>
        <w:t xml:space="preserve">Director of IT → VP of Information Systems → CIO / CTO / CTIO</w:t>
      </w:r>
    </w:p>
    <w:p>
      <w:pPr>
        <w:pStyle w:val="ListParagraph"/>
        <w:numPr>
          <w:ilvl w:val="0"/>
          <w:numId w:val="2"/>
        </w:numPr>
        <w:spacing w:after="60"/>
      </w:pPr>
      <w:r>
        <w:rPr>
          <w:rFonts w:ascii="Arial" w:cs="Arial" w:eastAsia="Arial" w:hAnsi="Arial"/>
          <w:color w:val="1A1A1A"/>
          <w:sz w:val="22"/>
          <w:szCs w:val="22"/>
        </w:rPr>
        <w:t xml:space="preserve">Core skills: Strategic planning, IT governance, financial management, stakeholder communication, organizational change</w:t>
      </w:r>
    </w:p>
    <w:p>
      <w:pPr>
        <w:pStyle w:val="ListParagraph"/>
        <w:numPr>
          <w:ilvl w:val="0"/>
          <w:numId w:val="2"/>
        </w:numPr>
        <w:spacing w:after="60"/>
      </w:pPr>
      <w:r>
        <w:rPr>
          <w:rFonts w:ascii="Arial" w:cs="Arial" w:eastAsia="Arial" w:hAnsi="Arial"/>
          <w:color w:val="1A1A1A"/>
          <w:sz w:val="22"/>
          <w:szCs w:val="22"/>
        </w:rPr>
        <w:t xml:space="preserve">Relevant certifications: CHCIO (CHIME), CPHIMS, executive education programs (Harvard, MIT, Wharton healthcare leadership)</w:t>
      </w:r>
    </w:p>
    <w:p>
      <w:r>
        <w:br w:type="page"/>
      </w:r>
    </w:p>
    <w:p>
      <w:pPr>
        <w:pStyle w:val="Heading1"/>
        <w:spacing w:after="200" w:before="400"/>
      </w:pPr>
      <w:r>
        <w:rPr>
          <w:rFonts w:ascii="Arial" w:cs="Arial" w:eastAsia="Arial" w:hAnsi="Arial"/>
          <w:b/>
          <w:bCs/>
          <w:color w:val="1B3A5C"/>
          <w:sz w:val="36"/>
          <w:szCs w:val="36"/>
        </w:rPr>
        <w:t xml:space="preserve">Legal &amp; Ethical Considerations for AI in Healthcare</w:t>
      </w:r>
    </w:p>
    <w:p>
      <w:pPr>
        <w:spacing w:after="120"/>
      </w:pPr>
      <w:r>
        <w:rPr>
          <w:rFonts w:ascii="Arial" w:cs="Arial" w:eastAsia="Arial" w:hAnsi="Arial"/>
          <w:color w:val="1A1A1A"/>
          <w:sz w:val="22"/>
          <w:szCs w:val="22"/>
        </w:rPr>
        <w:t xml:space="preserve">As AI becomes deeply embedded in clinical workflows, health IT professionals must navigate complex legal, ethical, and governance challenges that are unique to healthcare.</w:t>
      </w:r>
    </w:p>
    <w:p>
      <w:pPr>
        <w:pBdr>
          <w:bottom w:val="single" w:color="2A7B88" w:sz="6" w:space="1"/>
        </w:pBdr>
        <w:spacing w:after="200" w:before="200"/>
      </w:pPr>
    </w:p>
    <w:p>
      <w:pPr>
        <w:spacing w:after="80" w:before="120"/>
      </w:pPr>
      <w:r>
        <w:rPr>
          <w:rFonts w:ascii="Arial" w:cs="Arial" w:eastAsia="Arial" w:hAnsi="Arial"/>
          <w:b/>
          <w:bCs/>
          <w:color w:val="1B3A5C"/>
          <w:sz w:val="22"/>
          <w:szCs w:val="22"/>
        </w:rPr>
        <w:t xml:space="preserve">Key Topics:</w:t>
      </w:r>
    </w:p>
    <w:p>
      <w:pPr>
        <w:pStyle w:val="ListParagraph"/>
        <w:numPr>
          <w:ilvl w:val="0"/>
          <w:numId w:val="2"/>
        </w:numPr>
        <w:spacing w:after="60"/>
      </w:pPr>
      <w:r>
        <w:rPr>
          <w:rFonts w:ascii="Arial" w:cs="Arial" w:eastAsia="Arial" w:hAnsi="Arial"/>
          <w:color w:val="1A1A1A"/>
          <w:sz w:val="22"/>
          <w:szCs w:val="22"/>
        </w:rPr>
        <w:t xml:space="preserve">AI liability and accountability: Who is responsible when an AI-assisted diagnosis is wrong? Provider, vendor, or institution liability frameworks</w:t>
      </w:r>
    </w:p>
    <w:p>
      <w:pPr>
        <w:pStyle w:val="ListParagraph"/>
        <w:numPr>
          <w:ilvl w:val="0"/>
          <w:numId w:val="2"/>
        </w:numPr>
        <w:spacing w:after="60"/>
      </w:pPr>
      <w:r>
        <w:rPr>
          <w:rFonts w:ascii="Arial" w:cs="Arial" w:eastAsia="Arial" w:hAnsi="Arial"/>
          <w:color w:val="1A1A1A"/>
          <w:sz w:val="22"/>
          <w:szCs w:val="22"/>
        </w:rPr>
        <w:t xml:space="preserve">Algorithm transparency and explainability: Regulatory expectations for AI model interpretability, FDA guidance on AI/ML transparency, patient right to explanation</w:t>
      </w:r>
    </w:p>
    <w:p>
      <w:pPr>
        <w:pStyle w:val="ListParagraph"/>
        <w:numPr>
          <w:ilvl w:val="0"/>
          <w:numId w:val="2"/>
        </w:numPr>
        <w:spacing w:after="60"/>
      </w:pPr>
      <w:r>
        <w:rPr>
          <w:rFonts w:ascii="Arial" w:cs="Arial" w:eastAsia="Arial" w:hAnsi="Arial"/>
          <w:color w:val="1A1A1A"/>
          <w:sz w:val="22"/>
          <w:szCs w:val="22"/>
        </w:rPr>
        <w:t xml:space="preserve">Informed consent for AI in clinical care: Patient awareness and consent when AI tools influence diagnosis, treatment, or triage decisions</w:t>
      </w:r>
    </w:p>
    <w:p>
      <w:pPr>
        <w:pStyle w:val="ListParagraph"/>
        <w:numPr>
          <w:ilvl w:val="0"/>
          <w:numId w:val="2"/>
        </w:numPr>
        <w:spacing w:after="60"/>
      </w:pPr>
      <w:r>
        <w:rPr>
          <w:rFonts w:ascii="Arial" w:cs="Arial" w:eastAsia="Arial" w:hAnsi="Arial"/>
          <w:color w:val="1A1A1A"/>
          <w:sz w:val="22"/>
          <w:szCs w:val="22"/>
        </w:rPr>
        <w:t xml:space="preserve">Algorithmic bias in healthcare AI: Racial, socioeconomic, and demographic bias in training data, fairness metrics, bias auditing methodologies</w:t>
      </w:r>
    </w:p>
    <w:p>
      <w:pPr>
        <w:pStyle w:val="ListParagraph"/>
        <w:numPr>
          <w:ilvl w:val="0"/>
          <w:numId w:val="2"/>
        </w:numPr>
        <w:spacing w:after="60"/>
      </w:pPr>
      <w:r>
        <w:rPr>
          <w:rFonts w:ascii="Arial" w:cs="Arial" w:eastAsia="Arial" w:hAnsi="Arial"/>
          <w:color w:val="1A1A1A"/>
          <w:sz w:val="22"/>
          <w:szCs w:val="22"/>
        </w:rPr>
        <w:t xml:space="preserve">AI governance structures: Clinical AI committees, model approval workflows, ongoing monitoring and decommissioning processes</w:t>
      </w:r>
    </w:p>
    <w:p>
      <w:pPr>
        <w:pStyle w:val="ListParagraph"/>
        <w:numPr>
          <w:ilvl w:val="0"/>
          <w:numId w:val="2"/>
        </w:numPr>
        <w:spacing w:after="60"/>
      </w:pPr>
      <w:r>
        <w:rPr>
          <w:rFonts w:ascii="Arial" w:cs="Arial" w:eastAsia="Arial" w:hAnsi="Arial"/>
          <w:color w:val="1A1A1A"/>
          <w:sz w:val="22"/>
          <w:szCs w:val="22"/>
        </w:rPr>
        <w:t xml:space="preserve">Intellectual property and data rights: Ownership of AI-generated clinical insights, training data licensing, open-source vs. proprietary model considerations</w:t>
      </w:r>
    </w:p>
    <w:p>
      <w:pPr>
        <w:pStyle w:val="ListParagraph"/>
        <w:numPr>
          <w:ilvl w:val="0"/>
          <w:numId w:val="2"/>
        </w:numPr>
        <w:spacing w:after="60"/>
      </w:pPr>
      <w:r>
        <w:rPr>
          <w:rFonts w:ascii="Arial" w:cs="Arial" w:eastAsia="Arial" w:hAnsi="Arial"/>
          <w:color w:val="1A1A1A"/>
          <w:sz w:val="22"/>
          <w:szCs w:val="22"/>
        </w:rPr>
        <w:t xml:space="preserve">Regulatory landscape for AI: FDA evolving framework, EU AI Act health provisions, state-level AI legislation affecting healthcare</w:t>
      </w:r>
    </w:p>
    <w:p>
      <w:pPr>
        <w:pStyle w:val="ListParagraph"/>
        <w:numPr>
          <w:ilvl w:val="0"/>
          <w:numId w:val="2"/>
        </w:numPr>
        <w:spacing w:after="60"/>
      </w:pPr>
      <w:r>
        <w:rPr>
          <w:rFonts w:ascii="Arial" w:cs="Arial" w:eastAsia="Arial" w:hAnsi="Arial"/>
          <w:color w:val="1A1A1A"/>
          <w:sz w:val="22"/>
          <w:szCs w:val="22"/>
        </w:rPr>
        <w:t xml:space="preserve">Ethical frameworks for healthcare AI: AMA principles on augmented intelligence, WHO guidance on ethics and AI in health, Belmont Report principles applied to AI</w:t>
      </w:r>
    </w:p>
    <w:p>
      <w:pPr>
        <w:pStyle w:val="ListParagraph"/>
        <w:numPr>
          <w:ilvl w:val="0"/>
          <w:numId w:val="2"/>
        </w:numPr>
        <w:spacing w:after="60"/>
      </w:pPr>
      <w:r>
        <w:rPr>
          <w:rFonts w:ascii="Arial" w:cs="Arial" w:eastAsia="Arial" w:hAnsi="Arial"/>
          <w:color w:val="1A1A1A"/>
          <w:sz w:val="22"/>
          <w:szCs w:val="22"/>
        </w:rPr>
        <w:t xml:space="preserve">Clinical AI validation requirements: Prospective vs. retrospective validation, external validation across diverse populations, continuous performance monitoring</w:t>
      </w:r>
    </w:p>
    <w:p>
      <w:pPr>
        <w:pStyle w:val="ListParagraph"/>
        <w:numPr>
          <w:ilvl w:val="0"/>
          <w:numId w:val="2"/>
        </w:numPr>
        <w:spacing w:after="60"/>
      </w:pPr>
      <w:r>
        <w:rPr>
          <w:rFonts w:ascii="Arial" w:cs="Arial" w:eastAsia="Arial" w:hAnsi="Arial"/>
          <w:color w:val="1A1A1A"/>
          <w:sz w:val="22"/>
          <w:szCs w:val="22"/>
        </w:rPr>
        <w:t xml:space="preserve">Patient trust and communication: How to communicate AI involvement in care, managing expectations, addressing patient concerns about algorithmic decision-making</w:t>
      </w:r>
    </w:p>
    <w:p>
      <w:r>
        <w:br w:type="page"/>
      </w:r>
    </w:p>
    <w:p>
      <w:pPr>
        <w:pStyle w:val="Heading1"/>
        <w:spacing w:after="200" w:before="400"/>
      </w:pPr>
      <w:r>
        <w:rPr>
          <w:rFonts w:ascii="Arial" w:cs="Arial" w:eastAsia="Arial" w:hAnsi="Arial"/>
          <w:b/>
          <w:bCs/>
          <w:color w:val="1B3A5C"/>
          <w:sz w:val="36"/>
          <w:szCs w:val="36"/>
        </w:rPr>
        <w:t xml:space="preserve">Professional Certifications &amp; Credentials</w:t>
      </w:r>
    </w:p>
    <w:p>
      <w:pPr>
        <w:spacing w:after="120"/>
      </w:pPr>
      <w:r>
        <w:rPr>
          <w:rFonts w:ascii="Arial" w:cs="Arial" w:eastAsia="Arial" w:hAnsi="Arial"/>
          <w:color w:val="1A1A1A"/>
          <w:sz w:val="22"/>
          <w:szCs w:val="22"/>
        </w:rPr>
        <w:t xml:space="preserve">Strategic certifications accelerate your credibility and career progression. Choose based on your focus area and career stage.</w:t>
      </w:r>
    </w:p>
    <w:p>
      <w:pPr>
        <w:pBdr>
          <w:bottom w:val="single" w:color="2A7B88" w:sz="6" w:space="1"/>
        </w:pBdr>
        <w:spacing w:after="200" w:before="200"/>
      </w:pPr>
    </w:p>
    <w:p>
      <w:pPr>
        <w:pStyle w:val="Heading3"/>
        <w:spacing w:after="100" w:before="200"/>
      </w:pPr>
      <w:r>
        <w:rPr>
          <w:rFonts w:ascii="Arial" w:cs="Arial" w:eastAsia="Arial" w:hAnsi="Arial"/>
          <w:b/>
          <w:bCs/>
          <w:color w:val="1B3A5C"/>
          <w:sz w:val="24"/>
          <w:szCs w:val="24"/>
        </w:rPr>
        <w:t xml:space="preserve">Health IT &amp; Informatics Certifications</w:t>
      </w:r>
    </w:p>
    <w:p>
      <w:pPr>
        <w:pStyle w:val="ListParagraph"/>
        <w:numPr>
          <w:ilvl w:val="0"/>
          <w:numId w:val="2"/>
        </w:numPr>
        <w:spacing w:after="60"/>
      </w:pPr>
      <w:r>
        <w:rPr>
          <w:rFonts w:ascii="Arial" w:cs="Arial" w:eastAsia="Arial" w:hAnsi="Arial"/>
          <w:b/>
          <w:bCs/>
          <w:color w:val="1A1A1A"/>
          <w:sz w:val="22"/>
          <w:szCs w:val="22"/>
        </w:rPr>
        <w:t xml:space="preserve">CPHIMS (Certified Professional in Healthcare Information &amp; Management Systems) — HIMSS: </w:t>
      </w:r>
      <w:r>
        <w:rPr>
          <w:rFonts w:ascii="Arial" w:cs="Arial" w:eastAsia="Arial" w:hAnsi="Arial"/>
          <w:color w:val="1A1A1A"/>
          <w:sz w:val="22"/>
          <w:szCs w:val="22"/>
        </w:rPr>
        <w:t xml:space="preserve">The most recognized health IT management credential</w:t>
      </w:r>
    </w:p>
    <w:p>
      <w:pPr>
        <w:pStyle w:val="ListParagraph"/>
        <w:numPr>
          <w:ilvl w:val="0"/>
          <w:numId w:val="2"/>
        </w:numPr>
        <w:spacing w:after="60"/>
      </w:pPr>
      <w:r>
        <w:rPr>
          <w:rFonts w:ascii="Arial" w:cs="Arial" w:eastAsia="Arial" w:hAnsi="Arial"/>
          <w:b/>
          <w:bCs/>
          <w:color w:val="1A1A1A"/>
          <w:sz w:val="22"/>
          <w:szCs w:val="22"/>
        </w:rPr>
        <w:t xml:space="preserve">CAHIMS (Certified Associate in Healthcare Information &amp; Management Systems) — HIMSS: </w:t>
      </w:r>
      <w:r>
        <w:rPr>
          <w:rFonts w:ascii="Arial" w:cs="Arial" w:eastAsia="Arial" w:hAnsi="Arial"/>
          <w:color w:val="1A1A1A"/>
          <w:sz w:val="22"/>
          <w:szCs w:val="22"/>
        </w:rPr>
        <w:t xml:space="preserve">Entry-level health IT certification</w:t>
      </w:r>
    </w:p>
    <w:p>
      <w:pPr>
        <w:pStyle w:val="ListParagraph"/>
        <w:numPr>
          <w:ilvl w:val="0"/>
          <w:numId w:val="2"/>
        </w:numPr>
        <w:spacing w:after="60"/>
      </w:pPr>
      <w:r>
        <w:rPr>
          <w:rFonts w:ascii="Arial" w:cs="Arial" w:eastAsia="Arial" w:hAnsi="Arial"/>
          <w:b/>
          <w:bCs/>
          <w:color w:val="1A1A1A"/>
          <w:sz w:val="22"/>
          <w:szCs w:val="22"/>
        </w:rPr>
        <w:t xml:space="preserve">Clinical Informatics Subspecialty Board Certification — ABPM: </w:t>
      </w:r>
      <w:r>
        <w:rPr>
          <w:rFonts w:ascii="Arial" w:cs="Arial" w:eastAsia="Arial" w:hAnsi="Arial"/>
          <w:color w:val="1A1A1A"/>
          <w:sz w:val="22"/>
          <w:szCs w:val="22"/>
        </w:rPr>
        <w:t xml:space="preserve">For physicians in clinical informatics</w:t>
      </w:r>
    </w:p>
    <w:p>
      <w:pPr>
        <w:pStyle w:val="ListParagraph"/>
        <w:numPr>
          <w:ilvl w:val="0"/>
          <w:numId w:val="2"/>
        </w:numPr>
        <w:spacing w:after="60"/>
      </w:pPr>
      <w:r>
        <w:rPr>
          <w:rFonts w:ascii="Arial" w:cs="Arial" w:eastAsia="Arial" w:hAnsi="Arial"/>
          <w:b/>
          <w:bCs/>
          <w:color w:val="1A1A1A"/>
          <w:sz w:val="22"/>
          <w:szCs w:val="22"/>
        </w:rPr>
        <w:t xml:space="preserve">HCISPP (HealthCare Information Security and Privacy Practitioner) — ISC2: </w:t>
      </w:r>
      <w:r>
        <w:rPr>
          <w:rFonts w:ascii="Arial" w:cs="Arial" w:eastAsia="Arial" w:hAnsi="Arial"/>
          <w:color w:val="1A1A1A"/>
          <w:sz w:val="22"/>
          <w:szCs w:val="22"/>
        </w:rPr>
        <w:t xml:space="preserve">Healthcare-specific security credential</w:t>
      </w:r>
    </w:p>
    <w:p>
      <w:pPr>
        <w:pStyle w:val="ListParagraph"/>
        <w:numPr>
          <w:ilvl w:val="0"/>
          <w:numId w:val="2"/>
        </w:numPr>
        <w:spacing w:after="60"/>
      </w:pPr>
      <w:r>
        <w:rPr>
          <w:rFonts w:ascii="Arial" w:cs="Arial" w:eastAsia="Arial" w:hAnsi="Arial"/>
          <w:b/>
          <w:bCs/>
          <w:color w:val="1A1A1A"/>
          <w:sz w:val="22"/>
          <w:szCs w:val="22"/>
        </w:rPr>
        <w:t xml:space="preserve">CHPS (Certified in Healthcare Privacy and Security) — AHIMA: </w:t>
      </w:r>
      <w:r>
        <w:rPr>
          <w:rFonts w:ascii="Arial" w:cs="Arial" w:eastAsia="Arial" w:hAnsi="Arial"/>
          <w:color w:val="1A1A1A"/>
          <w:sz w:val="22"/>
          <w:szCs w:val="22"/>
        </w:rPr>
        <w:t xml:space="preserve">Privacy and security focus</w:t>
      </w:r>
    </w:p>
    <w:p>
      <w:pPr>
        <w:pStyle w:val="ListParagraph"/>
        <w:numPr>
          <w:ilvl w:val="0"/>
          <w:numId w:val="2"/>
        </w:numPr>
        <w:spacing w:after="60"/>
      </w:pPr>
      <w:r>
        <w:rPr>
          <w:rFonts w:ascii="Arial" w:cs="Arial" w:eastAsia="Arial" w:hAnsi="Arial"/>
          <w:b/>
          <w:bCs/>
          <w:color w:val="1A1A1A"/>
          <w:sz w:val="22"/>
          <w:szCs w:val="22"/>
        </w:rPr>
        <w:t xml:space="preserve">RHIA / RHIT — AHIMA: </w:t>
      </w:r>
      <w:r>
        <w:rPr>
          <w:rFonts w:ascii="Arial" w:cs="Arial" w:eastAsia="Arial" w:hAnsi="Arial"/>
          <w:color w:val="1A1A1A"/>
          <w:sz w:val="22"/>
          <w:szCs w:val="22"/>
        </w:rPr>
        <w:t xml:space="preserve">Health information management</w:t>
      </w:r>
    </w:p>
    <w:p>
      <w:pPr>
        <w:pStyle w:val="Heading3"/>
        <w:spacing w:after="100" w:before="200"/>
      </w:pPr>
      <w:r>
        <w:rPr>
          <w:rFonts w:ascii="Arial" w:cs="Arial" w:eastAsia="Arial" w:hAnsi="Arial"/>
          <w:b/>
          <w:bCs/>
          <w:color w:val="1B3A5C"/>
          <w:sz w:val="24"/>
          <w:szCs w:val="24"/>
        </w:rPr>
        <w:t xml:space="preserve">Cloud &amp; Technical Certifications (Healthcare-Relevant)</w:t>
      </w:r>
    </w:p>
    <w:p>
      <w:pPr>
        <w:pStyle w:val="ListParagraph"/>
        <w:numPr>
          <w:ilvl w:val="0"/>
          <w:numId w:val="2"/>
        </w:numPr>
        <w:spacing w:after="60"/>
      </w:pPr>
      <w:r>
        <w:rPr>
          <w:rFonts w:ascii="Arial" w:cs="Arial" w:eastAsia="Arial" w:hAnsi="Arial"/>
          <w:b/>
          <w:bCs/>
          <w:color w:val="1A1A1A"/>
          <w:sz w:val="22"/>
          <w:szCs w:val="22"/>
        </w:rPr>
        <w:t xml:space="preserve">AWS Certified Solutions Architect + AWS Healthcare Specialty: </w:t>
      </w:r>
      <w:r>
        <w:rPr>
          <w:rFonts w:ascii="Arial" w:cs="Arial" w:eastAsia="Arial" w:hAnsi="Arial"/>
          <w:color w:val="1A1A1A"/>
          <w:sz w:val="22"/>
          <w:szCs w:val="22"/>
        </w:rPr>
        <w:t xml:space="preserve">Cloud architecture for healthcare</w:t>
      </w:r>
    </w:p>
    <w:p>
      <w:pPr>
        <w:pStyle w:val="ListParagraph"/>
        <w:numPr>
          <w:ilvl w:val="0"/>
          <w:numId w:val="2"/>
        </w:numPr>
        <w:spacing w:after="60"/>
      </w:pPr>
      <w:r>
        <w:rPr>
          <w:rFonts w:ascii="Arial" w:cs="Arial" w:eastAsia="Arial" w:hAnsi="Arial"/>
          <w:b/>
          <w:bCs/>
          <w:color w:val="1A1A1A"/>
          <w:sz w:val="22"/>
          <w:szCs w:val="22"/>
        </w:rPr>
        <w:t xml:space="preserve">Microsoft Certified: Azure Solutions Architect + Azure Health Data Services: </w:t>
      </w:r>
      <w:r>
        <w:rPr>
          <w:rFonts w:ascii="Arial" w:cs="Arial" w:eastAsia="Arial" w:hAnsi="Arial"/>
          <w:color w:val="1A1A1A"/>
          <w:sz w:val="22"/>
          <w:szCs w:val="22"/>
        </w:rPr>
        <w:t xml:space="preserve">Microsoft healthcare cloud</w:t>
      </w:r>
    </w:p>
    <w:p>
      <w:pPr>
        <w:pStyle w:val="ListParagraph"/>
        <w:numPr>
          <w:ilvl w:val="0"/>
          <w:numId w:val="2"/>
        </w:numPr>
        <w:spacing w:after="60"/>
      </w:pPr>
      <w:r>
        <w:rPr>
          <w:rFonts w:ascii="Arial" w:cs="Arial" w:eastAsia="Arial" w:hAnsi="Arial"/>
          <w:b/>
          <w:bCs/>
          <w:color w:val="1A1A1A"/>
          <w:sz w:val="22"/>
          <w:szCs w:val="22"/>
        </w:rPr>
        <w:t xml:space="preserve">Google Cloud Professional Architect + Healthcare API: </w:t>
      </w:r>
      <w:r>
        <w:rPr>
          <w:rFonts w:ascii="Arial" w:cs="Arial" w:eastAsia="Arial" w:hAnsi="Arial"/>
          <w:color w:val="1A1A1A"/>
          <w:sz w:val="22"/>
          <w:szCs w:val="22"/>
        </w:rPr>
        <w:t xml:space="preserve">Google healthcare cloud</w:t>
      </w:r>
    </w:p>
    <w:p>
      <w:pPr>
        <w:pStyle w:val="ListParagraph"/>
        <w:numPr>
          <w:ilvl w:val="0"/>
          <w:numId w:val="2"/>
        </w:numPr>
        <w:spacing w:after="60"/>
      </w:pPr>
      <w:r>
        <w:rPr>
          <w:rFonts w:ascii="Arial" w:cs="Arial" w:eastAsia="Arial" w:hAnsi="Arial"/>
          <w:b/>
          <w:bCs/>
          <w:color w:val="1A1A1A"/>
          <w:sz w:val="22"/>
          <w:szCs w:val="22"/>
        </w:rPr>
        <w:t xml:space="preserve">HL7 FHIR Certification: </w:t>
      </w:r>
      <w:r>
        <w:rPr>
          <w:rFonts w:ascii="Arial" w:cs="Arial" w:eastAsia="Arial" w:hAnsi="Arial"/>
          <w:color w:val="1A1A1A"/>
          <w:sz w:val="22"/>
          <w:szCs w:val="22"/>
        </w:rPr>
        <w:t xml:space="preserve">Interoperability expertise validation</w:t>
      </w:r>
    </w:p>
    <w:p>
      <w:pPr>
        <w:pStyle w:val="ListParagraph"/>
        <w:numPr>
          <w:ilvl w:val="0"/>
          <w:numId w:val="2"/>
        </w:numPr>
        <w:spacing w:after="60"/>
      </w:pPr>
      <w:r>
        <w:rPr>
          <w:rFonts w:ascii="Arial" w:cs="Arial" w:eastAsia="Arial" w:hAnsi="Arial"/>
          <w:b/>
          <w:bCs/>
          <w:color w:val="1A1A1A"/>
          <w:sz w:val="22"/>
          <w:szCs w:val="22"/>
        </w:rPr>
        <w:t xml:space="preserve">Epic Certifications (module-specific): </w:t>
      </w:r>
      <w:r>
        <w:rPr>
          <w:rFonts w:ascii="Arial" w:cs="Arial" w:eastAsia="Arial" w:hAnsi="Arial"/>
          <w:color w:val="1A1A1A"/>
          <w:sz w:val="22"/>
          <w:szCs w:val="22"/>
        </w:rPr>
        <w:t xml:space="preserve">Required for Epic implementation roles</w:t>
      </w:r>
    </w:p>
    <w:p>
      <w:pPr>
        <w:pStyle w:val="ListParagraph"/>
        <w:numPr>
          <w:ilvl w:val="0"/>
          <w:numId w:val="2"/>
        </w:numPr>
        <w:spacing w:after="60"/>
      </w:pPr>
      <w:r>
        <w:rPr>
          <w:rFonts w:ascii="Arial" w:cs="Arial" w:eastAsia="Arial" w:hAnsi="Arial"/>
          <w:b/>
          <w:bCs/>
          <w:color w:val="1A1A1A"/>
          <w:sz w:val="22"/>
          <w:szCs w:val="22"/>
        </w:rPr>
        <w:t xml:space="preserve">Oracle Health (Cerner) Certifications: </w:t>
      </w:r>
      <w:r>
        <w:rPr>
          <w:rFonts w:ascii="Arial" w:cs="Arial" w:eastAsia="Arial" w:hAnsi="Arial"/>
          <w:color w:val="1A1A1A"/>
          <w:sz w:val="22"/>
          <w:szCs w:val="22"/>
        </w:rPr>
        <w:t xml:space="preserve">Required for Cerner implementation roles</w:t>
      </w:r>
    </w:p>
    <w:p>
      <w:pPr>
        <w:pStyle w:val="Heading3"/>
        <w:spacing w:after="100" w:before="200"/>
      </w:pPr>
      <w:r>
        <w:rPr>
          <w:rFonts w:ascii="Arial" w:cs="Arial" w:eastAsia="Arial" w:hAnsi="Arial"/>
          <w:b/>
          <w:bCs/>
          <w:color w:val="1B3A5C"/>
          <w:sz w:val="24"/>
          <w:szCs w:val="24"/>
        </w:rPr>
        <w:t xml:space="preserve">Security, Compliance &amp; Leadership</w:t>
      </w:r>
    </w:p>
    <w:p>
      <w:pPr>
        <w:pStyle w:val="ListParagraph"/>
        <w:numPr>
          <w:ilvl w:val="0"/>
          <w:numId w:val="2"/>
        </w:numPr>
        <w:spacing w:after="60"/>
      </w:pPr>
      <w:r>
        <w:rPr>
          <w:rFonts w:ascii="Arial" w:cs="Arial" w:eastAsia="Arial" w:hAnsi="Arial"/>
          <w:b/>
          <w:bCs/>
          <w:color w:val="1A1A1A"/>
          <w:sz w:val="22"/>
          <w:szCs w:val="22"/>
        </w:rPr>
        <w:t xml:space="preserve">CISSP (Certified Information Systems Security Professional): </w:t>
      </w:r>
      <w:r>
        <w:rPr>
          <w:rFonts w:ascii="Arial" w:cs="Arial" w:eastAsia="Arial" w:hAnsi="Arial"/>
          <w:color w:val="1A1A1A"/>
          <w:sz w:val="22"/>
          <w:szCs w:val="22"/>
        </w:rPr>
        <w:t xml:space="preserve">Enterprise security leadership</w:t>
      </w:r>
    </w:p>
    <w:p>
      <w:pPr>
        <w:pStyle w:val="ListParagraph"/>
        <w:numPr>
          <w:ilvl w:val="0"/>
          <w:numId w:val="2"/>
        </w:numPr>
        <w:spacing w:after="60"/>
      </w:pPr>
      <w:r>
        <w:rPr>
          <w:rFonts w:ascii="Arial" w:cs="Arial" w:eastAsia="Arial" w:hAnsi="Arial"/>
          <w:b/>
          <w:bCs/>
          <w:color w:val="1A1A1A"/>
          <w:sz w:val="22"/>
          <w:szCs w:val="22"/>
        </w:rPr>
        <w:t xml:space="preserve">HITRUST CCSFP (Certified CSF Practitioner): </w:t>
      </w:r>
      <w:r>
        <w:rPr>
          <w:rFonts w:ascii="Arial" w:cs="Arial" w:eastAsia="Arial" w:hAnsi="Arial"/>
          <w:color w:val="1A1A1A"/>
          <w:sz w:val="22"/>
          <w:szCs w:val="22"/>
        </w:rPr>
        <w:t xml:space="preserve">HITRUST framework expertise</w:t>
      </w:r>
    </w:p>
    <w:p>
      <w:pPr>
        <w:pStyle w:val="ListParagraph"/>
        <w:numPr>
          <w:ilvl w:val="0"/>
          <w:numId w:val="2"/>
        </w:numPr>
        <w:spacing w:after="60"/>
      </w:pPr>
      <w:r>
        <w:rPr>
          <w:rFonts w:ascii="Arial" w:cs="Arial" w:eastAsia="Arial" w:hAnsi="Arial"/>
          <w:b/>
          <w:bCs/>
          <w:color w:val="1A1A1A"/>
          <w:sz w:val="22"/>
          <w:szCs w:val="22"/>
        </w:rPr>
        <w:t xml:space="preserve">CHC (Certified in Healthcare Compliance) — HCCA: </w:t>
      </w:r>
      <w:r>
        <w:rPr>
          <w:rFonts w:ascii="Arial" w:cs="Arial" w:eastAsia="Arial" w:hAnsi="Arial"/>
          <w:color w:val="1A1A1A"/>
          <w:sz w:val="22"/>
          <w:szCs w:val="22"/>
        </w:rPr>
        <w:t xml:space="preserve">Compliance program management</w:t>
      </w:r>
    </w:p>
    <w:p>
      <w:pPr>
        <w:pStyle w:val="ListParagraph"/>
        <w:numPr>
          <w:ilvl w:val="0"/>
          <w:numId w:val="2"/>
        </w:numPr>
        <w:spacing w:after="60"/>
      </w:pPr>
      <w:r>
        <w:rPr>
          <w:rFonts w:ascii="Arial" w:cs="Arial" w:eastAsia="Arial" w:hAnsi="Arial"/>
          <w:b/>
          <w:bCs/>
          <w:color w:val="1A1A1A"/>
          <w:sz w:val="22"/>
          <w:szCs w:val="22"/>
        </w:rPr>
        <w:t xml:space="preserve">PMP (Project Management Professional): </w:t>
      </w:r>
      <w:r>
        <w:rPr>
          <w:rFonts w:ascii="Arial" w:cs="Arial" w:eastAsia="Arial" w:hAnsi="Arial"/>
          <w:color w:val="1A1A1A"/>
          <w:sz w:val="22"/>
          <w:szCs w:val="22"/>
        </w:rPr>
        <w:t xml:space="preserve">Large-scale health IT program management</w:t>
      </w:r>
    </w:p>
    <w:p>
      <w:pPr>
        <w:pStyle w:val="ListParagraph"/>
        <w:numPr>
          <w:ilvl w:val="0"/>
          <w:numId w:val="2"/>
        </w:numPr>
        <w:spacing w:after="60"/>
      </w:pPr>
      <w:r>
        <w:rPr>
          <w:rFonts w:ascii="Arial" w:cs="Arial" w:eastAsia="Arial" w:hAnsi="Arial"/>
          <w:b/>
          <w:bCs/>
          <w:color w:val="1A1A1A"/>
          <w:sz w:val="22"/>
          <w:szCs w:val="22"/>
        </w:rPr>
        <w:t xml:space="preserve">ITIL 4 Foundation/Managing Professional: </w:t>
      </w:r>
      <w:r>
        <w:rPr>
          <w:rFonts w:ascii="Arial" w:cs="Arial" w:eastAsia="Arial" w:hAnsi="Arial"/>
          <w:color w:val="1A1A1A"/>
          <w:sz w:val="22"/>
          <w:szCs w:val="22"/>
        </w:rPr>
        <w:t xml:space="preserve">IT service management</w:t>
      </w:r>
    </w:p>
    <w:p>
      <w:pPr>
        <w:pStyle w:val="ListParagraph"/>
        <w:numPr>
          <w:ilvl w:val="0"/>
          <w:numId w:val="2"/>
        </w:numPr>
        <w:spacing w:after="60"/>
      </w:pPr>
      <w:r>
        <w:rPr>
          <w:rFonts w:ascii="Arial" w:cs="Arial" w:eastAsia="Arial" w:hAnsi="Arial"/>
          <w:b/>
          <w:bCs/>
          <w:color w:val="1A1A1A"/>
          <w:sz w:val="22"/>
          <w:szCs w:val="22"/>
        </w:rPr>
        <w:t xml:space="preserve">CHCIO (Certified Healthcare CIO) — CHIME: </w:t>
      </w:r>
      <w:r>
        <w:rPr>
          <w:rFonts w:ascii="Arial" w:cs="Arial" w:eastAsia="Arial" w:hAnsi="Arial"/>
          <w:color w:val="1A1A1A"/>
          <w:sz w:val="22"/>
          <w:szCs w:val="22"/>
        </w:rPr>
        <w:t xml:space="preserve">Executive health IT leadership</w:t>
      </w:r>
    </w:p>
    <w:p>
      <w:pPr>
        <w:pStyle w:val="Heading3"/>
        <w:spacing w:after="100" w:before="200"/>
      </w:pPr>
      <w:r>
        <w:rPr>
          <w:rFonts w:ascii="Arial" w:cs="Arial" w:eastAsia="Arial" w:hAnsi="Arial"/>
          <w:b/>
          <w:bCs/>
          <w:color w:val="1B3A5C"/>
          <w:sz w:val="24"/>
          <w:szCs w:val="24"/>
        </w:rPr>
        <w:t xml:space="preserve">Data, Analytics &amp; AI Certifications</w:t>
      </w:r>
    </w:p>
    <w:p>
      <w:pPr>
        <w:pStyle w:val="ListParagraph"/>
        <w:numPr>
          <w:ilvl w:val="0"/>
          <w:numId w:val="2"/>
        </w:numPr>
        <w:spacing w:after="60"/>
      </w:pPr>
      <w:r>
        <w:rPr>
          <w:rFonts w:ascii="Arial" w:cs="Arial" w:eastAsia="Arial" w:hAnsi="Arial"/>
          <w:b/>
          <w:bCs/>
          <w:color w:val="1A1A1A"/>
          <w:sz w:val="22"/>
          <w:szCs w:val="22"/>
        </w:rPr>
        <w:t xml:space="preserve">Certified Health Data Analyst (CHDA) — AHIMA: </w:t>
      </w:r>
      <w:r>
        <w:rPr>
          <w:rFonts w:ascii="Arial" w:cs="Arial" w:eastAsia="Arial" w:hAnsi="Arial"/>
          <w:color w:val="1A1A1A"/>
          <w:sz w:val="22"/>
          <w:szCs w:val="22"/>
        </w:rPr>
        <w:t xml:space="preserve">Healthcare data analytics expertise</w:t>
      </w:r>
    </w:p>
    <w:p>
      <w:pPr>
        <w:pStyle w:val="ListParagraph"/>
        <w:numPr>
          <w:ilvl w:val="0"/>
          <w:numId w:val="2"/>
        </w:numPr>
        <w:spacing w:after="60"/>
      </w:pPr>
      <w:r>
        <w:rPr>
          <w:rFonts w:ascii="Arial" w:cs="Arial" w:eastAsia="Arial" w:hAnsi="Arial"/>
          <w:b/>
          <w:bCs/>
          <w:color w:val="1A1A1A"/>
          <w:sz w:val="22"/>
          <w:szCs w:val="22"/>
        </w:rPr>
        <w:t xml:space="preserve">AWS Machine Learning Specialty: </w:t>
      </w:r>
      <w:r>
        <w:rPr>
          <w:rFonts w:ascii="Arial" w:cs="Arial" w:eastAsia="Arial" w:hAnsi="Arial"/>
          <w:color w:val="1A1A1A"/>
          <w:sz w:val="22"/>
          <w:szCs w:val="22"/>
        </w:rPr>
        <w:t xml:space="preserve">ML engineering for cloud-based healthcare AI applications</w:t>
      </w:r>
    </w:p>
    <w:p>
      <w:pPr>
        <w:pStyle w:val="ListParagraph"/>
        <w:numPr>
          <w:ilvl w:val="0"/>
          <w:numId w:val="2"/>
        </w:numPr>
        <w:spacing w:after="60"/>
      </w:pPr>
      <w:r>
        <w:rPr>
          <w:rFonts w:ascii="Arial" w:cs="Arial" w:eastAsia="Arial" w:hAnsi="Arial"/>
          <w:b/>
          <w:bCs/>
          <w:color w:val="1A1A1A"/>
          <w:sz w:val="22"/>
          <w:szCs w:val="22"/>
        </w:rPr>
        <w:t xml:space="preserve">Google Professional Machine Learning Engineer: </w:t>
      </w:r>
      <w:r>
        <w:rPr>
          <w:rFonts w:ascii="Arial" w:cs="Arial" w:eastAsia="Arial" w:hAnsi="Arial"/>
          <w:color w:val="1A1A1A"/>
          <w:sz w:val="22"/>
          <w:szCs w:val="22"/>
        </w:rPr>
        <w:t xml:space="preserve">Designing and deploying ML models for healthcare use cases</w:t>
      </w:r>
    </w:p>
    <w:p>
      <w:pPr>
        <w:pStyle w:val="ListParagraph"/>
        <w:numPr>
          <w:ilvl w:val="0"/>
          <w:numId w:val="2"/>
        </w:numPr>
        <w:spacing w:after="60"/>
      </w:pPr>
      <w:r>
        <w:rPr>
          <w:rFonts w:ascii="Arial" w:cs="Arial" w:eastAsia="Arial" w:hAnsi="Arial"/>
          <w:b/>
          <w:bCs/>
          <w:color w:val="1A1A1A"/>
          <w:sz w:val="22"/>
          <w:szCs w:val="22"/>
        </w:rPr>
        <w:t xml:space="preserve">Microsoft Certified: Azure AI Engineer Associate: </w:t>
      </w:r>
      <w:r>
        <w:rPr>
          <w:rFonts w:ascii="Arial" w:cs="Arial" w:eastAsia="Arial" w:hAnsi="Arial"/>
          <w:color w:val="1A1A1A"/>
          <w:sz w:val="22"/>
          <w:szCs w:val="22"/>
        </w:rPr>
        <w:t xml:space="preserve">Building AI solutions on Azure Health Data Services</w:t>
      </w:r>
    </w:p>
    <w:p>
      <w:pPr>
        <w:pStyle w:val="ListParagraph"/>
        <w:numPr>
          <w:ilvl w:val="0"/>
          <w:numId w:val="2"/>
        </w:numPr>
        <w:spacing w:after="60"/>
      </w:pPr>
      <w:r>
        <w:rPr>
          <w:rFonts w:ascii="Arial" w:cs="Arial" w:eastAsia="Arial" w:hAnsi="Arial"/>
          <w:b/>
          <w:bCs/>
          <w:color w:val="1A1A1A"/>
          <w:sz w:val="22"/>
          <w:szCs w:val="22"/>
        </w:rPr>
        <w:t xml:space="preserve">Certified Analytics Professional (CAP): </w:t>
      </w:r>
      <w:r>
        <w:rPr>
          <w:rFonts w:ascii="Arial" w:cs="Arial" w:eastAsia="Arial" w:hAnsi="Arial"/>
          <w:color w:val="1A1A1A"/>
          <w:sz w:val="22"/>
          <w:szCs w:val="22"/>
        </w:rPr>
        <w:t xml:space="preserve">Cross-industry analytics credential applicable to healthcare</w:t>
      </w:r>
    </w:p>
    <w:p>
      <w:pPr>
        <w:pStyle w:val="ListParagraph"/>
        <w:numPr>
          <w:ilvl w:val="0"/>
          <w:numId w:val="2"/>
        </w:numPr>
        <w:spacing w:after="60"/>
      </w:pPr>
      <w:r>
        <w:rPr>
          <w:rFonts w:ascii="Arial" w:cs="Arial" w:eastAsia="Arial" w:hAnsi="Arial"/>
          <w:b/>
          <w:bCs/>
          <w:color w:val="1A1A1A"/>
          <w:sz w:val="22"/>
          <w:szCs w:val="22"/>
        </w:rPr>
        <w:t xml:space="preserve">SAS Certified Clinical Trials Programmer: </w:t>
      </w:r>
      <w:r>
        <w:rPr>
          <w:rFonts w:ascii="Arial" w:cs="Arial" w:eastAsia="Arial" w:hAnsi="Arial"/>
          <w:color w:val="1A1A1A"/>
          <w:sz w:val="22"/>
          <w:szCs w:val="22"/>
        </w:rPr>
        <w:t xml:space="preserve">Statistical programming for clinical research and life sciences</w:t>
      </w:r>
    </w:p>
    <w:p>
      <w:r>
        <w:br w:type="page"/>
      </w:r>
    </w:p>
    <w:p>
      <w:pPr>
        <w:pStyle w:val="Heading1"/>
        <w:spacing w:after="200" w:before="400"/>
      </w:pPr>
      <w:r>
        <w:rPr>
          <w:rFonts w:ascii="Arial" w:cs="Arial" w:eastAsia="Arial" w:hAnsi="Arial"/>
          <w:b/>
          <w:bCs/>
          <w:color w:val="1B3A5C"/>
          <w:sz w:val="36"/>
          <w:szCs w:val="36"/>
        </w:rPr>
        <w:t xml:space="preserve">Recommended Resources</w:t>
      </w:r>
    </w:p>
    <w:p>
      <w:pPr>
        <w:pBdr>
          <w:bottom w:val="single" w:color="2A7B88" w:sz="6" w:space="1"/>
        </w:pBdr>
        <w:spacing w:after="200" w:before="200"/>
      </w:pPr>
    </w:p>
    <w:p>
      <w:pPr>
        <w:pStyle w:val="Heading3"/>
        <w:spacing w:after="100" w:before="200"/>
      </w:pPr>
      <w:r>
        <w:rPr>
          <w:rFonts w:ascii="Arial" w:cs="Arial" w:eastAsia="Arial" w:hAnsi="Arial"/>
          <w:b/>
          <w:bCs/>
          <w:color w:val="1B3A5C"/>
          <w:sz w:val="24"/>
          <w:szCs w:val="24"/>
        </w:rPr>
        <w:t xml:space="preserve">Essential Books</w:t>
      </w:r>
    </w:p>
    <w:p>
      <w:pPr>
        <w:pStyle w:val="ListParagraph"/>
        <w:numPr>
          <w:ilvl w:val="0"/>
          <w:numId w:val="2"/>
        </w:numPr>
        <w:spacing w:after="60"/>
      </w:pPr>
      <w:r>
        <w:rPr>
          <w:rFonts w:ascii="Arial" w:cs="Arial" w:eastAsia="Arial" w:hAnsi="Arial"/>
          <w:b/>
          <w:bCs/>
          <w:color w:val="1A1A1A"/>
          <w:sz w:val="22"/>
          <w:szCs w:val="22"/>
        </w:rPr>
        <w:t xml:space="preserve">Health Informatics: An Interprofessional Approach (Nelson &amp; Staggers) — </w:t>
      </w:r>
      <w:r>
        <w:rPr>
          <w:rFonts w:ascii="Arial" w:cs="Arial" w:eastAsia="Arial" w:hAnsi="Arial"/>
          <w:color w:val="1A1A1A"/>
          <w:sz w:val="22"/>
          <w:szCs w:val="22"/>
        </w:rPr>
        <w:t xml:space="preserve">Comprehensive health informatics textbook</w:t>
      </w:r>
    </w:p>
    <w:p>
      <w:pPr>
        <w:pStyle w:val="ListParagraph"/>
        <w:numPr>
          <w:ilvl w:val="0"/>
          <w:numId w:val="2"/>
        </w:numPr>
        <w:spacing w:after="60"/>
      </w:pPr>
      <w:r>
        <w:rPr>
          <w:rFonts w:ascii="Arial" w:cs="Arial" w:eastAsia="Arial" w:hAnsi="Arial"/>
          <w:b/>
          <w:bCs/>
          <w:color w:val="1A1A1A"/>
          <w:sz w:val="22"/>
          <w:szCs w:val="22"/>
        </w:rPr>
        <w:t xml:space="preserve">Healthcare Information Technology Exam Guide for CHTS and CAHIMS (HIMSS) — </w:t>
      </w:r>
      <w:r>
        <w:rPr>
          <w:rFonts w:ascii="Arial" w:cs="Arial" w:eastAsia="Arial" w:hAnsi="Arial"/>
          <w:color w:val="1A1A1A"/>
          <w:sz w:val="22"/>
          <w:szCs w:val="22"/>
        </w:rPr>
        <w:t xml:space="preserve">Broad health IT knowledge</w:t>
      </w:r>
    </w:p>
    <w:p>
      <w:pPr>
        <w:pStyle w:val="ListParagraph"/>
        <w:numPr>
          <w:ilvl w:val="0"/>
          <w:numId w:val="2"/>
        </w:numPr>
        <w:spacing w:after="60"/>
      </w:pPr>
      <w:r>
        <w:rPr>
          <w:rFonts w:ascii="Arial" w:cs="Arial" w:eastAsia="Arial" w:hAnsi="Arial"/>
          <w:b/>
          <w:bCs/>
          <w:color w:val="1A1A1A"/>
          <w:sz w:val="22"/>
          <w:szCs w:val="22"/>
        </w:rPr>
        <w:t xml:space="preserve">The Digital Doctor (Robert Wachter) — </w:t>
      </w:r>
      <w:r>
        <w:rPr>
          <w:rFonts w:ascii="Arial" w:cs="Arial" w:eastAsia="Arial" w:hAnsi="Arial"/>
          <w:color w:val="1A1A1A"/>
          <w:sz w:val="22"/>
          <w:szCs w:val="22"/>
        </w:rPr>
        <w:t xml:space="preserve">How technology is transforming healthcare delivery</w:t>
      </w:r>
    </w:p>
    <w:p>
      <w:pPr>
        <w:pStyle w:val="ListParagraph"/>
        <w:numPr>
          <w:ilvl w:val="0"/>
          <w:numId w:val="2"/>
        </w:numPr>
        <w:spacing w:after="60"/>
      </w:pPr>
      <w:r>
        <w:rPr>
          <w:rFonts w:ascii="Arial" w:cs="Arial" w:eastAsia="Arial" w:hAnsi="Arial"/>
          <w:b/>
          <w:bCs/>
          <w:color w:val="1A1A1A"/>
          <w:sz w:val="22"/>
          <w:szCs w:val="22"/>
        </w:rPr>
        <w:t xml:space="preserve">Hacking Healthcare (Fred Trotter &amp; David Uhlman) — </w:t>
      </w:r>
      <w:r>
        <w:rPr>
          <w:rFonts w:ascii="Arial" w:cs="Arial" w:eastAsia="Arial" w:hAnsi="Arial"/>
          <w:color w:val="1A1A1A"/>
          <w:sz w:val="22"/>
          <w:szCs w:val="22"/>
        </w:rPr>
        <w:t xml:space="preserve">Health IT standards and interoperability</w:t>
      </w:r>
    </w:p>
    <w:p>
      <w:pPr>
        <w:pStyle w:val="ListParagraph"/>
        <w:numPr>
          <w:ilvl w:val="0"/>
          <w:numId w:val="2"/>
        </w:numPr>
        <w:spacing w:after="60"/>
      </w:pPr>
      <w:r>
        <w:rPr>
          <w:rFonts w:ascii="Arial" w:cs="Arial" w:eastAsia="Arial" w:hAnsi="Arial"/>
          <w:b/>
          <w:bCs/>
          <w:color w:val="1A1A1A"/>
          <w:sz w:val="22"/>
          <w:szCs w:val="22"/>
        </w:rPr>
        <w:t xml:space="preserve">Designing for Digital (Ross, Beath, Mocker) — </w:t>
      </w:r>
      <w:r>
        <w:rPr>
          <w:rFonts w:ascii="Arial" w:cs="Arial" w:eastAsia="Arial" w:hAnsi="Arial"/>
          <w:color w:val="1A1A1A"/>
          <w:sz w:val="22"/>
          <w:szCs w:val="22"/>
        </w:rPr>
        <w:t xml:space="preserve">Digital transformation strategy applicable to healthcare</w:t>
      </w:r>
    </w:p>
    <w:p>
      <w:pPr>
        <w:pStyle w:val="ListParagraph"/>
        <w:numPr>
          <w:ilvl w:val="0"/>
          <w:numId w:val="2"/>
        </w:numPr>
        <w:spacing w:after="60"/>
      </w:pPr>
      <w:r>
        <w:rPr>
          <w:rFonts w:ascii="Arial" w:cs="Arial" w:eastAsia="Arial" w:hAnsi="Arial"/>
          <w:b/>
          <w:bCs/>
          <w:color w:val="1A1A1A"/>
          <w:sz w:val="22"/>
          <w:szCs w:val="22"/>
        </w:rPr>
        <w:t xml:space="preserve">The Patient Will See You Now (Eric Topol) — </w:t>
      </w:r>
      <w:r>
        <w:rPr>
          <w:rFonts w:ascii="Arial" w:cs="Arial" w:eastAsia="Arial" w:hAnsi="Arial"/>
          <w:color w:val="1A1A1A"/>
          <w:sz w:val="22"/>
          <w:szCs w:val="22"/>
        </w:rPr>
        <w:t xml:space="preserve">The future of digital health and patient empowerment</w:t>
      </w:r>
    </w:p>
    <w:p>
      <w:pPr>
        <w:pStyle w:val="ListParagraph"/>
        <w:numPr>
          <w:ilvl w:val="0"/>
          <w:numId w:val="2"/>
        </w:numPr>
        <w:spacing w:after="60"/>
      </w:pPr>
      <w:r>
        <w:rPr>
          <w:rFonts w:ascii="Arial" w:cs="Arial" w:eastAsia="Arial" w:hAnsi="Arial"/>
          <w:b/>
          <w:bCs/>
          <w:color w:val="1A1A1A"/>
          <w:sz w:val="22"/>
          <w:szCs w:val="22"/>
        </w:rPr>
        <w:t xml:space="preserve">Deep Medicine (Eric Topol) — </w:t>
      </w:r>
      <w:r>
        <w:rPr>
          <w:rFonts w:ascii="Arial" w:cs="Arial" w:eastAsia="Arial" w:hAnsi="Arial"/>
          <w:color w:val="1A1A1A"/>
          <w:sz w:val="22"/>
          <w:szCs w:val="22"/>
        </w:rPr>
        <w:t xml:space="preserve">AI in healthcare and the future of clinical practice</w:t>
      </w:r>
    </w:p>
    <w:p>
      <w:pPr>
        <w:pStyle w:val="ListParagraph"/>
        <w:numPr>
          <w:ilvl w:val="0"/>
          <w:numId w:val="2"/>
        </w:numPr>
        <w:spacing w:after="60"/>
      </w:pPr>
      <w:r>
        <w:rPr>
          <w:rFonts w:ascii="Arial" w:cs="Arial" w:eastAsia="Arial" w:hAnsi="Arial"/>
          <w:b/>
          <w:bCs/>
          <w:color w:val="1A1A1A"/>
          <w:sz w:val="22"/>
          <w:szCs w:val="22"/>
        </w:rPr>
        <w:t xml:space="preserve">The Lean Startup (Eric Ries) — </w:t>
      </w:r>
      <w:r>
        <w:rPr>
          <w:rFonts w:ascii="Arial" w:cs="Arial" w:eastAsia="Arial" w:hAnsi="Arial"/>
          <w:color w:val="1A1A1A"/>
          <w:sz w:val="22"/>
          <w:szCs w:val="22"/>
        </w:rPr>
        <w:t xml:space="preserve">Innovation methodology applicable to health IT product development</w:t>
      </w:r>
    </w:p>
    <w:p>
      <w:pPr>
        <w:pStyle w:val="ListParagraph"/>
        <w:numPr>
          <w:ilvl w:val="0"/>
          <w:numId w:val="2"/>
        </w:numPr>
        <w:spacing w:after="60"/>
      </w:pPr>
      <w:r>
        <w:rPr>
          <w:rFonts w:ascii="Arial" w:cs="Arial" w:eastAsia="Arial" w:hAnsi="Arial"/>
          <w:b/>
          <w:bCs/>
          <w:color w:val="1A1A1A"/>
          <w:sz w:val="22"/>
          <w:szCs w:val="22"/>
        </w:rPr>
        <w:t xml:space="preserve">Human Error (James Reason) — </w:t>
      </w:r>
      <w:r>
        <w:rPr>
          <w:rFonts w:ascii="Arial" w:cs="Arial" w:eastAsia="Arial" w:hAnsi="Arial"/>
          <w:color w:val="1A1A1A"/>
          <w:sz w:val="22"/>
          <w:szCs w:val="22"/>
        </w:rPr>
        <w:t xml:space="preserve">Foundational text on systems thinking and error management in high-reliability environments</w:t>
      </w:r>
    </w:p>
    <w:p>
      <w:pPr>
        <w:pStyle w:val="Heading3"/>
        <w:spacing w:after="100" w:before="200"/>
      </w:pPr>
      <w:r>
        <w:rPr>
          <w:rFonts w:ascii="Arial" w:cs="Arial" w:eastAsia="Arial" w:hAnsi="Arial"/>
          <w:b/>
          <w:bCs/>
          <w:color w:val="1B3A5C"/>
          <w:sz w:val="24"/>
          <w:szCs w:val="24"/>
        </w:rPr>
        <w:t xml:space="preserve">Online Courses &amp; Learning Platforms</w:t>
      </w:r>
    </w:p>
    <w:p>
      <w:pPr>
        <w:pStyle w:val="ListParagraph"/>
        <w:numPr>
          <w:ilvl w:val="0"/>
          <w:numId w:val="2"/>
        </w:numPr>
        <w:spacing w:after="60"/>
      </w:pPr>
      <w:r>
        <w:rPr>
          <w:rFonts w:ascii="Arial" w:cs="Arial" w:eastAsia="Arial" w:hAnsi="Arial"/>
          <w:b/>
          <w:bCs/>
          <w:color w:val="1A1A1A"/>
          <w:sz w:val="22"/>
          <w:szCs w:val="22"/>
        </w:rPr>
        <w:t xml:space="preserve">AMIA 10x10 Program — </w:t>
      </w:r>
      <w:r>
        <w:rPr>
          <w:rFonts w:ascii="Arial" w:cs="Arial" w:eastAsia="Arial" w:hAnsi="Arial"/>
          <w:color w:val="1A1A1A"/>
          <w:sz w:val="22"/>
          <w:szCs w:val="22"/>
        </w:rPr>
        <w:t xml:space="preserve">Gold standard clinical informatics training</w:t>
      </w:r>
    </w:p>
    <w:p>
      <w:pPr>
        <w:pStyle w:val="ListParagraph"/>
        <w:numPr>
          <w:ilvl w:val="0"/>
          <w:numId w:val="2"/>
        </w:numPr>
        <w:spacing w:after="60"/>
      </w:pPr>
      <w:r>
        <w:rPr>
          <w:rFonts w:ascii="Arial" w:cs="Arial" w:eastAsia="Arial" w:hAnsi="Arial"/>
          <w:b/>
          <w:bCs/>
          <w:color w:val="1A1A1A"/>
          <w:sz w:val="22"/>
          <w:szCs w:val="22"/>
        </w:rPr>
        <w:t xml:space="preserve">HIMSS Learning Center — </w:t>
      </w:r>
      <w:r>
        <w:rPr>
          <w:rFonts w:ascii="Arial" w:cs="Arial" w:eastAsia="Arial" w:hAnsi="Arial"/>
          <w:color w:val="1A1A1A"/>
          <w:sz w:val="22"/>
          <w:szCs w:val="22"/>
        </w:rPr>
        <w:t xml:space="preserve">CPHIMS prep, health IT courses, webinars</w:t>
      </w:r>
    </w:p>
    <w:p>
      <w:pPr>
        <w:pStyle w:val="ListParagraph"/>
        <w:numPr>
          <w:ilvl w:val="0"/>
          <w:numId w:val="2"/>
        </w:numPr>
        <w:spacing w:after="60"/>
      </w:pPr>
      <w:r>
        <w:rPr>
          <w:rFonts w:ascii="Arial" w:cs="Arial" w:eastAsia="Arial" w:hAnsi="Arial"/>
          <w:b/>
          <w:bCs/>
          <w:color w:val="1A1A1A"/>
          <w:sz w:val="22"/>
          <w:szCs w:val="22"/>
        </w:rPr>
        <w:t xml:space="preserve">Coursera: Johns Hopkins Health Informatics, Health IT Fundamentals</w:t>
      </w:r>
      <w:r>
        <w:rPr>
          <w:rFonts w:ascii="Arial" w:cs="Arial" w:eastAsia="Arial" w:hAnsi="Arial"/>
          <w:color w:val="1A1A1A"/>
          <w:sz w:val="22"/>
          <w:szCs w:val="22"/>
        </w:rPr>
      </w:r>
    </w:p>
    <w:p>
      <w:pPr>
        <w:pStyle w:val="ListParagraph"/>
        <w:numPr>
          <w:ilvl w:val="0"/>
          <w:numId w:val="2"/>
        </w:numPr>
        <w:spacing w:after="60"/>
      </w:pPr>
      <w:r>
        <w:rPr>
          <w:rFonts w:ascii="Arial" w:cs="Arial" w:eastAsia="Arial" w:hAnsi="Arial"/>
          <w:b/>
          <w:bCs/>
          <w:color w:val="1A1A1A"/>
          <w:sz w:val="22"/>
          <w:szCs w:val="22"/>
        </w:rPr>
        <w:t xml:space="preserve">edX: MIT Healthcare Innovation, HarvardX Health Data Science</w:t>
      </w:r>
      <w:r>
        <w:rPr>
          <w:rFonts w:ascii="Arial" w:cs="Arial" w:eastAsia="Arial" w:hAnsi="Arial"/>
          <w:color w:val="1A1A1A"/>
          <w:sz w:val="22"/>
          <w:szCs w:val="22"/>
        </w:rPr>
      </w:r>
    </w:p>
    <w:p>
      <w:pPr>
        <w:pStyle w:val="ListParagraph"/>
        <w:numPr>
          <w:ilvl w:val="0"/>
          <w:numId w:val="2"/>
        </w:numPr>
        <w:spacing w:after="60"/>
      </w:pPr>
      <w:r>
        <w:rPr>
          <w:rFonts w:ascii="Arial" w:cs="Arial" w:eastAsia="Arial" w:hAnsi="Arial"/>
          <w:b/>
          <w:bCs/>
          <w:color w:val="1A1A1A"/>
          <w:sz w:val="22"/>
          <w:szCs w:val="22"/>
        </w:rPr>
        <w:t xml:space="preserve">ONC Health IT Curriculum — </w:t>
      </w:r>
      <w:r>
        <w:rPr>
          <w:rFonts w:ascii="Arial" w:cs="Arial" w:eastAsia="Arial" w:hAnsi="Arial"/>
          <w:color w:val="1A1A1A"/>
          <w:sz w:val="22"/>
          <w:szCs w:val="22"/>
        </w:rPr>
        <w:t xml:space="preserve">Free federal health IT training resources</w:t>
      </w:r>
    </w:p>
    <w:p>
      <w:pPr>
        <w:pStyle w:val="ListParagraph"/>
        <w:numPr>
          <w:ilvl w:val="0"/>
          <w:numId w:val="2"/>
        </w:numPr>
        <w:spacing w:after="60"/>
      </w:pPr>
      <w:r>
        <w:rPr>
          <w:rFonts w:ascii="Arial" w:cs="Arial" w:eastAsia="Arial" w:hAnsi="Arial"/>
          <w:b/>
          <w:bCs/>
          <w:color w:val="1A1A1A"/>
          <w:sz w:val="22"/>
          <w:szCs w:val="22"/>
        </w:rPr>
        <w:t xml:space="preserve">HL7 FHIR Training (hl7.org/fhir) — </w:t>
      </w:r>
      <w:r>
        <w:rPr>
          <w:rFonts w:ascii="Arial" w:cs="Arial" w:eastAsia="Arial" w:hAnsi="Arial"/>
          <w:color w:val="1A1A1A"/>
          <w:sz w:val="22"/>
          <w:szCs w:val="22"/>
        </w:rPr>
        <w:t xml:space="preserve">Official FHIR documentation and tutorials</w:t>
      </w:r>
    </w:p>
    <w:p>
      <w:pPr>
        <w:pStyle w:val="ListParagraph"/>
        <w:numPr>
          <w:ilvl w:val="0"/>
          <w:numId w:val="2"/>
        </w:numPr>
        <w:spacing w:after="60"/>
      </w:pPr>
      <w:r>
        <w:rPr>
          <w:rFonts w:ascii="Arial" w:cs="Arial" w:eastAsia="Arial" w:hAnsi="Arial"/>
          <w:b/>
          <w:bCs/>
          <w:color w:val="1A1A1A"/>
          <w:sz w:val="22"/>
          <w:szCs w:val="22"/>
        </w:rPr>
        <w:t xml:space="preserve">Pluralsight / Udemy — </w:t>
      </w:r>
      <w:r>
        <w:rPr>
          <w:rFonts w:ascii="Arial" w:cs="Arial" w:eastAsia="Arial" w:hAnsi="Arial"/>
          <w:color w:val="1A1A1A"/>
          <w:sz w:val="22"/>
          <w:szCs w:val="22"/>
        </w:rPr>
        <w:t xml:space="preserve">Cloud certifications, data engineering, cybersecurity for healthcare</w:t>
      </w:r>
    </w:p>
    <w:p>
      <w:pPr>
        <w:pStyle w:val="ListParagraph"/>
        <w:numPr>
          <w:ilvl w:val="0"/>
          <w:numId w:val="2"/>
        </w:numPr>
        <w:spacing w:after="60"/>
      </w:pPr>
      <w:r>
        <w:rPr>
          <w:rFonts w:ascii="Arial" w:cs="Arial" w:eastAsia="Arial" w:hAnsi="Arial"/>
          <w:b/>
          <w:bCs/>
          <w:color w:val="1A1A1A"/>
          <w:sz w:val="22"/>
          <w:szCs w:val="22"/>
        </w:rPr>
        <w:t xml:space="preserve">Epic UserWeb / Oracle Health uCern — </w:t>
      </w:r>
      <w:r>
        <w:rPr>
          <w:rFonts w:ascii="Arial" w:cs="Arial" w:eastAsia="Arial" w:hAnsi="Arial"/>
          <w:color w:val="1A1A1A"/>
          <w:sz w:val="22"/>
          <w:szCs w:val="22"/>
        </w:rPr>
        <w:t xml:space="preserve">Vendor-specific training and certifications</w:t>
      </w:r>
    </w:p>
    <w:p>
      <w:pPr>
        <w:pStyle w:val="ListParagraph"/>
        <w:numPr>
          <w:ilvl w:val="0"/>
          <w:numId w:val="2"/>
        </w:numPr>
        <w:spacing w:after="60"/>
      </w:pPr>
      <w:r>
        <w:rPr>
          <w:rFonts w:ascii="Arial" w:cs="Arial" w:eastAsia="Arial" w:hAnsi="Arial"/>
          <w:b/>
          <w:bCs/>
          <w:color w:val="1A1A1A"/>
          <w:sz w:val="22"/>
          <w:szCs w:val="22"/>
        </w:rPr>
        <w:t xml:space="preserve">Stanford Online: AI in Healthcare Specialization — </w:t>
      </w:r>
      <w:r>
        <w:rPr>
          <w:rFonts w:ascii="Arial" w:cs="Arial" w:eastAsia="Arial" w:hAnsi="Arial"/>
          <w:color w:val="1A1A1A"/>
          <w:sz w:val="22"/>
          <w:szCs w:val="22"/>
        </w:rPr>
        <w:t xml:space="preserve">ML and AI applications in clinical settings</w:t>
      </w:r>
    </w:p>
    <w:p>
      <w:pPr>
        <w:pStyle w:val="ListParagraph"/>
        <w:numPr>
          <w:ilvl w:val="0"/>
          <w:numId w:val="2"/>
        </w:numPr>
        <w:spacing w:after="60"/>
      </w:pPr>
      <w:r>
        <w:rPr>
          <w:rFonts w:ascii="Arial" w:cs="Arial" w:eastAsia="Arial" w:hAnsi="Arial"/>
          <w:b/>
          <w:bCs/>
          <w:color w:val="1A1A1A"/>
          <w:sz w:val="22"/>
          <w:szCs w:val="22"/>
        </w:rPr>
        <w:t xml:space="preserve">Google Health AI courses — </w:t>
      </w:r>
      <w:r>
        <w:rPr>
          <w:rFonts w:ascii="Arial" w:cs="Arial" w:eastAsia="Arial" w:hAnsi="Arial"/>
          <w:color w:val="1A1A1A"/>
          <w:sz w:val="22"/>
          <w:szCs w:val="22"/>
        </w:rPr>
        <w:t xml:space="preserve">Practical AI/ML for healthcare data and imaging</w:t>
      </w:r>
    </w:p>
    <w:p>
      <w:pPr>
        <w:pStyle w:val="Heading3"/>
        <w:spacing w:after="100" w:before="200"/>
      </w:pPr>
      <w:r>
        <w:rPr>
          <w:rFonts w:ascii="Arial" w:cs="Arial" w:eastAsia="Arial" w:hAnsi="Arial"/>
          <w:b/>
          <w:bCs/>
          <w:color w:val="1B3A5C"/>
          <w:sz w:val="24"/>
          <w:szCs w:val="24"/>
        </w:rPr>
        <w:t xml:space="preserve">Industry Organizations &amp; Communities</w:t>
      </w:r>
    </w:p>
    <w:p>
      <w:pPr>
        <w:pStyle w:val="ListParagraph"/>
        <w:numPr>
          <w:ilvl w:val="0"/>
          <w:numId w:val="2"/>
        </w:numPr>
        <w:spacing w:after="60"/>
      </w:pPr>
      <w:r>
        <w:rPr>
          <w:rFonts w:ascii="Arial" w:cs="Arial" w:eastAsia="Arial" w:hAnsi="Arial"/>
          <w:b/>
          <w:bCs/>
          <w:color w:val="1A1A1A"/>
          <w:sz w:val="22"/>
          <w:szCs w:val="22"/>
        </w:rPr>
        <w:t xml:space="preserve">HIMSS (Healthcare Information and Management Systems Society) — </w:t>
      </w:r>
      <w:r>
        <w:rPr>
          <w:rFonts w:ascii="Arial" w:cs="Arial" w:eastAsia="Arial" w:hAnsi="Arial"/>
          <w:color w:val="1A1A1A"/>
          <w:sz w:val="22"/>
          <w:szCs w:val="22"/>
        </w:rPr>
        <w:t xml:space="preserve">Premier health IT professional organization, annual conference</w:t>
      </w:r>
    </w:p>
    <w:p>
      <w:pPr>
        <w:pStyle w:val="ListParagraph"/>
        <w:numPr>
          <w:ilvl w:val="0"/>
          <w:numId w:val="2"/>
        </w:numPr>
        <w:spacing w:after="60"/>
      </w:pPr>
      <w:r>
        <w:rPr>
          <w:rFonts w:ascii="Arial" w:cs="Arial" w:eastAsia="Arial" w:hAnsi="Arial"/>
          <w:b/>
          <w:bCs/>
          <w:color w:val="1A1A1A"/>
          <w:sz w:val="22"/>
          <w:szCs w:val="22"/>
        </w:rPr>
        <w:t xml:space="preserve">CHIME (College of Healthcare Information Management Executives) — </w:t>
      </w:r>
      <w:r>
        <w:rPr>
          <w:rFonts w:ascii="Arial" w:cs="Arial" w:eastAsia="Arial" w:hAnsi="Arial"/>
          <w:color w:val="1A1A1A"/>
          <w:sz w:val="22"/>
          <w:szCs w:val="22"/>
        </w:rPr>
        <w:t xml:space="preserve">CIO-level peer networking and education</w:t>
      </w:r>
    </w:p>
    <w:p>
      <w:pPr>
        <w:pStyle w:val="ListParagraph"/>
        <w:numPr>
          <w:ilvl w:val="0"/>
          <w:numId w:val="2"/>
        </w:numPr>
        <w:spacing w:after="60"/>
      </w:pPr>
      <w:r>
        <w:rPr>
          <w:rFonts w:ascii="Arial" w:cs="Arial" w:eastAsia="Arial" w:hAnsi="Arial"/>
          <w:b/>
          <w:bCs/>
          <w:color w:val="1A1A1A"/>
          <w:sz w:val="22"/>
          <w:szCs w:val="22"/>
        </w:rPr>
        <w:t xml:space="preserve">AMIA (American Medical Informatics Association) — </w:t>
      </w:r>
      <w:r>
        <w:rPr>
          <w:rFonts w:ascii="Arial" w:cs="Arial" w:eastAsia="Arial" w:hAnsi="Arial"/>
          <w:color w:val="1A1A1A"/>
          <w:sz w:val="22"/>
          <w:szCs w:val="22"/>
        </w:rPr>
        <w:t xml:space="preserve">Clinical and biomedical informatics community</w:t>
      </w:r>
    </w:p>
    <w:p>
      <w:pPr>
        <w:pStyle w:val="ListParagraph"/>
        <w:numPr>
          <w:ilvl w:val="0"/>
          <w:numId w:val="2"/>
        </w:numPr>
        <w:spacing w:after="60"/>
      </w:pPr>
      <w:r>
        <w:rPr>
          <w:rFonts w:ascii="Arial" w:cs="Arial" w:eastAsia="Arial" w:hAnsi="Arial"/>
          <w:b/>
          <w:bCs/>
          <w:color w:val="1A1A1A"/>
          <w:sz w:val="22"/>
          <w:szCs w:val="22"/>
        </w:rPr>
        <w:t xml:space="preserve">HL7 International — </w:t>
      </w:r>
      <w:r>
        <w:rPr>
          <w:rFonts w:ascii="Arial" w:cs="Arial" w:eastAsia="Arial" w:hAnsi="Arial"/>
          <w:color w:val="1A1A1A"/>
          <w:sz w:val="22"/>
          <w:szCs w:val="22"/>
        </w:rPr>
        <w:t xml:space="preserve">Interoperability standards development, work groups</w:t>
      </w:r>
    </w:p>
    <w:p>
      <w:pPr>
        <w:pStyle w:val="ListParagraph"/>
        <w:numPr>
          <w:ilvl w:val="0"/>
          <w:numId w:val="2"/>
        </w:numPr>
        <w:spacing w:after="60"/>
      </w:pPr>
      <w:r>
        <w:rPr>
          <w:rFonts w:ascii="Arial" w:cs="Arial" w:eastAsia="Arial" w:hAnsi="Arial"/>
          <w:b/>
          <w:bCs/>
          <w:color w:val="1A1A1A"/>
          <w:sz w:val="22"/>
          <w:szCs w:val="22"/>
        </w:rPr>
        <w:t xml:space="preserve">AHIMA (American Health Information Management Association) — </w:t>
      </w:r>
      <w:r>
        <w:rPr>
          <w:rFonts w:ascii="Arial" w:cs="Arial" w:eastAsia="Arial" w:hAnsi="Arial"/>
          <w:color w:val="1A1A1A"/>
          <w:sz w:val="22"/>
          <w:szCs w:val="22"/>
        </w:rPr>
        <w:t xml:space="preserve">HIM and coding professionals</w:t>
      </w:r>
    </w:p>
    <w:p>
      <w:pPr>
        <w:pStyle w:val="ListParagraph"/>
        <w:numPr>
          <w:ilvl w:val="0"/>
          <w:numId w:val="2"/>
        </w:numPr>
        <w:spacing w:after="60"/>
      </w:pPr>
      <w:r>
        <w:rPr>
          <w:rFonts w:ascii="Arial" w:cs="Arial" w:eastAsia="Arial" w:hAnsi="Arial"/>
          <w:b/>
          <w:bCs/>
          <w:color w:val="1A1A1A"/>
          <w:sz w:val="22"/>
          <w:szCs w:val="22"/>
        </w:rPr>
        <w:t xml:space="preserve">HCCA (Health Care Compliance Association) — </w:t>
      </w:r>
      <w:r>
        <w:rPr>
          <w:rFonts w:ascii="Arial" w:cs="Arial" w:eastAsia="Arial" w:hAnsi="Arial"/>
          <w:color w:val="1A1A1A"/>
          <w:sz w:val="22"/>
          <w:szCs w:val="22"/>
        </w:rPr>
        <w:t xml:space="preserve">Compliance networking</w:t>
      </w:r>
    </w:p>
    <w:p>
      <w:pPr>
        <w:pStyle w:val="ListParagraph"/>
        <w:numPr>
          <w:ilvl w:val="0"/>
          <w:numId w:val="2"/>
        </w:numPr>
        <w:spacing w:after="60"/>
      </w:pPr>
      <w:r>
        <w:rPr>
          <w:rFonts w:ascii="Arial" w:cs="Arial" w:eastAsia="Arial" w:hAnsi="Arial"/>
          <w:b/>
          <w:bCs/>
          <w:color w:val="1A1A1A"/>
          <w:sz w:val="22"/>
          <w:szCs w:val="22"/>
        </w:rPr>
        <w:t xml:space="preserve">CHIME AEHIS/AEHIT — </w:t>
      </w:r>
      <w:r>
        <w:rPr>
          <w:rFonts w:ascii="Arial" w:cs="Arial" w:eastAsia="Arial" w:hAnsi="Arial"/>
          <w:color w:val="1A1A1A"/>
          <w:sz w:val="22"/>
          <w:szCs w:val="22"/>
        </w:rPr>
        <w:t xml:space="preserve">Health IT security and technology associations</w:t>
      </w:r>
    </w:p>
    <w:p>
      <w:pPr>
        <w:pStyle w:val="ListParagraph"/>
        <w:numPr>
          <w:ilvl w:val="0"/>
          <w:numId w:val="2"/>
        </w:numPr>
        <w:spacing w:after="60"/>
      </w:pPr>
      <w:r>
        <w:rPr>
          <w:rFonts w:ascii="Arial" w:cs="Arial" w:eastAsia="Arial" w:hAnsi="Arial"/>
          <w:b/>
          <w:bCs/>
          <w:color w:val="1A1A1A"/>
          <w:sz w:val="22"/>
          <w:szCs w:val="22"/>
        </w:rPr>
        <w:t xml:space="preserve">CommonWell Health Alliance / Carequality — </w:t>
      </w:r>
      <w:r>
        <w:rPr>
          <w:rFonts w:ascii="Arial" w:cs="Arial" w:eastAsia="Arial" w:hAnsi="Arial"/>
          <w:color w:val="1A1A1A"/>
          <w:sz w:val="22"/>
          <w:szCs w:val="22"/>
        </w:rPr>
        <w:t xml:space="preserve">Interoperability frameworks and communities</w:t>
      </w:r>
    </w:p>
    <w:p>
      <w:pPr>
        <w:pStyle w:val="ListParagraph"/>
        <w:numPr>
          <w:ilvl w:val="0"/>
          <w:numId w:val="2"/>
        </w:numPr>
        <w:spacing w:after="60"/>
      </w:pPr>
      <w:r>
        <w:rPr>
          <w:rFonts w:ascii="Arial" w:cs="Arial" w:eastAsia="Arial" w:hAnsi="Arial"/>
          <w:b/>
          <w:bCs/>
          <w:color w:val="1A1A1A"/>
          <w:sz w:val="22"/>
          <w:szCs w:val="22"/>
        </w:rPr>
        <w:t xml:space="preserve">OHDSI (Observational Health Data Sciences and Informatics) — </w:t>
      </w:r>
      <w:r>
        <w:rPr>
          <w:rFonts w:ascii="Arial" w:cs="Arial" w:eastAsia="Arial" w:hAnsi="Arial"/>
          <w:color w:val="1A1A1A"/>
          <w:sz w:val="22"/>
          <w:szCs w:val="22"/>
        </w:rPr>
        <w:t xml:space="preserve">Open-science community for OMOP CDM and large-scale analytics</w:t>
      </w:r>
    </w:p>
    <w:p>
      <w:pPr>
        <w:pStyle w:val="ListParagraph"/>
        <w:numPr>
          <w:ilvl w:val="0"/>
          <w:numId w:val="2"/>
        </w:numPr>
        <w:spacing w:after="60"/>
      </w:pPr>
      <w:r>
        <w:rPr>
          <w:rFonts w:ascii="Arial" w:cs="Arial" w:eastAsia="Arial" w:hAnsi="Arial"/>
          <w:b/>
          <w:bCs/>
          <w:color w:val="1A1A1A"/>
          <w:sz w:val="22"/>
          <w:szCs w:val="22"/>
        </w:rPr>
        <w:t xml:space="preserve">Digital Health Society (DHS) — </w:t>
      </w:r>
      <w:r>
        <w:rPr>
          <w:rFonts w:ascii="Arial" w:cs="Arial" w:eastAsia="Arial" w:hAnsi="Arial"/>
          <w:color w:val="1A1A1A"/>
          <w:sz w:val="22"/>
          <w:szCs w:val="22"/>
        </w:rPr>
        <w:t xml:space="preserve">European digital health policy and innovation community</w:t>
      </w:r>
    </w:p>
    <w:p>
      <w:pPr>
        <w:pStyle w:val="Heading3"/>
        <w:spacing w:after="100" w:before="200"/>
      </w:pPr>
      <w:r>
        <w:rPr>
          <w:rFonts w:ascii="Arial" w:cs="Arial" w:eastAsia="Arial" w:hAnsi="Arial"/>
          <w:b/>
          <w:bCs/>
          <w:color w:val="1B3A5C"/>
          <w:sz w:val="24"/>
          <w:szCs w:val="24"/>
        </w:rPr>
        <w:t xml:space="preserve">Key Publications &amp; Staying Current</w:t>
      </w:r>
    </w:p>
    <w:p>
      <w:pPr>
        <w:pStyle w:val="ListParagraph"/>
        <w:numPr>
          <w:ilvl w:val="0"/>
          <w:numId w:val="2"/>
        </w:numPr>
        <w:spacing w:after="60"/>
      </w:pPr>
      <w:r>
        <w:rPr>
          <w:rFonts w:ascii="Arial" w:cs="Arial" w:eastAsia="Arial" w:hAnsi="Arial"/>
          <w:b/>
          <w:bCs/>
          <w:color w:val="1A1A1A"/>
          <w:sz w:val="22"/>
          <w:szCs w:val="22"/>
        </w:rPr>
        <w:t xml:space="preserve">JAMIA (Journal of the American Medical Informatics Association) — </w:t>
      </w:r>
      <w:r>
        <w:rPr>
          <w:rFonts w:ascii="Arial" w:cs="Arial" w:eastAsia="Arial" w:hAnsi="Arial"/>
          <w:color w:val="1A1A1A"/>
          <w:sz w:val="22"/>
          <w:szCs w:val="22"/>
        </w:rPr>
        <w:t xml:space="preserve">Research journal</w:t>
      </w:r>
    </w:p>
    <w:p>
      <w:pPr>
        <w:pStyle w:val="ListParagraph"/>
        <w:numPr>
          <w:ilvl w:val="0"/>
          <w:numId w:val="2"/>
        </w:numPr>
        <w:spacing w:after="60"/>
      </w:pPr>
      <w:r>
        <w:rPr>
          <w:rFonts w:ascii="Arial" w:cs="Arial" w:eastAsia="Arial" w:hAnsi="Arial"/>
          <w:b/>
          <w:bCs/>
          <w:color w:val="1A1A1A"/>
          <w:sz w:val="22"/>
          <w:szCs w:val="22"/>
        </w:rPr>
        <w:t xml:space="preserve">Healthcare IT News — </w:t>
      </w:r>
      <w:r>
        <w:rPr>
          <w:rFonts w:ascii="Arial" w:cs="Arial" w:eastAsia="Arial" w:hAnsi="Arial"/>
          <w:color w:val="1A1A1A"/>
          <w:sz w:val="22"/>
          <w:szCs w:val="22"/>
        </w:rPr>
        <w:t xml:space="preserve">Daily industry news and analysis</w:t>
      </w:r>
    </w:p>
    <w:p>
      <w:pPr>
        <w:pStyle w:val="ListParagraph"/>
        <w:numPr>
          <w:ilvl w:val="0"/>
          <w:numId w:val="2"/>
        </w:numPr>
        <w:spacing w:after="60"/>
      </w:pPr>
      <w:r>
        <w:rPr>
          <w:rFonts w:ascii="Arial" w:cs="Arial" w:eastAsia="Arial" w:hAnsi="Arial"/>
          <w:b/>
          <w:bCs/>
          <w:color w:val="1A1A1A"/>
          <w:sz w:val="22"/>
          <w:szCs w:val="22"/>
        </w:rPr>
        <w:t xml:space="preserve">KLAS Research — </w:t>
      </w:r>
      <w:r>
        <w:rPr>
          <w:rFonts w:ascii="Arial" w:cs="Arial" w:eastAsia="Arial" w:hAnsi="Arial"/>
          <w:color w:val="1A1A1A"/>
          <w:sz w:val="22"/>
          <w:szCs w:val="22"/>
        </w:rPr>
        <w:t xml:space="preserve">Vendor performance ratings and market analysis</w:t>
      </w:r>
    </w:p>
    <w:p>
      <w:pPr>
        <w:pStyle w:val="ListParagraph"/>
        <w:numPr>
          <w:ilvl w:val="0"/>
          <w:numId w:val="2"/>
        </w:numPr>
        <w:spacing w:after="60"/>
      </w:pPr>
      <w:r>
        <w:rPr>
          <w:rFonts w:ascii="Arial" w:cs="Arial" w:eastAsia="Arial" w:hAnsi="Arial"/>
          <w:b/>
          <w:bCs/>
          <w:color w:val="1A1A1A"/>
          <w:sz w:val="22"/>
          <w:szCs w:val="22"/>
        </w:rPr>
        <w:t xml:space="preserve">Gartner for Healthcare — </w:t>
      </w:r>
      <w:r>
        <w:rPr>
          <w:rFonts w:ascii="Arial" w:cs="Arial" w:eastAsia="Arial" w:hAnsi="Arial"/>
          <w:color w:val="1A1A1A"/>
          <w:sz w:val="22"/>
          <w:szCs w:val="22"/>
        </w:rPr>
        <w:t xml:space="preserve">Technology trend analysis and market guidance</w:t>
      </w:r>
    </w:p>
    <w:p>
      <w:pPr>
        <w:pStyle w:val="ListParagraph"/>
        <w:numPr>
          <w:ilvl w:val="0"/>
          <w:numId w:val="2"/>
        </w:numPr>
        <w:spacing w:after="60"/>
      </w:pPr>
      <w:r>
        <w:rPr>
          <w:rFonts w:ascii="Arial" w:cs="Arial" w:eastAsia="Arial" w:hAnsi="Arial"/>
          <w:b/>
          <w:bCs/>
          <w:color w:val="1A1A1A"/>
          <w:sz w:val="22"/>
          <w:szCs w:val="22"/>
        </w:rPr>
        <w:t xml:space="preserve">Becker’s Health IT — </w:t>
      </w:r>
      <w:r>
        <w:rPr>
          <w:rFonts w:ascii="Arial" w:cs="Arial" w:eastAsia="Arial" w:hAnsi="Arial"/>
          <w:color w:val="1A1A1A"/>
          <w:sz w:val="22"/>
          <w:szCs w:val="22"/>
        </w:rPr>
        <w:t xml:space="preserve">News, articles, and CIO interviews</w:t>
      </w:r>
    </w:p>
    <w:p>
      <w:pPr>
        <w:pStyle w:val="ListParagraph"/>
        <w:numPr>
          <w:ilvl w:val="0"/>
          <w:numId w:val="2"/>
        </w:numPr>
        <w:spacing w:after="60"/>
      </w:pPr>
      <w:r>
        <w:rPr>
          <w:rFonts w:ascii="Arial" w:cs="Arial" w:eastAsia="Arial" w:hAnsi="Arial"/>
          <w:b/>
          <w:bCs/>
          <w:color w:val="1A1A1A"/>
          <w:sz w:val="22"/>
          <w:szCs w:val="22"/>
        </w:rPr>
        <w:t xml:space="preserve">CMS.gov — </w:t>
      </w:r>
      <w:r>
        <w:rPr>
          <w:rFonts w:ascii="Arial" w:cs="Arial" w:eastAsia="Arial" w:hAnsi="Arial"/>
          <w:color w:val="1A1A1A"/>
          <w:sz w:val="22"/>
          <w:szCs w:val="22"/>
        </w:rPr>
        <w:t xml:space="preserve">Regulatory updates, final rules, quality program changes</w:t>
      </w:r>
    </w:p>
    <w:p>
      <w:pPr>
        <w:pStyle w:val="ListParagraph"/>
        <w:numPr>
          <w:ilvl w:val="0"/>
          <w:numId w:val="2"/>
        </w:numPr>
        <w:spacing w:after="60"/>
      </w:pPr>
      <w:r>
        <w:rPr>
          <w:rFonts w:ascii="Arial" w:cs="Arial" w:eastAsia="Arial" w:hAnsi="Arial"/>
          <w:b/>
          <w:bCs/>
          <w:color w:val="1A1A1A"/>
          <w:sz w:val="22"/>
          <w:szCs w:val="22"/>
        </w:rPr>
        <w:t xml:space="preserve">ONC.gov — </w:t>
      </w:r>
      <w:r>
        <w:rPr>
          <w:rFonts w:ascii="Arial" w:cs="Arial" w:eastAsia="Arial" w:hAnsi="Arial"/>
          <w:color w:val="1A1A1A"/>
          <w:sz w:val="22"/>
          <w:szCs w:val="22"/>
        </w:rPr>
        <w:t xml:space="preserve">Interoperability rules, USCDI updates, health IT policy</w:t>
      </w:r>
    </w:p>
    <w:p>
      <w:pPr>
        <w:pStyle w:val="ListParagraph"/>
        <w:numPr>
          <w:ilvl w:val="0"/>
          <w:numId w:val="2"/>
        </w:numPr>
        <w:spacing w:after="60"/>
      </w:pPr>
      <w:r>
        <w:rPr>
          <w:rFonts w:ascii="Arial" w:cs="Arial" w:eastAsia="Arial" w:hAnsi="Arial"/>
          <w:b/>
          <w:bCs/>
          <w:color w:val="1A1A1A"/>
          <w:sz w:val="22"/>
          <w:szCs w:val="22"/>
        </w:rPr>
        <w:t xml:space="preserve">CHIME Podcast / This Week in Health IT Podcast — </w:t>
      </w:r>
      <w:r>
        <w:rPr>
          <w:rFonts w:ascii="Arial" w:cs="Arial" w:eastAsia="Arial" w:hAnsi="Arial"/>
          <w:color w:val="1A1A1A"/>
          <w:sz w:val="22"/>
          <w:szCs w:val="22"/>
        </w:rPr>
        <w:t xml:space="preserve">Industry discussions and leadership insights</w:t>
      </w:r>
    </w:p>
    <w:p>
      <w:pPr>
        <w:pStyle w:val="ListParagraph"/>
        <w:numPr>
          <w:ilvl w:val="0"/>
          <w:numId w:val="2"/>
        </w:numPr>
        <w:spacing w:after="60"/>
      </w:pPr>
      <w:r>
        <w:rPr>
          <w:rFonts w:ascii="Arial" w:cs="Arial" w:eastAsia="Arial" w:hAnsi="Arial"/>
          <w:b/>
          <w:bCs/>
          <w:color w:val="1A1A1A"/>
          <w:sz w:val="22"/>
          <w:szCs w:val="22"/>
        </w:rPr>
        <w:t xml:space="preserve">Health Affairs — </w:t>
      </w:r>
      <w:r>
        <w:rPr>
          <w:rFonts w:ascii="Arial" w:cs="Arial" w:eastAsia="Arial" w:hAnsi="Arial"/>
          <w:color w:val="1A1A1A"/>
          <w:sz w:val="22"/>
          <w:szCs w:val="22"/>
        </w:rPr>
        <w:t xml:space="preserve">Health policy research with frequent digital health and AI coverage</w:t>
      </w:r>
    </w:p>
    <w:p>
      <w:pPr>
        <w:pStyle w:val="ListParagraph"/>
        <w:numPr>
          <w:ilvl w:val="0"/>
          <w:numId w:val="2"/>
        </w:numPr>
        <w:spacing w:after="60"/>
      </w:pPr>
      <w:r>
        <w:rPr>
          <w:rFonts w:ascii="Arial" w:cs="Arial" w:eastAsia="Arial" w:hAnsi="Arial"/>
          <w:b/>
          <w:bCs/>
          <w:color w:val="1A1A1A"/>
          <w:sz w:val="22"/>
          <w:szCs w:val="22"/>
        </w:rPr>
        <w:t xml:space="preserve">NPJ Digital Medicine (Nature) — </w:t>
      </w:r>
      <w:r>
        <w:rPr>
          <w:rFonts w:ascii="Arial" w:cs="Arial" w:eastAsia="Arial" w:hAnsi="Arial"/>
          <w:color w:val="1A1A1A"/>
          <w:sz w:val="22"/>
          <w:szCs w:val="22"/>
        </w:rPr>
        <w:t xml:space="preserve">Peer-reviewed research on digital health technologies and outcomes</w:t>
      </w:r>
    </w:p>
    <w:p>
      <w:pPr>
        <w:pStyle w:val="Heading3"/>
        <w:spacing w:after="100" w:before="200"/>
      </w:pPr>
      <w:r>
        <w:rPr>
          <w:rFonts w:ascii="Arial" w:cs="Arial" w:eastAsia="Arial" w:hAnsi="Arial"/>
          <w:b/>
          <w:bCs/>
          <w:color w:val="1B3A5C"/>
          <w:sz w:val="24"/>
          <w:szCs w:val="24"/>
        </w:rPr>
        <w:t xml:space="preserve">Hands-On Practice</w:t>
      </w:r>
    </w:p>
    <w:p>
      <w:pPr>
        <w:pStyle w:val="ListParagraph"/>
        <w:numPr>
          <w:ilvl w:val="0"/>
          <w:numId w:val="2"/>
        </w:numPr>
        <w:spacing w:after="60"/>
      </w:pPr>
      <w:r>
        <w:rPr>
          <w:rFonts w:ascii="Arial" w:cs="Arial" w:eastAsia="Arial" w:hAnsi="Arial"/>
          <w:b/>
          <w:bCs/>
          <w:color w:val="1A1A1A"/>
          <w:sz w:val="22"/>
          <w:szCs w:val="22"/>
        </w:rPr>
        <w:t xml:space="preserve">FHIR Sandbox environments: </w:t>
      </w:r>
      <w:r>
        <w:rPr>
          <w:rFonts w:ascii="Arial" w:cs="Arial" w:eastAsia="Arial" w:hAnsi="Arial"/>
          <w:color w:val="1A1A1A"/>
          <w:sz w:val="22"/>
          <w:szCs w:val="22"/>
        </w:rPr>
        <w:t xml:space="preserve">HAPI FHIR, Logica Health sandbox, SMART on FHIR test servers</w:t>
      </w:r>
    </w:p>
    <w:p>
      <w:pPr>
        <w:pStyle w:val="ListParagraph"/>
        <w:numPr>
          <w:ilvl w:val="0"/>
          <w:numId w:val="2"/>
        </w:numPr>
        <w:spacing w:after="60"/>
      </w:pPr>
      <w:r>
        <w:rPr>
          <w:rFonts w:ascii="Arial" w:cs="Arial" w:eastAsia="Arial" w:hAnsi="Arial"/>
          <w:b/>
          <w:bCs/>
          <w:color w:val="1A1A1A"/>
          <w:sz w:val="22"/>
          <w:szCs w:val="22"/>
        </w:rPr>
        <w:t xml:space="preserve">OpenEMR / OpenMRS: </w:t>
      </w:r>
      <w:r>
        <w:rPr>
          <w:rFonts w:ascii="Arial" w:cs="Arial" w:eastAsia="Arial" w:hAnsi="Arial"/>
          <w:color w:val="1A1A1A"/>
          <w:sz w:val="22"/>
          <w:szCs w:val="22"/>
        </w:rPr>
        <w:t xml:space="preserve">Open-source EHR systems for learning</w:t>
      </w:r>
    </w:p>
    <w:p>
      <w:pPr>
        <w:pStyle w:val="ListParagraph"/>
        <w:numPr>
          <w:ilvl w:val="0"/>
          <w:numId w:val="2"/>
        </w:numPr>
        <w:spacing w:after="60"/>
      </w:pPr>
      <w:r>
        <w:rPr>
          <w:rFonts w:ascii="Arial" w:cs="Arial" w:eastAsia="Arial" w:hAnsi="Arial"/>
          <w:b/>
          <w:bCs/>
          <w:color w:val="1A1A1A"/>
          <w:sz w:val="22"/>
          <w:szCs w:val="22"/>
        </w:rPr>
        <w:t xml:space="preserve">Synthea: </w:t>
      </w:r>
      <w:r>
        <w:rPr>
          <w:rFonts w:ascii="Arial" w:cs="Arial" w:eastAsia="Arial" w:hAnsi="Arial"/>
          <w:color w:val="1A1A1A"/>
          <w:sz w:val="22"/>
          <w:szCs w:val="22"/>
        </w:rPr>
        <w:t xml:space="preserve">Synthetic patient data generator for healthcare analytics projects</w:t>
      </w:r>
    </w:p>
    <w:p>
      <w:pPr>
        <w:pStyle w:val="ListParagraph"/>
        <w:numPr>
          <w:ilvl w:val="0"/>
          <w:numId w:val="2"/>
        </w:numPr>
        <w:spacing w:after="60"/>
      </w:pPr>
      <w:r>
        <w:rPr>
          <w:rFonts w:ascii="Arial" w:cs="Arial" w:eastAsia="Arial" w:hAnsi="Arial"/>
          <w:b/>
          <w:bCs/>
          <w:color w:val="1A1A1A"/>
          <w:sz w:val="22"/>
          <w:szCs w:val="22"/>
        </w:rPr>
        <w:t xml:space="preserve">MIMIC-III/IV: </w:t>
      </w:r>
      <w:r>
        <w:rPr>
          <w:rFonts w:ascii="Arial" w:cs="Arial" w:eastAsia="Arial" w:hAnsi="Arial"/>
          <w:color w:val="1A1A1A"/>
          <w:sz w:val="22"/>
          <w:szCs w:val="22"/>
        </w:rPr>
        <w:t xml:space="preserve">Real de-identified ICU clinical database for analytics and ML projects</w:t>
      </w:r>
    </w:p>
    <w:p>
      <w:pPr>
        <w:pStyle w:val="ListParagraph"/>
        <w:numPr>
          <w:ilvl w:val="0"/>
          <w:numId w:val="2"/>
        </w:numPr>
        <w:spacing w:after="60"/>
      </w:pPr>
      <w:r>
        <w:rPr>
          <w:rFonts w:ascii="Arial" w:cs="Arial" w:eastAsia="Arial" w:hAnsi="Arial"/>
          <w:b/>
          <w:bCs/>
          <w:color w:val="1A1A1A"/>
          <w:sz w:val="22"/>
          <w:szCs w:val="22"/>
        </w:rPr>
        <w:t xml:space="preserve">Azure Health Data Services free tier / AWS HealthLake sandbox</w:t>
      </w:r>
      <w:r>
        <w:rPr>
          <w:rFonts w:ascii="Arial" w:cs="Arial" w:eastAsia="Arial" w:hAnsi="Arial"/>
          <w:color w:val="1A1A1A"/>
          <w:sz w:val="22"/>
          <w:szCs w:val="22"/>
        </w:rPr>
      </w:r>
    </w:p>
    <w:p>
      <w:pPr>
        <w:pStyle w:val="ListParagraph"/>
        <w:numPr>
          <w:ilvl w:val="0"/>
          <w:numId w:val="2"/>
        </w:numPr>
        <w:spacing w:after="60"/>
      </w:pPr>
      <w:r>
        <w:rPr>
          <w:rFonts w:ascii="Arial" w:cs="Arial" w:eastAsia="Arial" w:hAnsi="Arial"/>
          <w:b/>
          <w:bCs/>
          <w:color w:val="1A1A1A"/>
          <w:sz w:val="22"/>
          <w:szCs w:val="22"/>
        </w:rPr>
        <w:t xml:space="preserve">HL7 Connectathons: </w:t>
      </w:r>
      <w:r>
        <w:rPr>
          <w:rFonts w:ascii="Arial" w:cs="Arial" w:eastAsia="Arial" w:hAnsi="Arial"/>
          <w:color w:val="1A1A1A"/>
          <w:sz w:val="22"/>
          <w:szCs w:val="22"/>
        </w:rPr>
        <w:t xml:space="preserve">Hands-on interoperability testing events</w:t>
      </w:r>
    </w:p>
    <w:p>
      <w:pPr>
        <w:pStyle w:val="ListParagraph"/>
        <w:numPr>
          <w:ilvl w:val="0"/>
          <w:numId w:val="2"/>
        </w:numPr>
        <w:spacing w:after="60"/>
      </w:pPr>
      <w:r>
        <w:rPr>
          <w:rFonts w:ascii="Arial" w:cs="Arial" w:eastAsia="Arial" w:hAnsi="Arial"/>
          <w:b/>
          <w:bCs/>
          <w:color w:val="1A1A1A"/>
          <w:sz w:val="22"/>
          <w:szCs w:val="22"/>
        </w:rPr>
        <w:t xml:space="preserve">Healthcare hackathons: </w:t>
      </w:r>
      <w:r>
        <w:rPr>
          <w:rFonts w:ascii="Arial" w:cs="Arial" w:eastAsia="Arial" w:hAnsi="Arial"/>
          <w:color w:val="1A1A1A"/>
          <w:sz w:val="22"/>
          <w:szCs w:val="22"/>
        </w:rPr>
        <w:t xml:space="preserve">MIT Hacking Medicine, Health 2.0, HIMSS Interoperability Showcase</w:t>
      </w:r>
    </w:p>
    <w:p>
      <w:pPr>
        <w:pStyle w:val="ListParagraph"/>
        <w:numPr>
          <w:ilvl w:val="0"/>
          <w:numId w:val="2"/>
        </w:numPr>
        <w:spacing w:after="60"/>
      </w:pPr>
      <w:r>
        <w:rPr>
          <w:rFonts w:ascii="Arial" w:cs="Arial" w:eastAsia="Arial" w:hAnsi="Arial"/>
          <w:b/>
          <w:bCs/>
          <w:color w:val="1A1A1A"/>
          <w:sz w:val="22"/>
          <w:szCs w:val="22"/>
        </w:rPr>
        <w:t xml:space="preserve">OHDSI ATLAS: </w:t>
      </w:r>
      <w:r>
        <w:rPr>
          <w:rFonts w:ascii="Arial" w:cs="Arial" w:eastAsia="Arial" w:hAnsi="Arial"/>
          <w:color w:val="1A1A1A"/>
          <w:sz w:val="22"/>
          <w:szCs w:val="22"/>
        </w:rPr>
        <w:t xml:space="preserve">Open-source analytics platform for cohort building and characterization on OMOP data</w:t>
      </w:r>
    </w:p>
    <w:p>
      <w:pPr>
        <w:pStyle w:val="ListParagraph"/>
        <w:numPr>
          <w:ilvl w:val="0"/>
          <w:numId w:val="2"/>
        </w:numPr>
        <w:spacing w:after="60"/>
      </w:pPr>
      <w:r>
        <w:rPr>
          <w:rFonts w:ascii="Arial" w:cs="Arial" w:eastAsia="Arial" w:hAnsi="Arial"/>
          <w:b/>
          <w:bCs/>
          <w:color w:val="1A1A1A"/>
          <w:sz w:val="22"/>
          <w:szCs w:val="22"/>
        </w:rPr>
        <w:t xml:space="preserve">CMS public data sets: </w:t>
      </w:r>
      <w:r>
        <w:rPr>
          <w:rFonts w:ascii="Arial" w:cs="Arial" w:eastAsia="Arial" w:hAnsi="Arial"/>
          <w:color w:val="1A1A1A"/>
          <w:sz w:val="22"/>
          <w:szCs w:val="22"/>
        </w:rPr>
        <w:t xml:space="preserve">Medicare claims data, Hospital Compare, quality program data for practice analytics</w:t>
      </w:r>
    </w:p>
    <w:p>
      <w:r>
        <w:br w:type="page"/>
      </w:r>
    </w:p>
    <w:p>
      <w:pPr>
        <w:spacing w:before="1000"/>
      </w:pPr>
    </w:p>
    <w:p>
      <w:pPr>
        <w:pBdr>
          <w:top w:val="single" w:color="2A7B88" w:sz="6" w:space="8"/>
          <w:bottom w:val="single" w:color="2A7B88" w:sz="6" w:space="8"/>
        </w:pBdr>
        <w:spacing w:after="200"/>
        <w:jc w:val="center"/>
      </w:pPr>
      <w:r>
        <w:rPr>
          <w:rFonts w:ascii="Arial" w:cs="Arial" w:eastAsia="Arial" w:hAnsi="Arial"/>
          <w:i/>
          <w:iCs/>
          <w:color w:val="1B3A5C"/>
          <w:sz w:val="24"/>
          <w:szCs w:val="24"/>
        </w:rPr>
        <w:t xml:space="preserve">Healthcare IT leadership is built at the intersection of deep clinical understanding and technical excellence.</w:t>
      </w:r>
    </w:p>
    <w:p>
      <w:pPr>
        <w:spacing w:after="200"/>
        <w:jc w:val="center"/>
      </w:pPr>
      <w:r>
        <w:rPr>
          <w:rFonts w:ascii="Arial" w:cs="Arial" w:eastAsia="Arial" w:hAnsi="Arial"/>
          <w:i/>
          <w:iCs/>
          <w:color w:val="2A7B88"/>
          <w:sz w:val="24"/>
          <w:szCs w:val="24"/>
        </w:rPr>
        <w:t xml:space="preserve">The technology is the tool. The mission is the patient.</w:t>
      </w:r>
    </w:p>
    <w:p>
      <w:pPr>
        <w:spacing w:after="200"/>
        <w:jc w:val="center"/>
      </w:pPr>
      <w:r>
        <w:rPr>
          <w:rFonts w:ascii="Arial" w:cs="Arial" w:eastAsia="Arial" w:hAnsi="Arial"/>
          <w:b/>
          <w:bCs/>
          <w:i/>
          <w:iCs/>
          <w:color w:val="1B3A5C"/>
          <w:sz w:val="24"/>
          <w:szCs w:val="24"/>
        </w:rPr>
        <w:t xml:space="preserve">Master both, and you will lead the transformation of healthcare.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Healthcare Domain Mastery for IT Professionals</w:t>
    </w:r>
    <w:r>
      <w:rPr>
        <w:rFonts w:ascii="Arial" w:cs="Arial" w:eastAsia="Arial" w:hAnsi="Arial"/>
        <w:i/>
        <w:iCs/>
        <w:color w:val="888888"/>
        <w:sz w:val="18"/>
        <w:szCs w:val="18"/>
      </w:rPr>
      <w:t xml:space="preserve">	Complete Learning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A7B8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2026-02-24T05:03:43.218Z</dcterms:created>
  <dcterms:modified xsi:type="dcterms:W3CDTF">2026-02-24T05:03:43.219Z</dcterms:modified>
</cp:coreProperties>
</file>

<file path=docProps/custom.xml><?xml version="1.0" encoding="utf-8"?>
<Properties xmlns="http://schemas.openxmlformats.org/officeDocument/2006/custom-properties" xmlns:vt="http://schemas.openxmlformats.org/officeDocument/2006/docPropsVTypes"/>
</file>