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HEALTHCARE ECOSYSTEM</w:t>
      </w:r>
    </w:p>
    <w:p>
      <w:pPr>
        <w:spacing w:after="100"/>
        <w:jc w:val="center"/>
      </w:pPr>
      <w:r>
        <w:rPr>
          <w:rFonts w:ascii="Arial" w:cs="Arial" w:eastAsia="Arial" w:hAnsi="Arial"/>
          <w:b/>
          <w:bCs/>
          <w:color w:val="1B3A5C"/>
          <w:sz w:val="52"/>
          <w:szCs w:val="52"/>
        </w:rPr>
        <w:t xml:space="preserve">&amp; STAKEHOLDERS</w:t>
      </w:r>
    </w:p>
    <w:p>
      <w:pPr>
        <w:pBdr>
          <w:bottom w:val="single" w:color="2E75B6" w:sz="8" w:space="1"/>
        </w:pBdr>
        <w:spacing w:after="400"/>
        <w:jc w:val="center"/>
      </w:pPr>
    </w:p>
    <w:p>
      <w:pPr>
        <w:spacing w:after="120"/>
        <w:jc w:val="center"/>
      </w:pPr>
      <w:r>
        <w:rPr>
          <w:rFonts w:ascii="Arial" w:cs="Arial" w:eastAsia="Arial" w:hAnsi="Arial"/>
          <w:i/>
          <w:iCs/>
          <w:color w:val="2E75B6"/>
          <w:sz w:val="28"/>
          <w:szCs w:val="28"/>
        </w:rPr>
        <w:t xml:space="preserve">A Comprehensive Guide for IT Professionals</w:t>
      </w:r>
    </w:p>
    <w:p>
      <w:pPr>
        <w:spacing w:after="120"/>
        <w:jc w:val="center"/>
      </w:pPr>
      <w:r>
        <w:rPr>
          <w:rFonts w:ascii="Arial" w:cs="Arial" w:eastAsia="Arial" w:hAnsi="Arial"/>
          <w:color w:val="666666"/>
          <w:sz w:val="22"/>
          <w:szCs w:val="22"/>
        </w:rPr>
        <w:t xml:space="preserve">Section 1.1 — Healthcare Domain Mastery Learning Path</w:t>
      </w:r>
    </w:p>
    <w:p>
      <w:pPr>
        <w:spacing w:after="2000"/>
        <w:jc w:val="center"/>
      </w:pPr>
      <w:r>
        <w:rPr>
          <w:rFonts w:ascii="Arial" w:cs="Arial" w:eastAsia="Arial" w:hAnsi="Arial"/>
          <w:color w:val="666666"/>
          <w:sz w:val="20"/>
          <w:szCs w:val="20"/>
        </w:rPr>
        <w:t xml:space="preserve">Covering Healthcare Delivery Models, Key Stakeholders, Organizational Structures, Revenue Flows, Public Health Infrastructure, Global Models &amp; Social Determinants of Health</w:t>
      </w:r>
    </w:p>
    <w:p>
      <w:pPr>
        <w:spacing w:after="2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Introduction &amp; Purpose</w:t>
      </w:r>
    </w:p>
    <w:p>
      <w:pPr>
        <w:spacing w:after="160" w:line="276"/>
      </w:pPr>
      <w:r>
        <w:rPr>
          <w:rFonts w:ascii="Arial" w:cs="Arial" w:eastAsia="Arial" w:hAnsi="Arial"/>
          <w:color w:val="333333"/>
          <w:sz w:val="21"/>
          <w:szCs w:val="21"/>
        </w:rPr>
        <w:t xml:space="preserve">The healthcare industry is one of the largest, most complex, and most heavily regulated sectors in the global economy. In the United States alone, healthcare spending exceeds $4.5 trillion annually, accounting for roughly 17-18% of GDP. For IT professionals entering or advancing in this domain, understanding the ecosystem is not optional — it is foundational.</w:t>
      </w:r>
    </w:p>
    <w:p>
      <w:pPr>
        <w:spacing w:after="160" w:line="276"/>
      </w:pPr>
      <w:r>
        <w:rPr>
          <w:rFonts w:ascii="Arial" w:cs="Arial" w:eastAsia="Arial" w:hAnsi="Arial"/>
          <w:color w:val="333333"/>
          <w:sz w:val="21"/>
          <w:szCs w:val="21"/>
        </w:rPr>
        <w:t xml:space="preserve">This document provides an exhaustive exploration of the healthcare ecosystem and its stakeholders. It is designed to equip IT professionals with the contextual knowledge necessary to design, implement, and support technology solutions that align with clinical workflows, financial imperatives, regulatory requirements, and patient outcomes.</w:t>
      </w:r>
    </w:p>
    <w:p>
      <w:pPr>
        <w:spacing w:after="160" w:line="276"/>
      </w:pPr>
      <w:r>
        <w:rPr>
          <w:rFonts w:ascii="Arial" w:cs="Arial" w:eastAsia="Arial" w:hAnsi="Arial"/>
          <w:color w:val="333333"/>
          <w:sz w:val="21"/>
          <w:szCs w:val="21"/>
        </w:rPr>
        <w:t xml:space="preserve">Healthcare IT does not exist in a vacuum. Every system, interface, database, and application serves a clinical, operational, or financial purpose rooted in how healthcare is organized, delivered, financed, and regulated. Without this contextual understanding, even technically excellent IT professionals will build solutions that miss the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Why This Matters for IT Professionals</w:t>
            </w:r>
          </w:p>
          <w:p>
            <w:pPr>
              <w:spacing w:after="0" w:line="276"/>
            </w:pPr>
            <w:r>
              <w:rPr>
                <w:rFonts w:ascii="Arial" w:cs="Arial" w:eastAsia="Arial" w:hAnsi="Arial"/>
                <w:i/>
                <w:iCs/>
                <w:color w:val="333333"/>
                <w:sz w:val="20"/>
                <w:szCs w:val="20"/>
              </w:rPr>
              <w:t xml:space="preserve">Every EHR configuration, integration interface, data warehouse schema, and security policy is shaped by the ecosystem described in this document. Master this context, and you will build better technology. Ignore it, and you will build technology that clinicians resist, administrators question, and patients never benefit from.</w:t>
            </w:r>
          </w:p>
        </w:tc>
      </w:tr>
    </w:tbl>
    <w:p>
      <w:r>
        <w:br w:type="page"/>
      </w:r>
    </w:p>
    <w:p>
      <w:pPr>
        <w:pStyle w:val="Heading1"/>
        <w:spacing w:before="360" w:after="200"/>
      </w:pPr>
      <w:r>
        <w:rPr>
          <w:rFonts w:ascii="Arial" w:cs="Arial" w:eastAsia="Arial" w:hAnsi="Arial"/>
          <w:b/>
          <w:bCs/>
          <w:color w:val="1B3A5C"/>
          <w:sz w:val="32"/>
          <w:szCs w:val="32"/>
        </w:rPr>
        <w:t xml:space="preserve">2. Healthcare Delivery Models</w:t>
      </w:r>
    </w:p>
    <w:p>
      <w:pPr>
        <w:spacing w:after="160" w:line="276"/>
      </w:pPr>
      <w:r>
        <w:rPr>
          <w:rFonts w:ascii="Arial" w:cs="Arial" w:eastAsia="Arial" w:hAnsi="Arial"/>
          <w:color w:val="333333"/>
          <w:sz w:val="21"/>
          <w:szCs w:val="21"/>
        </w:rPr>
        <w:t xml:space="preserve">Healthcare is delivered through a continuum of settings, each with distinct clinical workflows, technology requirements, staffing models, and regulatory obligations. Understanding these settings is essential for IT professionals because each demands different system configurations, integration patterns, and user experience considerations.</w:t>
      </w:r>
    </w:p>
    <w:p>
      <w:pPr>
        <w:pStyle w:val="Heading2"/>
        <w:spacing w:before="280" w:after="160"/>
      </w:pPr>
      <w:r>
        <w:rPr>
          <w:rFonts w:ascii="Arial" w:cs="Arial" w:eastAsia="Arial" w:hAnsi="Arial"/>
          <w:b/>
          <w:bCs/>
          <w:color w:val="2E75B6"/>
          <w:sz w:val="26"/>
          <w:szCs w:val="26"/>
        </w:rPr>
        <w:t xml:space="preserve">2.1 Primary Care</w:t>
      </w:r>
    </w:p>
    <w:p>
      <w:pPr>
        <w:spacing w:after="160" w:line="276"/>
      </w:pPr>
      <w:r>
        <w:rPr>
          <w:rFonts w:ascii="Arial" w:cs="Arial" w:eastAsia="Arial" w:hAnsi="Arial"/>
          <w:color w:val="333333"/>
          <w:sz w:val="21"/>
          <w:szCs w:val="21"/>
        </w:rPr>
        <w:t xml:space="preserve">Primary care is the foundation of the healthcare system and serves as the first point of contact for patients seeking non-emergency medical care. Primary Care Providers (PCPs) include family medicine physicians, internists, pediatricians, geriatricians, and increasingly nurse practitioners (NPs) and physician assistants (PAs) practicing independently under state scope-of-practice laws.</w:t>
      </w:r>
    </w:p>
    <w:p>
      <w:pPr>
        <w:spacing w:after="160" w:line="276"/>
      </w:pPr>
      <w:r>
        <w:rPr>
          <w:rFonts w:ascii="Arial" w:cs="Arial" w:eastAsia="Arial" w:hAnsi="Arial"/>
          <w:b/>
          <w:bCs/>
          <w:color w:val="333333"/>
          <w:sz w:val="21"/>
          <w:szCs w:val="21"/>
        </w:rPr>
        <w:t xml:space="preserve">Core functions: </w:t>
      </w:r>
      <w:r>
        <w:rPr>
          <w:rFonts w:ascii="Arial" w:cs="Arial" w:eastAsia="Arial" w:hAnsi="Arial"/>
          <w:color w:val="333333"/>
          <w:sz w:val="21"/>
          <w:szCs w:val="21"/>
        </w:rPr>
        <w:t xml:space="preserve">Preventive care and wellness visits, chronic disease management (diabetes, hypertension, COPD, heart failure), acute episodic care (infections, minor injuries), health screenings and immunizations, care coordination and referral management, annual wellness visits (AWVs) for Medicare patients, and behavioral health screening.</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Primary care practices rely heavily on ambulatory EHR modules with scheduling, clinical documentation, e-prescribing (EPCS), patient portal integration (MyChart), quality measure tracking (MIPS/HEDIS), chronic care management (CCM) billing workflows, and population health dashboards for panel management. Integration with HIEs for care coordination is critical.</w:t>
      </w:r>
    </w:p>
    <w:p>
      <w:pPr>
        <w:spacing w:after="160" w:line="276"/>
      </w:pPr>
      <w:r>
        <w:rPr>
          <w:rFonts w:ascii="Arial" w:cs="Arial" w:eastAsia="Arial" w:hAnsi="Arial"/>
          <w:color w:val="333333"/>
          <w:sz w:val="21"/>
          <w:szCs w:val="21"/>
        </w:rPr>
        <w:t xml:space="preserve">Primary care is also the epicenter of value-based care transformation, with practices participating in ACOs, Patient-Centered Medical Homes (PCMH), and direct primary care (DPC) models. IT systems must support quality reporting, risk stratification, care gap closure, and attribution models.</w:t>
      </w:r>
    </w:p>
    <w:p>
      <w:pPr>
        <w:pStyle w:val="Heading2"/>
        <w:spacing w:before="280" w:after="160"/>
      </w:pPr>
      <w:r>
        <w:rPr>
          <w:rFonts w:ascii="Arial" w:cs="Arial" w:eastAsia="Arial" w:hAnsi="Arial"/>
          <w:b/>
          <w:bCs/>
          <w:color w:val="2E75B6"/>
          <w:sz w:val="26"/>
          <w:szCs w:val="26"/>
        </w:rPr>
        <w:t xml:space="preserve">2.2 Specialty Care</w:t>
      </w:r>
    </w:p>
    <w:p>
      <w:pPr>
        <w:spacing w:after="160" w:line="276"/>
      </w:pPr>
      <w:r>
        <w:rPr>
          <w:rFonts w:ascii="Arial" w:cs="Arial" w:eastAsia="Arial" w:hAnsi="Arial"/>
          <w:color w:val="333333"/>
          <w:sz w:val="21"/>
          <w:szCs w:val="21"/>
        </w:rPr>
        <w:t xml:space="preserve">Specialty care encompasses medical and surgical subspecialties that provide focused expertise for specific organ systems, conditions, or patient populations. Patients typically access specialty care through referrals from primary care providers, although self-referral is common in PPO insurance plans.</w:t>
      </w:r>
    </w:p>
    <w:p>
      <w:pPr>
        <w:spacing w:after="160" w:line="276"/>
      </w:pPr>
      <w:r>
        <w:rPr>
          <w:rFonts w:ascii="Arial" w:cs="Arial" w:eastAsia="Arial" w:hAnsi="Arial"/>
          <w:b/>
          <w:bCs/>
          <w:color w:val="333333"/>
          <w:sz w:val="21"/>
          <w:szCs w:val="21"/>
        </w:rPr>
        <w:t xml:space="preserve">Major specialties include: </w:t>
      </w:r>
      <w:r>
        <w:rPr>
          <w:rFonts w:ascii="Arial" w:cs="Arial" w:eastAsia="Arial" w:hAnsi="Arial"/>
          <w:color w:val="333333"/>
          <w:sz w:val="21"/>
          <w:szCs w:val="21"/>
        </w:rPr>
        <w:t xml:space="preserve">Cardiology, Orthopedics, Oncology, Neurology, Gastroenterology, Pulmonology, Endocrinology, Nephrology, Rheumatology, Dermatology, Ophthalmology, Urology, OB/GYN, Psychiatry, and many surgical subspecialties.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Specialty practices require specialty-specific EHR templates and order sets, procedure scheduling and documentation, image management integration (for cardiology, dermatology, ophthalmology), specialized device integration (e.g., ECG machines, spirometers), referral management workflows, and prior authorization automation. Many specialties also require unique billing workflows (global surgical packages, modifier management, bundled payments).</w:t>
      </w:r>
    </w:p>
    <w:p>
      <w:pPr>
        <w:pStyle w:val="Heading2"/>
        <w:spacing w:before="280" w:after="160"/>
      </w:pPr>
      <w:r>
        <w:rPr>
          <w:rFonts w:ascii="Arial" w:cs="Arial" w:eastAsia="Arial" w:hAnsi="Arial"/>
          <w:b/>
          <w:bCs/>
          <w:color w:val="2E75B6"/>
          <w:sz w:val="26"/>
          <w:szCs w:val="26"/>
        </w:rPr>
        <w:t xml:space="preserve">2.3 Acute Care (Hospitals)</w:t>
      </w:r>
    </w:p>
    <w:p>
      <w:pPr>
        <w:spacing w:after="160" w:line="276"/>
      </w:pPr>
      <w:r>
        <w:rPr>
          <w:rFonts w:ascii="Arial" w:cs="Arial" w:eastAsia="Arial" w:hAnsi="Arial"/>
          <w:color w:val="333333"/>
          <w:sz w:val="21"/>
          <w:szCs w:val="21"/>
        </w:rPr>
        <w:t xml:space="preserve">Hospitals are the most complex healthcare delivery environments, providing 24/7 inpatient and emergency care. They are the single largest consumers of healthcare IT and represent the most challenging environments for technology implementation due to the breadth of clinical workflows, safety requirements, and integration complexity.</w:t>
      </w:r>
    </w:p>
    <w:p>
      <w:pPr>
        <w:pStyle w:val="Heading3"/>
        <w:spacing w:before="200" w:after="120"/>
      </w:pPr>
      <w:r>
        <w:rPr>
          <w:rFonts w:ascii="Arial" w:cs="Arial" w:eastAsia="Arial" w:hAnsi="Arial"/>
          <w:b/>
          <w:bCs/>
          <w:color w:val="1B3A5C"/>
          <w:sz w:val="22"/>
          <w:szCs w:val="22"/>
        </w:rPr>
        <w:t xml:space="preserve">2.3.1 Hospital Types</w:t>
      </w:r>
    </w:p>
    <w:p>
      <w:pPr>
        <w:pStyle w:val="ListParagraph"/>
        <w:numPr>
          <w:ilvl w:val="0"/>
          <w:numId w:val="2"/>
        </w:numPr>
        <w:spacing w:after="80" w:line="276"/>
      </w:pPr>
      <w:r>
        <w:rPr>
          <w:rFonts w:ascii="Arial" w:cs="Arial" w:eastAsia="Arial" w:hAnsi="Arial"/>
          <w:b/>
          <w:bCs/>
          <w:color w:val="333333"/>
          <w:sz w:val="21"/>
          <w:szCs w:val="21"/>
        </w:rPr>
        <w:t xml:space="preserve">Community Hospitals: </w:t>
      </w:r>
      <w:r>
        <w:rPr>
          <w:rFonts w:ascii="Arial" w:cs="Arial" w:eastAsia="Arial" w:hAnsi="Arial"/>
          <w:color w:val="333333"/>
          <w:sz w:val="21"/>
          <w:szCs w:val="21"/>
        </w:rPr>
        <w:t xml:space="preserve">General acute care hospitals serving local populations with emergency, medical, and surgical services. Range from 25 beds (critical access hospitals) to 500+ beds.</w:t>
      </w:r>
    </w:p>
    <w:p>
      <w:pPr>
        <w:pStyle w:val="ListParagraph"/>
        <w:numPr>
          <w:ilvl w:val="0"/>
          <w:numId w:val="2"/>
        </w:numPr>
        <w:spacing w:after="80" w:line="276"/>
      </w:pPr>
      <w:r>
        <w:rPr>
          <w:rFonts w:ascii="Arial" w:cs="Arial" w:eastAsia="Arial" w:hAnsi="Arial"/>
          <w:b/>
          <w:bCs/>
          <w:color w:val="333333"/>
          <w:sz w:val="21"/>
          <w:szCs w:val="21"/>
        </w:rPr>
        <w:t xml:space="preserve">Academic Medical Centers (AMCs): </w:t>
      </w:r>
      <w:r>
        <w:rPr>
          <w:rFonts w:ascii="Arial" w:cs="Arial" w:eastAsia="Arial" w:hAnsi="Arial"/>
          <w:color w:val="333333"/>
          <w:sz w:val="21"/>
          <w:szCs w:val="21"/>
        </w:rPr>
        <w:t xml:space="preserve">Tertiary and quaternary care centers affiliated with medical schools. Provide advanced subspecialty care, conduct clinical research, and train medical professionals. Examples: Johns Hopkins, Mayo Clinic, Cleveland Clinic, Massachusetts General.</w:t>
      </w:r>
    </w:p>
    <w:p>
      <w:pPr>
        <w:pStyle w:val="ListParagraph"/>
        <w:numPr>
          <w:ilvl w:val="0"/>
          <w:numId w:val="2"/>
        </w:numPr>
        <w:spacing w:after="80" w:line="276"/>
      </w:pPr>
      <w:r>
        <w:rPr>
          <w:rFonts w:ascii="Arial" w:cs="Arial" w:eastAsia="Arial" w:hAnsi="Arial"/>
          <w:b/>
          <w:bCs/>
          <w:color w:val="333333"/>
          <w:sz w:val="21"/>
          <w:szCs w:val="21"/>
        </w:rPr>
        <w:t xml:space="preserve">Critical Access Hospitals (CAHs): </w:t>
      </w:r>
      <w:r>
        <w:rPr>
          <w:rFonts w:ascii="Arial" w:cs="Arial" w:eastAsia="Arial" w:hAnsi="Arial"/>
          <w:color w:val="333333"/>
          <w:sz w:val="21"/>
          <w:szCs w:val="21"/>
        </w:rPr>
        <w:t xml:space="preserve">Small rural hospitals (25 beds or fewer) with special CMS designation for cost-based reimbursement. Face unique IT challenges including limited budgets, workforce constraints, and connectivity issues.</w:t>
      </w:r>
    </w:p>
    <w:p>
      <w:pPr>
        <w:pStyle w:val="ListParagraph"/>
        <w:numPr>
          <w:ilvl w:val="0"/>
          <w:numId w:val="2"/>
        </w:numPr>
        <w:spacing w:after="80" w:line="276"/>
      </w:pPr>
      <w:r>
        <w:rPr>
          <w:rFonts w:ascii="Arial" w:cs="Arial" w:eastAsia="Arial" w:hAnsi="Arial"/>
          <w:b/>
          <w:bCs/>
          <w:color w:val="333333"/>
          <w:sz w:val="21"/>
          <w:szCs w:val="21"/>
        </w:rPr>
        <w:t xml:space="preserve">Children’s Hospitals: </w:t>
      </w:r>
      <w:r>
        <w:rPr>
          <w:rFonts w:ascii="Arial" w:cs="Arial" w:eastAsia="Arial" w:hAnsi="Arial"/>
          <w:color w:val="333333"/>
          <w:sz w:val="21"/>
          <w:szCs w:val="21"/>
        </w:rPr>
        <w:t xml:space="preserve">Specialized facilities for pediatric care requiring pediatric-specific EHR configurations, weight-based dosing protocols, and family-centered care workflows.</w:t>
      </w:r>
    </w:p>
    <w:p>
      <w:pPr>
        <w:pStyle w:val="ListParagraph"/>
        <w:numPr>
          <w:ilvl w:val="0"/>
          <w:numId w:val="2"/>
        </w:numPr>
        <w:spacing w:after="80" w:line="276"/>
      </w:pPr>
      <w:r>
        <w:rPr>
          <w:rFonts w:ascii="Arial" w:cs="Arial" w:eastAsia="Arial" w:hAnsi="Arial"/>
          <w:b/>
          <w:bCs/>
          <w:color w:val="333333"/>
          <w:sz w:val="21"/>
          <w:szCs w:val="21"/>
        </w:rPr>
        <w:t xml:space="preserve">Psychiatric/Behavioral Health Hospitals: </w:t>
      </w:r>
      <w:r>
        <w:rPr>
          <w:rFonts w:ascii="Arial" w:cs="Arial" w:eastAsia="Arial" w:hAnsi="Arial"/>
          <w:color w:val="333333"/>
          <w:sz w:val="21"/>
          <w:szCs w:val="21"/>
        </w:rPr>
        <w:t xml:space="preserve">Facilities focused on mental health and substance abuse treatment, with unique documentation requirements, safety protocols, and 42 CFR Part 2 privacy considerations.</w:t>
      </w:r>
    </w:p>
    <w:p>
      <w:pPr>
        <w:pStyle w:val="ListParagraph"/>
        <w:numPr>
          <w:ilvl w:val="0"/>
          <w:numId w:val="2"/>
        </w:numPr>
        <w:spacing w:after="80" w:line="276"/>
      </w:pPr>
      <w:r>
        <w:rPr>
          <w:rFonts w:ascii="Arial" w:cs="Arial" w:eastAsia="Arial" w:hAnsi="Arial"/>
          <w:b/>
          <w:bCs/>
          <w:color w:val="333333"/>
          <w:sz w:val="21"/>
          <w:szCs w:val="21"/>
        </w:rPr>
        <w:t xml:space="preserve">Rehabilitation Hospitals: </w:t>
      </w:r>
      <w:r>
        <w:rPr>
          <w:rFonts w:ascii="Arial" w:cs="Arial" w:eastAsia="Arial" w:hAnsi="Arial"/>
          <w:color w:val="333333"/>
          <w:sz w:val="21"/>
          <w:szCs w:val="21"/>
        </w:rPr>
        <w:t xml:space="preserve">Inpatient rehabilitation facilities (IRFs) providing intensive therapy services, with specialized documentation for functional independence measures (FIM) and IRF-PAI reporting.</w:t>
      </w:r>
    </w:p>
    <w:p>
      <w:pPr>
        <w:pStyle w:val="ListParagraph"/>
        <w:numPr>
          <w:ilvl w:val="0"/>
          <w:numId w:val="2"/>
        </w:numPr>
        <w:spacing w:after="80" w:line="276"/>
      </w:pPr>
      <w:r>
        <w:rPr>
          <w:rFonts w:ascii="Arial" w:cs="Arial" w:eastAsia="Arial" w:hAnsi="Arial"/>
          <w:b/>
          <w:bCs/>
          <w:color w:val="333333"/>
          <w:sz w:val="21"/>
          <w:szCs w:val="21"/>
        </w:rPr>
        <w:t xml:space="preserve">Long-Term Acute Care Hospitals (LTACHs): </w:t>
      </w:r>
      <w:r>
        <w:rPr>
          <w:rFonts w:ascii="Arial" w:cs="Arial" w:eastAsia="Arial" w:hAnsi="Arial"/>
          <w:color w:val="333333"/>
          <w:sz w:val="21"/>
          <w:szCs w:val="21"/>
        </w:rPr>
        <w:t xml:space="preserve">Facilities for patients requiring extended hospitalization (average length of stay 25+ days) for complex medical conditions, ventilator weaning, or wound care.</w:t>
      </w:r>
    </w:p>
    <w:p>
      <w:pPr>
        <w:pStyle w:val="Heading3"/>
        <w:spacing w:before="200" w:after="120"/>
      </w:pPr>
      <w:r>
        <w:rPr>
          <w:rFonts w:ascii="Arial" w:cs="Arial" w:eastAsia="Arial" w:hAnsi="Arial"/>
          <w:b/>
          <w:bCs/>
          <w:color w:val="1B3A5C"/>
          <w:sz w:val="22"/>
          <w:szCs w:val="22"/>
        </w:rPr>
        <w:t xml:space="preserve">2.3.2 Key Hospital Departments &amp; IT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Department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 IT Systems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Integration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Emergency Department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 tracking boards, ESI triage, trauma alerts, 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 Lab, Radiology, Pharmacy, EMS interfaces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Medical/Surgical Units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Nursing documentation, MAR, care plans, flowsheets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ADT, CPOE, Pharmacy, Lab, dietary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Intensive Care Units (ICU)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High-acuity flowsheets, ventilator integration, continuous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Biomedical devices, alarm management, RTLS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Operating Room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 scheduling, preference cards, surgical documentation, implant tracking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Anesthesia, sterile processing, materials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 &amp; 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Fetal monitoring, OB-specific documentation, newborn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Nursery, NICU, birth registration interfaces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Laboratory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 instrument interfaces, specimen tracking, blood bank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CPOE, results reporting, public health reporting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Radiology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 PACS, diagnostic viewers, voice recognition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entry, results distribution, AI image analysis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verification, dispensing cabinets (Pyxis/Omnicell), BCMA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CPOE, drug interaction checking, 340B tracking</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2.4 Post-Acute Care</w:t>
      </w:r>
    </w:p>
    <w:p>
      <w:pPr>
        <w:spacing w:after="160" w:line="276"/>
      </w:pPr>
      <w:r>
        <w:rPr>
          <w:rFonts w:ascii="Arial" w:cs="Arial" w:eastAsia="Arial" w:hAnsi="Arial"/>
          <w:color w:val="333333"/>
          <w:sz w:val="21"/>
          <w:szCs w:val="21"/>
        </w:rPr>
        <w:t xml:space="preserve">Post-acute care (PAC) encompasses the care settings patients transition to after acute hospitalization. These settings are increasingly important as health systems focus on reducing readmissions and managing total cost of care under value-based arrangements.</w:t>
      </w:r>
    </w:p>
    <w:p>
      <w:pPr>
        <w:pStyle w:val="Heading3"/>
        <w:spacing w:before="200" w:after="120"/>
      </w:pPr>
      <w:r>
        <w:rPr>
          <w:rFonts w:ascii="Arial" w:cs="Arial" w:eastAsia="Arial" w:hAnsi="Arial"/>
          <w:b/>
          <w:bCs/>
          <w:color w:val="1B3A5C"/>
          <w:sz w:val="22"/>
          <w:szCs w:val="22"/>
        </w:rPr>
        <w:t xml:space="preserve">2.4.1 Skilled Nursing Facilities (SNFs)</w:t>
      </w:r>
    </w:p>
    <w:p>
      <w:pPr>
        <w:spacing w:after="160" w:line="276"/>
      </w:pPr>
      <w:r>
        <w:rPr>
          <w:rFonts w:ascii="Arial" w:cs="Arial" w:eastAsia="Arial" w:hAnsi="Arial"/>
          <w:color w:val="333333"/>
          <w:sz w:val="21"/>
          <w:szCs w:val="21"/>
        </w:rPr>
        <w:t xml:space="preserve">SNFs provide short-term rehabilitation and long-term custodial care for patients who need ongoing skilled nursing or therapy services but do not require hospital-level care. SNFs operate under strict CMS Conditions of Participation and use the Minimum Data Set (MDS) for standardized patient assessment and quality reporting.</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SNF-specific EHR systems (PointClickCare, MatrixCare, American HealthTech), MDS 3.0 electronic submission, e-prescribing, medication administration records, Care Area Assessments (CAAs), state survey compliance documentation, and integration with referring hospitals for ADT notifications and care transitions.</w:t>
      </w:r>
    </w:p>
    <w:p>
      <w:pPr>
        <w:pStyle w:val="Heading3"/>
        <w:spacing w:before="200" w:after="120"/>
      </w:pPr>
      <w:r>
        <w:rPr>
          <w:rFonts w:ascii="Arial" w:cs="Arial" w:eastAsia="Arial" w:hAnsi="Arial"/>
          <w:b/>
          <w:bCs/>
          <w:color w:val="1B3A5C"/>
          <w:sz w:val="22"/>
          <w:szCs w:val="22"/>
        </w:rPr>
        <w:t xml:space="preserve">2.4.2 Home Health</w:t>
      </w:r>
    </w:p>
    <w:p>
      <w:pPr>
        <w:spacing w:after="160" w:line="276"/>
      </w:pPr>
      <w:r>
        <w:rPr>
          <w:rFonts w:ascii="Arial" w:cs="Arial" w:eastAsia="Arial" w:hAnsi="Arial"/>
          <w:color w:val="333333"/>
          <w:sz w:val="21"/>
          <w:szCs w:val="21"/>
        </w:rPr>
        <w:t xml:space="preserve">Home health agencies provide skilled nursing, therapy, and aide services in the patient’s home. The Outcome and Assessment Information Set (OASIS) is the mandated assessment instrument for Medicare-certified home health agencies, driving both quality reporting and payment under the Patient-Driven Groupings Model (PDGM).</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Mobile-first EHR platforms (Homecare Homebase, WellSky, Axxess), offline capability for documentation in areas with poor connectivity, GPS tracking for visit verification, OASIS electronic transmission, telehealth integration, remote patient monitoring for chronic conditions, and EVV (Electronic Visit Verification) compliance as mandated by the 21st Century Cures Act.</w:t>
      </w:r>
    </w:p>
    <w:p>
      <w:pPr>
        <w:pStyle w:val="Heading3"/>
        <w:spacing w:before="200" w:after="120"/>
      </w:pPr>
      <w:r>
        <w:rPr>
          <w:rFonts w:ascii="Arial" w:cs="Arial" w:eastAsia="Arial" w:hAnsi="Arial"/>
          <w:b/>
          <w:bCs/>
          <w:color w:val="1B3A5C"/>
          <w:sz w:val="22"/>
          <w:szCs w:val="22"/>
        </w:rPr>
        <w:t xml:space="preserve">2.4.3 Hospice</w:t>
      </w:r>
    </w:p>
    <w:p>
      <w:pPr>
        <w:spacing w:after="160" w:line="276"/>
      </w:pPr>
      <w:r>
        <w:rPr>
          <w:rFonts w:ascii="Arial" w:cs="Arial" w:eastAsia="Arial" w:hAnsi="Arial"/>
          <w:color w:val="333333"/>
          <w:sz w:val="21"/>
          <w:szCs w:val="21"/>
        </w:rPr>
        <w:t xml:space="preserve">Hospice care provides comfort-focused care for patients with terminal diagnoses and a life expectancy of six months or less. The Medicare Hospice Benefit covers four levels of care: routine home care, continuous home care, inpatient respite care, and general inpatient care.</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Hospice-specific EHR modules, interdisciplinary care plan documentation, symptom management tracking, bereavement follow-up workflows, election/revocation processing, and quality reporting (CAHPS Hospice Survey, HIS quality measures).</w:t>
      </w:r>
    </w:p>
    <w:p>
      <w:pPr>
        <w:pStyle w:val="Heading3"/>
        <w:spacing w:before="200" w:after="120"/>
      </w:pPr>
      <w:r>
        <w:rPr>
          <w:rFonts w:ascii="Arial" w:cs="Arial" w:eastAsia="Arial" w:hAnsi="Arial"/>
          <w:b/>
          <w:bCs/>
          <w:color w:val="1B3A5C"/>
          <w:sz w:val="22"/>
          <w:szCs w:val="22"/>
        </w:rPr>
        <w:t xml:space="preserve">2.4.4 Ambulatory Surgery Centers (ASCs)</w:t>
      </w:r>
    </w:p>
    <w:p>
      <w:pPr>
        <w:spacing w:after="160" w:line="276"/>
      </w:pPr>
      <w:r>
        <w:rPr>
          <w:rFonts w:ascii="Arial" w:cs="Arial" w:eastAsia="Arial" w:hAnsi="Arial"/>
          <w:color w:val="333333"/>
          <w:sz w:val="21"/>
          <w:szCs w:val="21"/>
        </w:rPr>
        <w:t xml:space="preserve">ASCs perform same-day surgical procedures that do not require overnight hospitalization. They are an increasingly important delivery model, offering lower costs than hospital outpatient departments (HOPDs) for many procedures.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ASC-specific EHR and practice management systems, surgical scheduling, pre-operative assessment workflows, anesthesia documentation, nursing documentation (pre-op, intra-op, PACU), implant and supply tracking, physician preference cards, and ASC-specific quality reporting (ASC QR program).</w:t>
      </w:r>
    </w:p>
    <w:p>
      <w:r>
        <w:br w:type="page"/>
      </w:r>
    </w:p>
    <w:p>
      <w:pPr>
        <w:pStyle w:val="Heading1"/>
        <w:spacing w:before="360" w:after="200"/>
      </w:pPr>
      <w:r>
        <w:rPr>
          <w:rFonts w:ascii="Arial" w:cs="Arial" w:eastAsia="Arial" w:hAnsi="Arial"/>
          <w:b/>
          <w:bCs/>
          <w:color w:val="1B3A5C"/>
          <w:sz w:val="32"/>
          <w:szCs w:val="32"/>
        </w:rPr>
        <w:t xml:space="preserve">3. Key Stakeholders in the Healthcare Ecosystem</w:t>
      </w:r>
    </w:p>
    <w:p>
      <w:pPr>
        <w:spacing w:after="160" w:line="276"/>
      </w:pPr>
      <w:r>
        <w:rPr>
          <w:rFonts w:ascii="Arial" w:cs="Arial" w:eastAsia="Arial" w:hAnsi="Arial"/>
          <w:color w:val="333333"/>
          <w:sz w:val="21"/>
          <w:szCs w:val="21"/>
        </w:rPr>
        <w:t xml:space="preserve">The healthcare ecosystem involves a diverse and interconnected set of stakeholders, each with distinct roles, incentives, information needs, and technology requirements. IT professionals must understand these stakeholders to design systems that serve their needs effectively.</w:t>
      </w:r>
    </w:p>
    <w:p>
      <w:pPr>
        <w:pStyle w:val="Heading2"/>
        <w:spacing w:before="280" w:after="160"/>
      </w:pPr>
      <w:r>
        <w:rPr>
          <w:rFonts w:ascii="Arial" w:cs="Arial" w:eastAsia="Arial" w:hAnsi="Arial"/>
          <w:b/>
          <w:bCs/>
          <w:color w:val="2E75B6"/>
          <w:sz w:val="26"/>
          <w:szCs w:val="26"/>
        </w:rPr>
        <w:t xml:space="preserve">3.1 Patients &amp; Consumers</w:t>
      </w:r>
    </w:p>
    <w:p>
      <w:pPr>
        <w:spacing w:after="160" w:line="276"/>
      </w:pPr>
      <w:r>
        <w:rPr>
          <w:rFonts w:ascii="Arial" w:cs="Arial" w:eastAsia="Arial" w:hAnsi="Arial"/>
          <w:color w:val="333333"/>
          <w:sz w:val="21"/>
          <w:szCs w:val="21"/>
        </w:rPr>
        <w:t xml:space="preserve">Patients are the central focus of the entire healthcare system. The shift toward consumer-driven healthcare and patient engagement has fundamentally changed how IT systems must be designed.</w:t>
      </w:r>
    </w:p>
    <w:p>
      <w:pPr>
        <w:pStyle w:val="ListParagraph"/>
        <w:numPr>
          <w:ilvl w:val="0"/>
          <w:numId w:val="2"/>
        </w:numPr>
        <w:spacing w:after="80" w:line="276"/>
      </w:pPr>
      <w:r>
        <w:rPr>
          <w:rFonts w:ascii="Arial" w:cs="Arial" w:eastAsia="Arial" w:hAnsi="Arial"/>
          <w:b/>
          <w:bCs/>
          <w:color w:val="333333"/>
          <w:sz w:val="21"/>
          <w:szCs w:val="21"/>
        </w:rPr>
        <w:t xml:space="preserve">Patient as Consumer: </w:t>
      </w:r>
      <w:r>
        <w:rPr>
          <w:rFonts w:ascii="Arial" w:cs="Arial" w:eastAsia="Arial" w:hAnsi="Arial"/>
          <w:color w:val="333333"/>
          <w:sz w:val="21"/>
          <w:szCs w:val="21"/>
        </w:rPr>
        <w:t xml:space="preserve">Rising deductibles and out-of-pocket costs have created price-sensitive healthcare consumers who demand transparency, convenience, and digital access. IT systems must support price estimation, online scheduling, digital check-in, and patient financial tools.</w:t>
      </w:r>
    </w:p>
    <w:p>
      <w:pPr>
        <w:pStyle w:val="ListParagraph"/>
        <w:numPr>
          <w:ilvl w:val="0"/>
          <w:numId w:val="2"/>
        </w:numPr>
        <w:spacing w:after="80" w:line="276"/>
      </w:pPr>
      <w:r>
        <w:rPr>
          <w:rFonts w:ascii="Arial" w:cs="Arial" w:eastAsia="Arial" w:hAnsi="Arial"/>
          <w:b/>
          <w:bCs/>
          <w:color w:val="333333"/>
          <w:sz w:val="21"/>
          <w:szCs w:val="21"/>
        </w:rPr>
        <w:t xml:space="preserve">Patient Engagement: </w:t>
      </w:r>
      <w:r>
        <w:rPr>
          <w:rFonts w:ascii="Arial" w:cs="Arial" w:eastAsia="Arial" w:hAnsi="Arial"/>
          <w:color w:val="333333"/>
          <w:sz w:val="21"/>
          <w:szCs w:val="21"/>
        </w:rPr>
        <w:t xml:space="preserve">Patient portals (MyChart), mobile health apps, secure messaging, telehealth, and patient-generated health data (PGHD) from wearables and remote monitoring devices. The 21st Century Cures Act strengthened patients’ rights to access their electronic health information.</w:t>
      </w:r>
    </w:p>
    <w:p>
      <w:pPr>
        <w:pStyle w:val="ListParagraph"/>
        <w:numPr>
          <w:ilvl w:val="0"/>
          <w:numId w:val="2"/>
        </w:numPr>
        <w:spacing w:after="80" w:line="276"/>
      </w:pPr>
      <w:r>
        <w:rPr>
          <w:rFonts w:ascii="Arial" w:cs="Arial" w:eastAsia="Arial" w:hAnsi="Arial"/>
          <w:b/>
          <w:bCs/>
          <w:color w:val="333333"/>
          <w:sz w:val="21"/>
          <w:szCs w:val="21"/>
        </w:rPr>
        <w:t xml:space="preserve">Health Literacy &amp; Equity: </w:t>
      </w:r>
      <w:r>
        <w:rPr>
          <w:rFonts w:ascii="Arial" w:cs="Arial" w:eastAsia="Arial" w:hAnsi="Arial"/>
          <w:color w:val="333333"/>
          <w:sz w:val="21"/>
          <w:szCs w:val="21"/>
        </w:rPr>
        <w:t xml:space="preserve">IT systems must accommodate varying levels of health literacy, multiple languages, accessibility requirements (ADA/Section 508), and the digital divide. Social determinants of health increasingly influence system design.</w:t>
      </w:r>
    </w:p>
    <w:p>
      <w:pPr>
        <w:pStyle w:val="ListParagraph"/>
        <w:numPr>
          <w:ilvl w:val="0"/>
          <w:numId w:val="2"/>
        </w:numPr>
        <w:spacing w:after="80" w:line="276"/>
      </w:pPr>
      <w:r>
        <w:rPr>
          <w:rFonts w:ascii="Arial" w:cs="Arial" w:eastAsia="Arial" w:hAnsi="Arial"/>
          <w:b/>
          <w:bCs/>
          <w:color w:val="333333"/>
          <w:sz w:val="21"/>
          <w:szCs w:val="21"/>
        </w:rPr>
        <w:t xml:space="preserve">Patient Identity: </w:t>
      </w:r>
      <w:r>
        <w:rPr>
          <w:rFonts w:ascii="Arial" w:cs="Arial" w:eastAsia="Arial" w:hAnsi="Arial"/>
          <w:color w:val="333333"/>
          <w:sz w:val="21"/>
          <w:szCs w:val="21"/>
        </w:rPr>
        <w:t xml:space="preserve">Master Patient Index (MPI) management, patient matching across systems, digital identity verification, and proxy access (parents accessing children’s records, caregivers) present ongoing IT challenges.</w:t>
      </w:r>
    </w:p>
    <w:p>
      <w:pPr>
        <w:pStyle w:val="Heading2"/>
        <w:spacing w:before="280" w:after="160"/>
      </w:pPr>
      <w:r>
        <w:rPr>
          <w:rFonts w:ascii="Arial" w:cs="Arial" w:eastAsia="Arial" w:hAnsi="Arial"/>
          <w:b/>
          <w:bCs/>
          <w:color w:val="2E75B6"/>
          <w:sz w:val="26"/>
          <w:szCs w:val="26"/>
        </w:rPr>
        <w:t xml:space="preserve">3.2 Healthcare Providers</w:t>
      </w:r>
    </w:p>
    <w:p>
      <w:pPr>
        <w:spacing w:after="160" w:line="276"/>
      </w:pPr>
      <w:r>
        <w:rPr>
          <w:rFonts w:ascii="Arial" w:cs="Arial" w:eastAsia="Arial" w:hAnsi="Arial"/>
          <w:color w:val="333333"/>
          <w:sz w:val="21"/>
          <w:szCs w:val="21"/>
        </w:rPr>
        <w:t xml:space="preserve">Providers are the clinicians who deliver care and are the primary users of clinical IT systems. Their workflows, preferences, and pain points directly shape EHR design and adoption success.</w:t>
      </w:r>
    </w:p>
    <w:p>
      <w:pPr>
        <w:pStyle w:val="Heading3"/>
        <w:spacing w:before="200" w:after="120"/>
      </w:pPr>
      <w:r>
        <w:rPr>
          <w:rFonts w:ascii="Arial" w:cs="Arial" w:eastAsia="Arial" w:hAnsi="Arial"/>
          <w:b/>
          <w:bCs/>
          <w:color w:val="1B3A5C"/>
          <w:sz w:val="22"/>
          <w:szCs w:val="22"/>
        </w:rPr>
        <w:t xml:space="preserve">3.2.1 Physicians</w:t>
      </w:r>
    </w:p>
    <w:p>
      <w:pPr>
        <w:spacing w:after="160" w:line="276"/>
      </w:pPr>
      <w:r>
        <w:rPr>
          <w:rFonts w:ascii="Arial" w:cs="Arial" w:eastAsia="Arial" w:hAnsi="Arial"/>
          <w:color w:val="333333"/>
          <w:sz w:val="21"/>
          <w:szCs w:val="21"/>
        </w:rPr>
        <w:t xml:space="preserve">Physicians drive clinical decision-making, order entry, and treatment planning. They are the most influential stakeholders in EHR adoption and the most vocal critics of poorly designed systems. Physician burnout attributed to EHR documentation burden has become a national crisis, with studies showing physicians spending more time on documentation than on direct patient care.</w:t>
      </w:r>
    </w:p>
    <w:p>
      <w:pPr>
        <w:pStyle w:val="ListParagraph"/>
        <w:numPr>
          <w:ilvl w:val="0"/>
          <w:numId w:val="2"/>
        </w:numPr>
        <w:spacing w:after="80" w:line="276"/>
      </w:pPr>
      <w:r>
        <w:rPr>
          <w:rFonts w:ascii="Arial" w:cs="Arial" w:eastAsia="Arial" w:hAnsi="Arial"/>
          <w:b/>
          <w:bCs/>
          <w:color w:val="333333"/>
          <w:sz w:val="21"/>
          <w:szCs w:val="21"/>
        </w:rPr>
        <w:t xml:space="preserve">Attending Physicians: </w:t>
      </w:r>
      <w:r>
        <w:rPr>
          <w:rFonts w:ascii="Arial" w:cs="Arial" w:eastAsia="Arial" w:hAnsi="Arial"/>
          <w:color w:val="333333"/>
          <w:sz w:val="21"/>
          <w:szCs w:val="21"/>
        </w:rPr>
        <w:t xml:space="preserve">Lead clinical decision-making, create treatment plans, sign orders and notes, and bear ultimate responsibility for patient outcomes.</w:t>
      </w:r>
    </w:p>
    <w:p>
      <w:pPr>
        <w:pStyle w:val="ListParagraph"/>
        <w:numPr>
          <w:ilvl w:val="0"/>
          <w:numId w:val="2"/>
        </w:numPr>
        <w:spacing w:after="80" w:line="276"/>
      </w:pPr>
      <w:r>
        <w:rPr>
          <w:rFonts w:ascii="Arial" w:cs="Arial" w:eastAsia="Arial" w:hAnsi="Arial"/>
          <w:b/>
          <w:bCs/>
          <w:color w:val="333333"/>
          <w:sz w:val="21"/>
          <w:szCs w:val="21"/>
        </w:rPr>
        <w:t xml:space="preserve">Residents &amp; Fellows: </w:t>
      </w:r>
      <w:r>
        <w:rPr>
          <w:rFonts w:ascii="Arial" w:cs="Arial" w:eastAsia="Arial" w:hAnsi="Arial"/>
          <w:color w:val="333333"/>
          <w:sz w:val="21"/>
          <w:szCs w:val="21"/>
        </w:rPr>
        <w:t xml:space="preserve">Physicians in training who use EHR systems extensively for documentation, order entry, and learning. Their access levels, supervision requirements, and co-signature workflows create unique IT configuration needs.</w:t>
      </w:r>
    </w:p>
    <w:p>
      <w:pPr>
        <w:pStyle w:val="ListParagraph"/>
        <w:numPr>
          <w:ilvl w:val="0"/>
          <w:numId w:val="2"/>
        </w:numPr>
        <w:spacing w:after="80" w:line="276"/>
      </w:pPr>
      <w:r>
        <w:rPr>
          <w:rFonts w:ascii="Arial" w:cs="Arial" w:eastAsia="Arial" w:hAnsi="Arial"/>
          <w:b/>
          <w:bCs/>
          <w:color w:val="333333"/>
          <w:sz w:val="21"/>
          <w:szCs w:val="21"/>
        </w:rPr>
        <w:t xml:space="preserve">Specialists &amp; Surgeons: </w:t>
      </w:r>
      <w:r>
        <w:rPr>
          <w:rFonts w:ascii="Arial" w:cs="Arial" w:eastAsia="Arial" w:hAnsi="Arial"/>
          <w:color w:val="333333"/>
          <w:sz w:val="21"/>
          <w:szCs w:val="21"/>
        </w:rPr>
        <w:t xml:space="preserve">Require specialty-specific templates, procedure documentation, image review capabilities, and decision support tools tailored to their domain.</w:t>
      </w:r>
    </w:p>
    <w:p>
      <w:pPr>
        <w:pStyle w:val="Heading3"/>
        <w:spacing w:before="200" w:after="120"/>
      </w:pPr>
      <w:r>
        <w:rPr>
          <w:rFonts w:ascii="Arial" w:cs="Arial" w:eastAsia="Arial" w:hAnsi="Arial"/>
          <w:b/>
          <w:bCs/>
          <w:color w:val="1B3A5C"/>
          <w:sz w:val="22"/>
          <w:szCs w:val="22"/>
        </w:rPr>
        <w:t xml:space="preserve">3.2.2 Nurses</w:t>
      </w:r>
    </w:p>
    <w:p>
      <w:pPr>
        <w:spacing w:after="160" w:line="276"/>
      </w:pPr>
      <w:r>
        <w:rPr>
          <w:rFonts w:ascii="Arial" w:cs="Arial" w:eastAsia="Arial" w:hAnsi="Arial"/>
          <w:color w:val="333333"/>
          <w:sz w:val="21"/>
          <w:szCs w:val="21"/>
        </w:rPr>
        <w:t xml:space="preserve">Nurses are the largest clinical workforce and the most frequent users of EHR systems. They interact with IT systems throughout every shift for assessment documentation, medication administration (BCMA), care plan management, vital sign documentation, patient communication, and handoff reporting.</w:t>
      </w:r>
    </w:p>
    <w:p>
      <w:pPr>
        <w:pStyle w:val="ListParagraph"/>
        <w:numPr>
          <w:ilvl w:val="0"/>
          <w:numId w:val="2"/>
        </w:numPr>
        <w:spacing w:after="80" w:line="276"/>
      </w:pPr>
      <w:r>
        <w:rPr>
          <w:rFonts w:ascii="Arial" w:cs="Arial" w:eastAsia="Arial" w:hAnsi="Arial"/>
          <w:b/>
          <w:bCs/>
          <w:color w:val="333333"/>
          <w:sz w:val="21"/>
          <w:szCs w:val="21"/>
        </w:rPr>
        <w:t xml:space="preserve">Registered Nurses (RNs): </w:t>
      </w:r>
      <w:r>
        <w:rPr>
          <w:rFonts w:ascii="Arial" w:cs="Arial" w:eastAsia="Arial" w:hAnsi="Arial"/>
          <w:color w:val="333333"/>
          <w:sz w:val="21"/>
          <w:szCs w:val="21"/>
        </w:rPr>
        <w:t xml:space="preserve">Primary clinical documentation, medication administration, care coordination, patient education, and discharge planning.</w:t>
      </w:r>
    </w:p>
    <w:p>
      <w:pPr>
        <w:pStyle w:val="ListParagraph"/>
        <w:numPr>
          <w:ilvl w:val="0"/>
          <w:numId w:val="2"/>
        </w:numPr>
        <w:spacing w:after="80" w:line="276"/>
      </w:pPr>
      <w:r>
        <w:rPr>
          <w:rFonts w:ascii="Arial" w:cs="Arial" w:eastAsia="Arial" w:hAnsi="Arial"/>
          <w:b/>
          <w:bCs/>
          <w:color w:val="333333"/>
          <w:sz w:val="21"/>
          <w:szCs w:val="21"/>
        </w:rPr>
        <w:t xml:space="preserve">Licensed Practical Nurses (LPNs): </w:t>
      </w:r>
      <w:r>
        <w:rPr>
          <w:rFonts w:ascii="Arial" w:cs="Arial" w:eastAsia="Arial" w:hAnsi="Arial"/>
          <w:color w:val="333333"/>
          <w:sz w:val="21"/>
          <w:szCs w:val="21"/>
        </w:rPr>
        <w:t xml:space="preserve">Focused on specific nursing tasks with limited scope; IT access must reflect regulatory scope-of-practice limitations.</w:t>
      </w:r>
    </w:p>
    <w:p>
      <w:pPr>
        <w:pStyle w:val="ListParagraph"/>
        <w:numPr>
          <w:ilvl w:val="0"/>
          <w:numId w:val="2"/>
        </w:numPr>
        <w:spacing w:after="80" w:line="276"/>
      </w:pPr>
      <w:r>
        <w:rPr>
          <w:rFonts w:ascii="Arial" w:cs="Arial" w:eastAsia="Arial" w:hAnsi="Arial"/>
          <w:b/>
          <w:bCs/>
          <w:color w:val="333333"/>
          <w:sz w:val="21"/>
          <w:szCs w:val="21"/>
        </w:rPr>
        <w:t xml:space="preserve">Nurse Practitioners (NPs): </w:t>
      </w:r>
      <w:r>
        <w:rPr>
          <w:rFonts w:ascii="Arial" w:cs="Arial" w:eastAsia="Arial" w:hAnsi="Arial"/>
          <w:color w:val="333333"/>
          <w:sz w:val="21"/>
          <w:szCs w:val="21"/>
        </w:rPr>
        <w:t xml:space="preserve">Advanced practice providers with prescribing authority who may function as primary care or specialty providers; require provider-level EHR access and EPCS capabilities.</w:t>
      </w:r>
    </w:p>
    <w:p>
      <w:pPr>
        <w:pStyle w:val="ListParagraph"/>
        <w:numPr>
          <w:ilvl w:val="0"/>
          <w:numId w:val="2"/>
        </w:numPr>
        <w:spacing w:after="80" w:line="276"/>
      </w:pPr>
      <w:r>
        <w:rPr>
          <w:rFonts w:ascii="Arial" w:cs="Arial" w:eastAsia="Arial" w:hAnsi="Arial"/>
          <w:b/>
          <w:bCs/>
          <w:color w:val="333333"/>
          <w:sz w:val="21"/>
          <w:szCs w:val="21"/>
        </w:rPr>
        <w:t xml:space="preserve">Nursing Leadership (CNO, Nurse Managers): </w:t>
      </w:r>
      <w:r>
        <w:rPr>
          <w:rFonts w:ascii="Arial" w:cs="Arial" w:eastAsia="Arial" w:hAnsi="Arial"/>
          <w:color w:val="333333"/>
          <w:sz w:val="21"/>
          <w:szCs w:val="21"/>
        </w:rPr>
        <w:t xml:space="preserve">Use analytics dashboards for staffing, quality metrics (falls, pressure injuries, CLABSI rates), and operational management.</w:t>
      </w:r>
    </w:p>
    <w:p>
      <w:pPr>
        <w:pStyle w:val="Heading3"/>
        <w:spacing w:before="200" w:after="120"/>
      </w:pPr>
      <w:r>
        <w:rPr>
          <w:rFonts w:ascii="Arial" w:cs="Arial" w:eastAsia="Arial" w:hAnsi="Arial"/>
          <w:b/>
          <w:bCs/>
          <w:color w:val="1B3A5C"/>
          <w:sz w:val="22"/>
          <w:szCs w:val="22"/>
        </w:rPr>
        <w:t xml:space="preserve">3.2.3 Allied Health Professionals</w:t>
      </w:r>
    </w:p>
    <w:p>
      <w:pPr>
        <w:pStyle w:val="ListParagraph"/>
        <w:numPr>
          <w:ilvl w:val="0"/>
          <w:numId w:val="2"/>
        </w:numPr>
        <w:spacing w:after="80" w:line="276"/>
      </w:pPr>
      <w:r>
        <w:rPr>
          <w:rFonts w:ascii="Arial" w:cs="Arial" w:eastAsia="Arial" w:hAnsi="Arial"/>
          <w:b/>
          <w:bCs/>
          <w:color w:val="333333"/>
          <w:sz w:val="21"/>
          <w:szCs w:val="21"/>
        </w:rPr>
        <w:t xml:space="preserve">Pharmacists: </w:t>
      </w:r>
      <w:r>
        <w:rPr>
          <w:rFonts w:ascii="Arial" w:cs="Arial" w:eastAsia="Arial" w:hAnsi="Arial"/>
          <w:color w:val="333333"/>
          <w:sz w:val="21"/>
          <w:szCs w:val="21"/>
        </w:rPr>
        <w:t xml:space="preserve">Medication order verification, clinical interventions, antibiotic stewardship, drug information, MTM (Medication Therapy Management), and pharmacy informatics.</w:t>
      </w:r>
    </w:p>
    <w:p>
      <w:pPr>
        <w:pStyle w:val="ListParagraph"/>
        <w:numPr>
          <w:ilvl w:val="0"/>
          <w:numId w:val="2"/>
        </w:numPr>
        <w:spacing w:after="80" w:line="276"/>
      </w:pPr>
      <w:r>
        <w:rPr>
          <w:rFonts w:ascii="Arial" w:cs="Arial" w:eastAsia="Arial" w:hAnsi="Arial"/>
          <w:b/>
          <w:bCs/>
          <w:color w:val="333333"/>
          <w:sz w:val="21"/>
          <w:szCs w:val="21"/>
        </w:rPr>
        <w:t xml:space="preserve">Therapists (PT, OT, SLP): </w:t>
      </w:r>
      <w:r>
        <w:rPr>
          <w:rFonts w:ascii="Arial" w:cs="Arial" w:eastAsia="Arial" w:hAnsi="Arial"/>
          <w:color w:val="333333"/>
          <w:sz w:val="21"/>
          <w:szCs w:val="21"/>
        </w:rPr>
        <w:t xml:space="preserve">Rehabilitation documentation, functional outcome measurement, treatment plan management, and productivity tracking.</w:t>
      </w:r>
    </w:p>
    <w:p>
      <w:pPr>
        <w:pStyle w:val="ListParagraph"/>
        <w:numPr>
          <w:ilvl w:val="0"/>
          <w:numId w:val="2"/>
        </w:numPr>
        <w:spacing w:after="80" w:line="276"/>
      </w:pPr>
      <w:r>
        <w:rPr>
          <w:rFonts w:ascii="Arial" w:cs="Arial" w:eastAsia="Arial" w:hAnsi="Arial"/>
          <w:b/>
          <w:bCs/>
          <w:color w:val="333333"/>
          <w:sz w:val="21"/>
          <w:szCs w:val="21"/>
        </w:rPr>
        <w:t xml:space="preserve">Social Workers &amp; Case Managers: </w:t>
      </w:r>
      <w:r>
        <w:rPr>
          <w:rFonts w:ascii="Arial" w:cs="Arial" w:eastAsia="Arial" w:hAnsi="Arial"/>
          <w:color w:val="333333"/>
          <w:sz w:val="21"/>
          <w:szCs w:val="21"/>
        </w:rPr>
        <w:t xml:space="preserve">Discharge planning, care transitions, utilization review, authorization management, and SDOH documentation.</w:t>
      </w:r>
    </w:p>
    <w:p>
      <w:pPr>
        <w:pStyle w:val="ListParagraph"/>
        <w:numPr>
          <w:ilvl w:val="0"/>
          <w:numId w:val="2"/>
        </w:numPr>
        <w:spacing w:after="80" w:line="276"/>
      </w:pPr>
      <w:r>
        <w:rPr>
          <w:rFonts w:ascii="Arial" w:cs="Arial" w:eastAsia="Arial" w:hAnsi="Arial"/>
          <w:b/>
          <w:bCs/>
          <w:color w:val="333333"/>
          <w:sz w:val="21"/>
          <w:szCs w:val="21"/>
        </w:rPr>
        <w:t xml:space="preserve">Medical Assistants: </w:t>
      </w:r>
      <w:r>
        <w:rPr>
          <w:rFonts w:ascii="Arial" w:cs="Arial" w:eastAsia="Arial" w:hAnsi="Arial"/>
          <w:color w:val="333333"/>
          <w:sz w:val="21"/>
          <w:szCs w:val="21"/>
        </w:rPr>
        <w:t xml:space="preserve">Patient intake, vitals, medication reconciliation, and clinical inbox management in ambulatory settings.</w:t>
      </w:r>
    </w:p>
    <w:p>
      <w:pPr>
        <w:pStyle w:val="ListParagraph"/>
        <w:numPr>
          <w:ilvl w:val="0"/>
          <w:numId w:val="2"/>
        </w:numPr>
        <w:spacing w:after="80" w:line="276"/>
      </w:pPr>
      <w:r>
        <w:rPr>
          <w:rFonts w:ascii="Arial" w:cs="Arial" w:eastAsia="Arial" w:hAnsi="Arial"/>
          <w:b/>
          <w:bCs/>
          <w:color w:val="333333"/>
          <w:sz w:val="21"/>
          <w:szCs w:val="21"/>
        </w:rPr>
        <w:t xml:space="preserve">Respiratory Therapists: </w:t>
      </w:r>
      <w:r>
        <w:rPr>
          <w:rFonts w:ascii="Arial" w:cs="Arial" w:eastAsia="Arial" w:hAnsi="Arial"/>
          <w:color w:val="333333"/>
          <w:sz w:val="21"/>
          <w:szCs w:val="21"/>
        </w:rPr>
        <w:t xml:space="preserve">Ventilator management, respiratory treatment documentation, and ABG interpretation in critical care settings.</w:t>
      </w:r>
    </w:p>
    <w:p>
      <w:pPr>
        <w:pStyle w:val="Heading2"/>
        <w:spacing w:before="280" w:after="160"/>
      </w:pPr>
      <w:r>
        <w:rPr>
          <w:rFonts w:ascii="Arial" w:cs="Arial" w:eastAsia="Arial" w:hAnsi="Arial"/>
          <w:b/>
          <w:bCs/>
          <w:color w:val="2E75B6"/>
          <w:sz w:val="26"/>
          <w:szCs w:val="26"/>
        </w:rPr>
        <w:t xml:space="preserve">3.3 Payers (Insurance Companies &amp; Government Programs)</w:t>
      </w:r>
    </w:p>
    <w:p>
      <w:pPr>
        <w:spacing w:after="160" w:line="276"/>
      </w:pPr>
      <w:r>
        <w:rPr>
          <w:rFonts w:ascii="Arial" w:cs="Arial" w:eastAsia="Arial" w:hAnsi="Arial"/>
          <w:color w:val="333333"/>
          <w:sz w:val="21"/>
          <w:szCs w:val="21"/>
        </w:rPr>
        <w:t xml:space="preserve">Payers finance healthcare delivery and exert enormous influence on how care is documented, coded, billed, and measured. IT systems must accommodate the requirements of multiple payer types simultaneously.</w:t>
      </w:r>
    </w:p>
    <w:p>
      <w:pPr>
        <w:pStyle w:val="Heading3"/>
        <w:spacing w:before="200" w:after="120"/>
      </w:pPr>
      <w:r>
        <w:rPr>
          <w:rFonts w:ascii="Arial" w:cs="Arial" w:eastAsia="Arial" w:hAnsi="Arial"/>
          <w:b/>
          <w:bCs/>
          <w:color w:val="1B3A5C"/>
          <w:sz w:val="22"/>
          <w:szCs w:val="22"/>
        </w:rPr>
        <w:t xml:space="preserve">3.3.1 Commercial Insurance</w:t>
      </w:r>
    </w:p>
    <w:p>
      <w:pPr>
        <w:spacing w:after="160" w:line="276"/>
      </w:pPr>
      <w:r>
        <w:rPr>
          <w:rFonts w:ascii="Arial" w:cs="Arial" w:eastAsia="Arial" w:hAnsi="Arial"/>
          <w:color w:val="333333"/>
          <w:sz w:val="21"/>
          <w:szCs w:val="21"/>
        </w:rPr>
        <w:t xml:space="preserve">Commercial insurers (UnitedHealth Group, Anthem/Elevance Health, Aetna/CVS Health, Cigna/The Cigna Group, Humana) provide employer-sponsored and individual market coverage. They negotiate contracted rates with providers, manage provider networks, and process claims.</w:t>
      </w:r>
    </w:p>
    <w:p>
      <w:pPr>
        <w:pStyle w:val="ListParagraph"/>
        <w:numPr>
          <w:ilvl w:val="0"/>
          <w:numId w:val="2"/>
        </w:numPr>
        <w:spacing w:after="80" w:line="276"/>
      </w:pPr>
      <w:r>
        <w:rPr>
          <w:rFonts w:ascii="Arial" w:cs="Arial" w:eastAsia="Arial" w:hAnsi="Arial"/>
          <w:b/>
          <w:bCs/>
          <w:color w:val="333333"/>
          <w:sz w:val="21"/>
          <w:szCs w:val="21"/>
        </w:rPr>
        <w:t xml:space="preserve">Plan Types: </w:t>
      </w:r>
      <w:r>
        <w:rPr>
          <w:rFonts w:ascii="Arial" w:cs="Arial" w:eastAsia="Arial" w:hAnsi="Arial"/>
          <w:color w:val="333333"/>
          <w:sz w:val="21"/>
          <w:szCs w:val="21"/>
        </w:rPr>
        <w:t xml:space="preserve">HMO (Health Maintenance Organization) requires referrals and in-network care; PPO (Preferred Provider Organization) offers out-of-network benefits at higher cost; EPO (Exclusive Provider Organization) provides no out-of-network coverage; POS (Point of Service) combines HMO and PPO features; HDHP (High-Deductible Health Plans) paired with HSAs.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Eligibility verification (270/271 transactions), prior authorization workflows, claims submission (837P/837I), remittance processing (835), denial management, contracted rate management, and provider credentialing. Each payer has unique rules, requiring complex rules engines in billing systems.</w:t>
      </w:r>
    </w:p>
    <w:p>
      <w:pPr>
        <w:pStyle w:val="Heading3"/>
        <w:spacing w:before="200" w:after="120"/>
      </w:pPr>
      <w:r>
        <w:rPr>
          <w:rFonts w:ascii="Arial" w:cs="Arial" w:eastAsia="Arial" w:hAnsi="Arial"/>
          <w:b/>
          <w:bCs/>
          <w:color w:val="1B3A5C"/>
          <w:sz w:val="22"/>
          <w:szCs w:val="22"/>
        </w:rPr>
        <w:t xml:space="preserve">3.3.2 Medicare</w:t>
      </w:r>
    </w:p>
    <w:p>
      <w:pPr>
        <w:spacing w:after="160" w:line="276"/>
      </w:pPr>
      <w:r>
        <w:rPr>
          <w:rFonts w:ascii="Arial" w:cs="Arial" w:eastAsia="Arial" w:hAnsi="Arial"/>
          <w:color w:val="333333"/>
          <w:sz w:val="21"/>
          <w:szCs w:val="21"/>
        </w:rPr>
        <w:t xml:space="preserve">Medicare is the federal health insurance program for people aged 65 and older, certain younger people with disabilities, and people with End-Stage Renal Disease (ESRD). Administered by the Centers for Medicare &amp; Medicaid Services (CMS), it is the single largest payer in the US healthcare system.</w:t>
      </w:r>
    </w:p>
    <w:p>
      <w:pPr>
        <w:pStyle w:val="ListParagraph"/>
        <w:numPr>
          <w:ilvl w:val="0"/>
          <w:numId w:val="2"/>
        </w:numPr>
        <w:spacing w:after="80" w:line="276"/>
      </w:pPr>
      <w:r>
        <w:rPr>
          <w:rFonts w:ascii="Arial" w:cs="Arial" w:eastAsia="Arial" w:hAnsi="Arial"/>
          <w:b/>
          <w:bCs/>
          <w:color w:val="333333"/>
          <w:sz w:val="21"/>
          <w:szCs w:val="21"/>
        </w:rPr>
        <w:t xml:space="preserve">Medicare Part A: </w:t>
      </w:r>
      <w:r>
        <w:rPr>
          <w:rFonts w:ascii="Arial" w:cs="Arial" w:eastAsia="Arial" w:hAnsi="Arial"/>
          <w:color w:val="333333"/>
          <w:sz w:val="21"/>
          <w:szCs w:val="21"/>
        </w:rPr>
        <w:t xml:space="preserve">Hospital insurance covering inpatient hospital stays, SNF care, hospice, and some home health. Reimbursed through DRG-based prospective payment.</w:t>
      </w:r>
    </w:p>
    <w:p>
      <w:pPr>
        <w:pStyle w:val="ListParagraph"/>
        <w:numPr>
          <w:ilvl w:val="0"/>
          <w:numId w:val="2"/>
        </w:numPr>
        <w:spacing w:after="80" w:line="276"/>
      </w:pPr>
      <w:r>
        <w:rPr>
          <w:rFonts w:ascii="Arial" w:cs="Arial" w:eastAsia="Arial" w:hAnsi="Arial"/>
          <w:b/>
          <w:bCs/>
          <w:color w:val="333333"/>
          <w:sz w:val="21"/>
          <w:szCs w:val="21"/>
        </w:rPr>
        <w:t xml:space="preserve">Medicare Part B: </w:t>
      </w:r>
      <w:r>
        <w:rPr>
          <w:rFonts w:ascii="Arial" w:cs="Arial" w:eastAsia="Arial" w:hAnsi="Arial"/>
          <w:color w:val="333333"/>
          <w:sz w:val="21"/>
          <w:szCs w:val="21"/>
        </w:rPr>
        <w:t xml:space="preserve">Medical insurance covering physician services, outpatient care, preventive services, and durable medical equipment. Reimbursed through the Physician Fee Schedule (PFS).</w:t>
      </w:r>
    </w:p>
    <w:p>
      <w:pPr>
        <w:pStyle w:val="ListParagraph"/>
        <w:numPr>
          <w:ilvl w:val="0"/>
          <w:numId w:val="2"/>
        </w:numPr>
        <w:spacing w:after="80" w:line="276"/>
      </w:pPr>
      <w:r>
        <w:rPr>
          <w:rFonts w:ascii="Arial" w:cs="Arial" w:eastAsia="Arial" w:hAnsi="Arial"/>
          <w:b/>
          <w:bCs/>
          <w:color w:val="333333"/>
          <w:sz w:val="21"/>
          <w:szCs w:val="21"/>
        </w:rPr>
        <w:t xml:space="preserve">Medicare Part C (Medicare Advantage): </w:t>
      </w:r>
      <w:r>
        <w:rPr>
          <w:rFonts w:ascii="Arial" w:cs="Arial" w:eastAsia="Arial" w:hAnsi="Arial"/>
          <w:color w:val="333333"/>
          <w:sz w:val="21"/>
          <w:szCs w:val="21"/>
        </w:rPr>
        <w:t xml:space="preserve">Private insurance plans that provide all Part A and B benefits, often with additional benefits. Managed care model with capitated payments and risk adjustment (HCC coding). IT systems must support HEDIS, Stars, and risk adjustment workflows.</w:t>
      </w:r>
    </w:p>
    <w:p>
      <w:pPr>
        <w:pStyle w:val="ListParagraph"/>
        <w:numPr>
          <w:ilvl w:val="0"/>
          <w:numId w:val="2"/>
        </w:numPr>
        <w:spacing w:after="80" w:line="276"/>
      </w:pPr>
      <w:r>
        <w:rPr>
          <w:rFonts w:ascii="Arial" w:cs="Arial" w:eastAsia="Arial" w:hAnsi="Arial"/>
          <w:b/>
          <w:bCs/>
          <w:color w:val="333333"/>
          <w:sz w:val="21"/>
          <w:szCs w:val="21"/>
        </w:rPr>
        <w:t xml:space="preserve">Medicare Part D: </w:t>
      </w:r>
      <w:r>
        <w:rPr>
          <w:rFonts w:ascii="Arial" w:cs="Arial" w:eastAsia="Arial" w:hAnsi="Arial"/>
          <w:color w:val="333333"/>
          <w:sz w:val="21"/>
          <w:szCs w:val="21"/>
        </w:rPr>
        <w:t xml:space="preserve">Prescription drug coverage administered by private plans. Pharmacy IT systems must support formulary management, Part D billing, and MTM program identification.</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CMS quality program reporting (MIPS, Hospital IQR, Hospital OQR, Hospital VBP, HAC Reduction Program), claims processing rules, National Correct Coding Initiative (NCCI) edits, ABN/HINN requirements, Medicare Secondary Payer rules, and Promoting Interoperability requirements.</w:t>
      </w:r>
    </w:p>
    <w:p>
      <w:pPr>
        <w:pStyle w:val="Heading3"/>
        <w:spacing w:before="200" w:after="120"/>
      </w:pPr>
      <w:r>
        <w:rPr>
          <w:rFonts w:ascii="Arial" w:cs="Arial" w:eastAsia="Arial" w:hAnsi="Arial"/>
          <w:b/>
          <w:bCs/>
          <w:color w:val="1B3A5C"/>
          <w:sz w:val="22"/>
          <w:szCs w:val="22"/>
        </w:rPr>
        <w:t xml:space="preserve">3.3.3 Medicaid</w:t>
      </w:r>
    </w:p>
    <w:p>
      <w:pPr>
        <w:spacing w:after="160" w:line="276"/>
      </w:pPr>
      <w:r>
        <w:rPr>
          <w:rFonts w:ascii="Arial" w:cs="Arial" w:eastAsia="Arial" w:hAnsi="Arial"/>
          <w:color w:val="333333"/>
          <w:sz w:val="21"/>
          <w:szCs w:val="21"/>
        </w:rPr>
        <w:t xml:space="preserve">Medicaid is a joint federal-state program providing health coverage to low-income individuals, families, pregnant women, children, elderly adults, and people with disabilities. Each state administers its own Medicaid program within federal guidelines, creating significant variability in covered services, eligibility criteria, and IT requirements.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State-specific claims rules, Managed Medicaid plan integration, presumptive eligibility workflows, EPSDT (Early and Periodic Screening, Diagnostic, and Treatment) tracking for children, dual-eligible (Medicare/Medicaid) coordination, CHIP integration, and state health information exchange connectivity.</w:t>
      </w:r>
    </w:p>
    <w:p>
      <w:pPr>
        <w:pStyle w:val="Heading2"/>
        <w:spacing w:before="280" w:after="160"/>
      </w:pPr>
      <w:r>
        <w:rPr>
          <w:rFonts w:ascii="Arial" w:cs="Arial" w:eastAsia="Arial" w:hAnsi="Arial"/>
          <w:b/>
          <w:bCs/>
          <w:color w:val="2E75B6"/>
          <w:sz w:val="26"/>
          <w:szCs w:val="26"/>
        </w:rPr>
        <w:t xml:space="preserve">3.4 Pharmaceutical &amp; Life Sciences Industry</w:t>
      </w:r>
    </w:p>
    <w:p>
      <w:pPr>
        <w:spacing w:after="160" w:line="276"/>
      </w:pPr>
      <w:r>
        <w:rPr>
          <w:rFonts w:ascii="Arial" w:cs="Arial" w:eastAsia="Arial" w:hAnsi="Arial"/>
          <w:color w:val="333333"/>
          <w:sz w:val="21"/>
          <w:szCs w:val="21"/>
        </w:rPr>
        <w:t xml:space="preserve">The pharmaceutical industry intersects with healthcare IT through drug databases, clinical trials, pharmacovigilance, and formulary management. Key IT touchpoints include:</w:t>
      </w:r>
    </w:p>
    <w:p>
      <w:pPr>
        <w:pStyle w:val="ListParagraph"/>
        <w:numPr>
          <w:ilvl w:val="0"/>
          <w:numId w:val="2"/>
        </w:numPr>
        <w:spacing w:after="80" w:line="276"/>
      </w:pPr>
      <w:r>
        <w:rPr>
          <w:rFonts w:ascii="Arial" w:cs="Arial" w:eastAsia="Arial" w:hAnsi="Arial"/>
          <w:color w:val="333333"/>
          <w:sz w:val="21"/>
          <w:szCs w:val="21"/>
        </w:rPr>
        <w:t xml:space="preserve">Drug information databases (FDB, Medi-Span, Wolters Kluwer) integrated into EHR clinical decision support for drug-drug interaction checking, allergy alerts, and dosage guidance.</w:t>
      </w:r>
    </w:p>
    <w:p>
      <w:pPr>
        <w:pStyle w:val="ListParagraph"/>
        <w:numPr>
          <w:ilvl w:val="0"/>
          <w:numId w:val="2"/>
        </w:numPr>
        <w:spacing w:after="80" w:line="276"/>
      </w:pPr>
      <w:r>
        <w:rPr>
          <w:rFonts w:ascii="Arial" w:cs="Arial" w:eastAsia="Arial" w:hAnsi="Arial"/>
          <w:color w:val="333333"/>
          <w:sz w:val="21"/>
          <w:szCs w:val="21"/>
        </w:rPr>
        <w:t xml:space="preserve">E-prescribing networks (Surescripts) connecting prescribers, pharmacies, and PBMs (Pharmacy Benefit Managers).</w:t>
      </w:r>
    </w:p>
    <w:p>
      <w:pPr>
        <w:pStyle w:val="ListParagraph"/>
        <w:numPr>
          <w:ilvl w:val="0"/>
          <w:numId w:val="2"/>
        </w:numPr>
        <w:spacing w:after="80" w:line="276"/>
      </w:pPr>
      <w:r>
        <w:rPr>
          <w:rFonts w:ascii="Arial" w:cs="Arial" w:eastAsia="Arial" w:hAnsi="Arial"/>
          <w:color w:val="333333"/>
          <w:sz w:val="21"/>
          <w:szCs w:val="21"/>
        </w:rPr>
        <w:t xml:space="preserve">Clinical trial management systems (CTMS) and electronic data capture (EDC) systems for research.</w:t>
      </w:r>
    </w:p>
    <w:p>
      <w:pPr>
        <w:pStyle w:val="ListParagraph"/>
        <w:numPr>
          <w:ilvl w:val="0"/>
          <w:numId w:val="2"/>
        </w:numPr>
        <w:spacing w:after="80" w:line="276"/>
      </w:pPr>
      <w:r>
        <w:rPr>
          <w:rFonts w:ascii="Arial" w:cs="Arial" w:eastAsia="Arial" w:hAnsi="Arial"/>
          <w:color w:val="333333"/>
          <w:sz w:val="21"/>
          <w:szCs w:val="21"/>
        </w:rPr>
        <w:t xml:space="preserve">Real-World Evidence (RWE) derived from EHR data for post-market surveillance and outcomes research.</w:t>
      </w:r>
    </w:p>
    <w:p>
      <w:pPr>
        <w:pStyle w:val="ListParagraph"/>
        <w:numPr>
          <w:ilvl w:val="0"/>
          <w:numId w:val="2"/>
        </w:numPr>
        <w:spacing w:after="80" w:line="276"/>
      </w:pPr>
      <w:r>
        <w:rPr>
          <w:rFonts w:ascii="Arial" w:cs="Arial" w:eastAsia="Arial" w:hAnsi="Arial"/>
          <w:color w:val="333333"/>
          <w:sz w:val="21"/>
          <w:szCs w:val="21"/>
        </w:rPr>
        <w:t xml:space="preserve">340B Drug Pricing Program compliance requiring complex IT tracking and split-billing configurations.</w:t>
      </w:r>
    </w:p>
    <w:p>
      <w:pPr>
        <w:pStyle w:val="ListParagraph"/>
        <w:numPr>
          <w:ilvl w:val="0"/>
          <w:numId w:val="2"/>
        </w:numPr>
        <w:spacing w:after="80" w:line="276"/>
      </w:pPr>
      <w:r>
        <w:rPr>
          <w:rFonts w:ascii="Arial" w:cs="Arial" w:eastAsia="Arial" w:hAnsi="Arial"/>
          <w:color w:val="333333"/>
          <w:sz w:val="21"/>
          <w:szCs w:val="21"/>
        </w:rPr>
        <w:t xml:space="preserve">Specialty pharmacy workflows for high-cost medications requiring REMS (Risk Evaluation and Mitigation Strategies) compliance.</w:t>
      </w:r>
    </w:p>
    <w:p>
      <w:pPr>
        <w:pStyle w:val="Heading2"/>
        <w:spacing w:before="280" w:after="160"/>
      </w:pPr>
      <w:r>
        <w:rPr>
          <w:rFonts w:ascii="Arial" w:cs="Arial" w:eastAsia="Arial" w:hAnsi="Arial"/>
          <w:b/>
          <w:bCs/>
          <w:color w:val="2E75B6"/>
          <w:sz w:val="26"/>
          <w:szCs w:val="26"/>
        </w:rPr>
        <w:t xml:space="preserve">3.5 Medical Technology (MedTech) Industry</w:t>
      </w:r>
    </w:p>
    <w:p>
      <w:pPr>
        <w:spacing w:after="160" w:line="276"/>
      </w:pPr>
      <w:r>
        <w:rPr>
          <w:rFonts w:ascii="Arial" w:cs="Arial" w:eastAsia="Arial" w:hAnsi="Arial"/>
          <w:color w:val="333333"/>
          <w:sz w:val="21"/>
          <w:szCs w:val="21"/>
        </w:rPr>
        <w:t xml:space="preserve">Medical device manufacturers produce the diagnostic equipment, implants, surgical instruments, and monitoring devices that are integral to clinical care. IT integration with medical devices is a rapidly growing domain.</w:t>
      </w:r>
    </w:p>
    <w:p>
      <w:pPr>
        <w:pStyle w:val="ListParagraph"/>
        <w:numPr>
          <w:ilvl w:val="0"/>
          <w:numId w:val="2"/>
        </w:numPr>
        <w:spacing w:after="80" w:line="276"/>
      </w:pPr>
      <w:r>
        <w:rPr>
          <w:rFonts w:ascii="Arial" w:cs="Arial" w:eastAsia="Arial" w:hAnsi="Arial"/>
          <w:color w:val="333333"/>
          <w:sz w:val="21"/>
          <w:szCs w:val="21"/>
        </w:rPr>
        <w:t xml:space="preserve">Biomedical device integration: Vital sign monitors, ventilators, infusion pumps, and fetal monitors feeding data directly into the EHR.</w:t>
      </w:r>
    </w:p>
    <w:p>
      <w:pPr>
        <w:pStyle w:val="ListParagraph"/>
        <w:numPr>
          <w:ilvl w:val="0"/>
          <w:numId w:val="2"/>
        </w:numPr>
        <w:spacing w:after="80" w:line="276"/>
      </w:pPr>
      <w:r>
        <w:rPr>
          <w:rFonts w:ascii="Arial" w:cs="Arial" w:eastAsia="Arial" w:hAnsi="Arial"/>
          <w:color w:val="333333"/>
          <w:sz w:val="21"/>
          <w:szCs w:val="21"/>
        </w:rPr>
        <w:t xml:space="preserve">Unique Device Identification (UDI) tracking for implants and surgical supplies.</w:t>
      </w:r>
    </w:p>
    <w:p>
      <w:pPr>
        <w:pStyle w:val="ListParagraph"/>
        <w:numPr>
          <w:ilvl w:val="0"/>
          <w:numId w:val="2"/>
        </w:numPr>
        <w:spacing w:after="80" w:line="276"/>
      </w:pPr>
      <w:r>
        <w:rPr>
          <w:rFonts w:ascii="Arial" w:cs="Arial" w:eastAsia="Arial" w:hAnsi="Arial"/>
          <w:color w:val="333333"/>
          <w:sz w:val="21"/>
          <w:szCs w:val="21"/>
        </w:rPr>
        <w:t xml:space="preserve">Medical device cybersecurity: FDA pre-market and post-market guidance, Software Bill of Materials (SBOM), patch management for connected devices.</w:t>
      </w:r>
    </w:p>
    <w:p>
      <w:pPr>
        <w:pStyle w:val="ListParagraph"/>
        <w:numPr>
          <w:ilvl w:val="0"/>
          <w:numId w:val="2"/>
        </w:numPr>
        <w:spacing w:after="80" w:line="276"/>
      </w:pPr>
      <w:r>
        <w:rPr>
          <w:rFonts w:ascii="Arial" w:cs="Arial" w:eastAsia="Arial" w:hAnsi="Arial"/>
          <w:color w:val="333333"/>
          <w:sz w:val="21"/>
          <w:szCs w:val="21"/>
        </w:rPr>
        <w:t xml:space="preserve">IoT and remote monitoring: Connected devices for home-based patient monitoring, continuous glucose monitors, smart inhalers, and cardiac implant remote monitoring.</w:t>
      </w:r>
    </w:p>
    <w:p>
      <w:pPr>
        <w:pStyle w:val="Heading2"/>
        <w:spacing w:before="280" w:after="160"/>
      </w:pPr>
      <w:r>
        <w:rPr>
          <w:rFonts w:ascii="Arial" w:cs="Arial" w:eastAsia="Arial" w:hAnsi="Arial"/>
          <w:b/>
          <w:bCs/>
          <w:color w:val="2E75B6"/>
          <w:sz w:val="26"/>
          <w:szCs w:val="26"/>
        </w:rPr>
        <w:t xml:space="preserve">3.6 Government Agencies</w:t>
      </w:r>
    </w:p>
    <w:p>
      <w:pPr>
        <w:pStyle w:val="Heading3"/>
        <w:spacing w:before="200" w:after="120"/>
      </w:pPr>
      <w:r>
        <w:rPr>
          <w:rFonts w:ascii="Arial" w:cs="Arial" w:eastAsia="Arial" w:hAnsi="Arial"/>
          <w:b/>
          <w:bCs/>
          <w:color w:val="1B3A5C"/>
          <w:sz w:val="22"/>
          <w:szCs w:val="22"/>
        </w:rPr>
        <w:t xml:space="preserve">3.6.1 Centers for Medicare &amp; Medicaid Services (CMS)</w:t>
      </w:r>
    </w:p>
    <w:p>
      <w:pPr>
        <w:spacing w:after="160" w:line="276"/>
      </w:pPr>
      <w:r>
        <w:rPr>
          <w:rFonts w:ascii="Arial" w:cs="Arial" w:eastAsia="Arial" w:hAnsi="Arial"/>
          <w:color w:val="333333"/>
          <w:sz w:val="21"/>
          <w:szCs w:val="21"/>
        </w:rPr>
        <w:t xml:space="preserve">CMS is the most influential government agency in healthcare IT. It administers Medicare, Medicaid, CHIP, and the ACA Marketplaces, and drives technology adoption through regulatory requirements, incentive programs, and quality measures. CMS interoperability rules (Patient Access API, Provider Directory API, Prior Authorization API) are reshaping how health data flows between payers, providers, and patients.</w:t>
      </w:r>
    </w:p>
    <w:p>
      <w:pPr>
        <w:pStyle w:val="Heading3"/>
        <w:spacing w:before="200" w:after="120"/>
      </w:pPr>
      <w:r>
        <w:rPr>
          <w:rFonts w:ascii="Arial" w:cs="Arial" w:eastAsia="Arial" w:hAnsi="Arial"/>
          <w:b/>
          <w:bCs/>
          <w:color w:val="1B3A5C"/>
          <w:sz w:val="22"/>
          <w:szCs w:val="22"/>
        </w:rPr>
        <w:t xml:space="preserve">3.6.2 Office of the National Coordinator for Health IT (ONC)</w:t>
      </w:r>
    </w:p>
    <w:p>
      <w:pPr>
        <w:spacing w:after="160" w:line="276"/>
      </w:pPr>
      <w:r>
        <w:rPr>
          <w:rFonts w:ascii="Arial" w:cs="Arial" w:eastAsia="Arial" w:hAnsi="Arial"/>
          <w:color w:val="333333"/>
          <w:sz w:val="21"/>
          <w:szCs w:val="21"/>
        </w:rPr>
        <w:t xml:space="preserve">ONC develops and promotes the adoption of health information technology standards, including USCDI (United States Core Data for Interoperability), Certified EHR Technology (CEHRT) requirements, TEFCA (Trusted Exchange Framework and Common Agreement), and information blocking rules under the 21st Century Cures Act.</w:t>
      </w:r>
    </w:p>
    <w:p>
      <w:pPr>
        <w:pStyle w:val="Heading3"/>
        <w:spacing w:before="200" w:after="120"/>
      </w:pPr>
      <w:r>
        <w:rPr>
          <w:rFonts w:ascii="Arial" w:cs="Arial" w:eastAsia="Arial" w:hAnsi="Arial"/>
          <w:b/>
          <w:bCs/>
          <w:color w:val="1B3A5C"/>
          <w:sz w:val="22"/>
          <w:szCs w:val="22"/>
        </w:rPr>
        <w:t xml:space="preserve">3.6.3 Food and Drug Administration (FDA)</w:t>
      </w:r>
    </w:p>
    <w:p>
      <w:pPr>
        <w:spacing w:after="160" w:line="276"/>
      </w:pPr>
      <w:r>
        <w:rPr>
          <w:rFonts w:ascii="Arial" w:cs="Arial" w:eastAsia="Arial" w:hAnsi="Arial"/>
          <w:color w:val="333333"/>
          <w:sz w:val="21"/>
          <w:szCs w:val="21"/>
        </w:rPr>
        <w:t xml:space="preserve">The FDA regulates medical devices, including Software as a Medical Device (SaMD), AI/ML-based clinical decision support tools, and digital therapeutics. The FDA’s evolving framework for AI/ML devices, including Predetermined Change Control Plans, has significant implications for health IT product development.</w:t>
      </w:r>
    </w:p>
    <w:p>
      <w:pPr>
        <w:pStyle w:val="Heading3"/>
        <w:spacing w:before="200" w:after="120"/>
      </w:pPr>
      <w:r>
        <w:rPr>
          <w:rFonts w:ascii="Arial" w:cs="Arial" w:eastAsia="Arial" w:hAnsi="Arial"/>
          <w:b/>
          <w:bCs/>
          <w:color w:val="1B3A5C"/>
          <w:sz w:val="22"/>
          <w:szCs w:val="22"/>
        </w:rPr>
        <w:t xml:space="preserve">3.6.4 Office for Civil Rights (OCR)</w:t>
      </w:r>
    </w:p>
    <w:p>
      <w:pPr>
        <w:spacing w:after="160" w:line="276"/>
      </w:pPr>
      <w:r>
        <w:rPr>
          <w:rFonts w:ascii="Arial" w:cs="Arial" w:eastAsia="Arial" w:hAnsi="Arial"/>
          <w:color w:val="333333"/>
          <w:sz w:val="21"/>
          <w:szCs w:val="21"/>
        </w:rPr>
        <w:t xml:space="preserve">OCR enforces HIPAA privacy and security rules, investigates data breaches, and issues guidance on protected health information (PHI) handling. Every IT professional in healthcare must understand OCR’s enforcement actions and breach notification requirements.</w:t>
      </w:r>
    </w:p>
    <w:p>
      <w:pPr>
        <w:pStyle w:val="Heading3"/>
        <w:spacing w:before="200" w:after="120"/>
      </w:pPr>
      <w:r>
        <w:rPr>
          <w:rFonts w:ascii="Arial" w:cs="Arial" w:eastAsia="Arial" w:hAnsi="Arial"/>
          <w:b/>
          <w:bCs/>
          <w:color w:val="1B3A5C"/>
          <w:sz w:val="22"/>
          <w:szCs w:val="22"/>
        </w:rPr>
        <w:t xml:space="preserve">3.6.5 Other Key Agencies</w:t>
      </w:r>
    </w:p>
    <w:p>
      <w:pPr>
        <w:pStyle w:val="ListParagraph"/>
        <w:numPr>
          <w:ilvl w:val="0"/>
          <w:numId w:val="2"/>
        </w:numPr>
        <w:spacing w:after="80" w:line="276"/>
      </w:pPr>
      <w:r>
        <w:rPr>
          <w:rFonts w:ascii="Arial" w:cs="Arial" w:eastAsia="Arial" w:hAnsi="Arial"/>
          <w:b/>
          <w:bCs/>
          <w:color w:val="333333"/>
          <w:sz w:val="21"/>
          <w:szCs w:val="21"/>
        </w:rPr>
        <w:t xml:space="preserve">CDC (Centers for Disease Control and Prevention): </w:t>
      </w:r>
      <w:r>
        <w:rPr>
          <w:rFonts w:ascii="Arial" w:cs="Arial" w:eastAsia="Arial" w:hAnsi="Arial"/>
          <w:color w:val="333333"/>
          <w:sz w:val="21"/>
          <w:szCs w:val="21"/>
        </w:rPr>
        <w:t xml:space="preserve">Disease surveillance, public health reporting, immunization registries, and electronic lab reporting (ELR) requirements.</w:t>
      </w:r>
    </w:p>
    <w:p>
      <w:pPr>
        <w:pStyle w:val="ListParagraph"/>
        <w:numPr>
          <w:ilvl w:val="0"/>
          <w:numId w:val="2"/>
        </w:numPr>
        <w:spacing w:after="80" w:line="276"/>
      </w:pPr>
      <w:r>
        <w:rPr>
          <w:rFonts w:ascii="Arial" w:cs="Arial" w:eastAsia="Arial" w:hAnsi="Arial"/>
          <w:b/>
          <w:bCs/>
          <w:color w:val="333333"/>
          <w:sz w:val="21"/>
          <w:szCs w:val="21"/>
        </w:rPr>
        <w:t xml:space="preserve">AHRQ (Agency for Healthcare Research and Quality): </w:t>
      </w:r>
      <w:r>
        <w:rPr>
          <w:rFonts w:ascii="Arial" w:cs="Arial" w:eastAsia="Arial" w:hAnsi="Arial"/>
          <w:color w:val="333333"/>
          <w:sz w:val="21"/>
          <w:szCs w:val="21"/>
        </w:rPr>
        <w:t xml:space="preserve">Patient safety research, quality indicators, and the Patient Safety Organization (PSO) program.</w:t>
      </w:r>
    </w:p>
    <w:p>
      <w:pPr>
        <w:pStyle w:val="ListParagraph"/>
        <w:numPr>
          <w:ilvl w:val="0"/>
          <w:numId w:val="2"/>
        </w:numPr>
        <w:spacing w:after="80" w:line="276"/>
      </w:pPr>
      <w:r>
        <w:rPr>
          <w:rFonts w:ascii="Arial" w:cs="Arial" w:eastAsia="Arial" w:hAnsi="Arial"/>
          <w:b/>
          <w:bCs/>
          <w:color w:val="333333"/>
          <w:sz w:val="21"/>
          <w:szCs w:val="21"/>
        </w:rPr>
        <w:t xml:space="preserve">SAMHSA (Substance Abuse and Mental Health Services Administration): </w:t>
      </w:r>
      <w:r>
        <w:rPr>
          <w:rFonts w:ascii="Arial" w:cs="Arial" w:eastAsia="Arial" w:hAnsi="Arial"/>
          <w:color w:val="333333"/>
          <w:sz w:val="21"/>
          <w:szCs w:val="21"/>
        </w:rPr>
        <w:t xml:space="preserve">42 CFR Part 2 regulations governing substance use disorder treatment records, requiring special consent management and data segmentation in IT systems.</w:t>
      </w:r>
    </w:p>
    <w:p>
      <w:pPr>
        <w:pStyle w:val="ListParagraph"/>
        <w:numPr>
          <w:ilvl w:val="0"/>
          <w:numId w:val="2"/>
        </w:numPr>
        <w:spacing w:after="80" w:line="276"/>
      </w:pPr>
      <w:r>
        <w:rPr>
          <w:rFonts w:ascii="Arial" w:cs="Arial" w:eastAsia="Arial" w:hAnsi="Arial"/>
          <w:b/>
          <w:bCs/>
          <w:color w:val="333333"/>
          <w:sz w:val="21"/>
          <w:szCs w:val="21"/>
        </w:rPr>
        <w:t xml:space="preserve">State Health Departments: </w:t>
      </w:r>
      <w:r>
        <w:rPr>
          <w:rFonts w:ascii="Arial" w:cs="Arial" w:eastAsia="Arial" w:hAnsi="Arial"/>
          <w:color w:val="333333"/>
          <w:sz w:val="21"/>
          <w:szCs w:val="21"/>
        </w:rPr>
        <w:t xml:space="preserve">State-specific reporting requirements, licensure, Medicaid administration, and public health surveillance.</w:t>
      </w:r>
    </w:p>
    <w:p>
      <w:r>
        <w:br w:type="page"/>
      </w:r>
    </w:p>
    <w:p>
      <w:pPr>
        <w:pStyle w:val="Heading1"/>
        <w:spacing w:before="360" w:after="200"/>
      </w:pPr>
      <w:r>
        <w:rPr>
          <w:rFonts w:ascii="Arial" w:cs="Arial" w:eastAsia="Arial" w:hAnsi="Arial"/>
          <w:b/>
          <w:bCs/>
          <w:color w:val="1B3A5C"/>
          <w:sz w:val="32"/>
          <w:szCs w:val="32"/>
        </w:rPr>
        <w:t xml:space="preserve">4. Healthcare Organizational Structures</w:t>
      </w:r>
    </w:p>
    <w:p>
      <w:pPr>
        <w:spacing w:after="160" w:line="276"/>
      </w:pPr>
      <w:r>
        <w:rPr>
          <w:rFonts w:ascii="Arial" w:cs="Arial" w:eastAsia="Arial" w:hAnsi="Arial"/>
          <w:color w:val="333333"/>
          <w:sz w:val="21"/>
          <w:szCs w:val="21"/>
        </w:rPr>
        <w:t xml:space="preserve">Healthcare is delivered through a variety of organizational structures, each with distinct governance models, financial incentives, technology strategies, and IT infrastructure requirements.</w:t>
      </w:r>
    </w:p>
    <w:p>
      <w:pPr>
        <w:pStyle w:val="Heading2"/>
        <w:spacing w:before="280" w:after="160"/>
      </w:pPr>
      <w:r>
        <w:rPr>
          <w:rFonts w:ascii="Arial" w:cs="Arial" w:eastAsia="Arial" w:hAnsi="Arial"/>
          <w:b/>
          <w:bCs/>
          <w:color w:val="2E75B6"/>
          <w:sz w:val="26"/>
          <w:szCs w:val="26"/>
        </w:rPr>
        <w:t xml:space="preserve">4.1 Integrated Delivery Networks (IDNs)</w:t>
      </w:r>
    </w:p>
    <w:p>
      <w:pPr>
        <w:spacing w:after="160" w:line="276"/>
      </w:pPr>
      <w:r>
        <w:rPr>
          <w:rFonts w:ascii="Arial" w:cs="Arial" w:eastAsia="Arial" w:hAnsi="Arial"/>
          <w:color w:val="333333"/>
          <w:sz w:val="21"/>
          <w:szCs w:val="21"/>
        </w:rPr>
        <w:t xml:space="preserve">IDNs are large healthcare organizations that own and operate multiple facilities across the care continuum — hospitals, physician practices, ambulatory surgery centers, post-acute care facilities, and sometimes health plans. Major IDNs include Kaiser Permanente, Intermountain Health, Geisinger, Cleveland Clinic, and CommonSpirit Health.</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Enterprise-wide EHR standardization (often Epic or Oracle Health), single patient record across all facilities, centralized IT governance, enterprise data warehouse for system-wide analytics, standardized integration patterns, shared master data management, and complex identity management across facilities. IDNs benefit from economies of scale in IT but face challenges in system consolidation during mergers and acquisitions.</w:t>
      </w:r>
    </w:p>
    <w:p>
      <w:pPr>
        <w:pStyle w:val="Heading2"/>
        <w:spacing w:before="280" w:after="160"/>
      </w:pPr>
      <w:r>
        <w:rPr>
          <w:rFonts w:ascii="Arial" w:cs="Arial" w:eastAsia="Arial" w:hAnsi="Arial"/>
          <w:b/>
          <w:bCs/>
          <w:color w:val="2E75B6"/>
          <w:sz w:val="26"/>
          <w:szCs w:val="26"/>
        </w:rPr>
        <w:t xml:space="preserve">4.2 Accountable Care Organizations (ACOs)</w:t>
      </w:r>
    </w:p>
    <w:p>
      <w:pPr>
        <w:spacing w:after="160" w:line="276"/>
      </w:pPr>
      <w:r>
        <w:rPr>
          <w:rFonts w:ascii="Arial" w:cs="Arial" w:eastAsia="Arial" w:hAnsi="Arial"/>
          <w:color w:val="333333"/>
          <w:sz w:val="21"/>
          <w:szCs w:val="21"/>
        </w:rPr>
        <w:t xml:space="preserve">ACOs are groups of doctors, hospitals, and other providers who voluntarily come together to provide coordinated, high-quality care to Medicare patients. Under the Medicare Shared Savings Program (MSSP), ACOs that reduce costs while meeting quality benchmarks share in the savings.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Population health management platforms, risk stratification tools, care gap identification, quality measure reporting (33 ACO quality measures), attribution file management, claims data analytics, care coordination workflows across independent organizations, and shared savings/risk calculation. ACOs require interoperability between participating organizations that may use different EHR systems.</w:t>
      </w:r>
    </w:p>
    <w:p>
      <w:pPr>
        <w:pStyle w:val="Heading2"/>
        <w:spacing w:before="280" w:after="160"/>
      </w:pPr>
      <w:r>
        <w:rPr>
          <w:rFonts w:ascii="Arial" w:cs="Arial" w:eastAsia="Arial" w:hAnsi="Arial"/>
          <w:b/>
          <w:bCs/>
          <w:color w:val="2E75B6"/>
          <w:sz w:val="26"/>
          <w:szCs w:val="26"/>
        </w:rPr>
        <w:t xml:space="preserve">4.3 Physician Groups &amp; Medical Practices</w:t>
      </w:r>
    </w:p>
    <w:p>
      <w:pPr>
        <w:spacing w:after="160" w:line="276"/>
      </w:pPr>
      <w:r>
        <w:rPr>
          <w:rFonts w:ascii="Arial" w:cs="Arial" w:eastAsia="Arial" w:hAnsi="Arial"/>
          <w:color w:val="333333"/>
          <w:sz w:val="21"/>
          <w:szCs w:val="21"/>
        </w:rPr>
        <w:t xml:space="preserve">Physician groups range from solo practitioners to large multispecialty groups employing hundreds of physicians. The trend toward practice consolidation and employment by health systems has accelerated, with over 70% of physicians now employed rather than in independent practice.</w:t>
      </w:r>
    </w:p>
    <w:p>
      <w:pPr>
        <w:pStyle w:val="ListParagraph"/>
        <w:numPr>
          <w:ilvl w:val="0"/>
          <w:numId w:val="2"/>
        </w:numPr>
        <w:spacing w:after="80" w:line="276"/>
      </w:pPr>
      <w:r>
        <w:rPr>
          <w:rFonts w:ascii="Arial" w:cs="Arial" w:eastAsia="Arial" w:hAnsi="Arial"/>
          <w:b/>
          <w:bCs/>
          <w:color w:val="333333"/>
          <w:sz w:val="21"/>
          <w:szCs w:val="21"/>
        </w:rPr>
        <w:t xml:space="preserve">Small/Independent Practices: </w:t>
      </w:r>
      <w:r>
        <w:rPr>
          <w:rFonts w:ascii="Arial" w:cs="Arial" w:eastAsia="Arial" w:hAnsi="Arial"/>
          <w:color w:val="333333"/>
          <w:sz w:val="21"/>
          <w:szCs w:val="21"/>
        </w:rPr>
        <w:t xml:space="preserve">Typically use cloud-based EHR/PM systems (athenahealth, eClinicalWorks, NextGen). Limited IT staff, reliance on vendor support, and cost-sensitive technology decisions.</w:t>
      </w:r>
    </w:p>
    <w:p>
      <w:pPr>
        <w:pStyle w:val="ListParagraph"/>
        <w:numPr>
          <w:ilvl w:val="0"/>
          <w:numId w:val="2"/>
        </w:numPr>
        <w:spacing w:after="80" w:line="276"/>
      </w:pPr>
      <w:r>
        <w:rPr>
          <w:rFonts w:ascii="Arial" w:cs="Arial" w:eastAsia="Arial" w:hAnsi="Arial"/>
          <w:b/>
          <w:bCs/>
          <w:color w:val="333333"/>
          <w:sz w:val="21"/>
          <w:szCs w:val="21"/>
        </w:rPr>
        <w:t xml:space="preserve">Large Multispecialty Groups: </w:t>
      </w:r>
      <w:r>
        <w:rPr>
          <w:rFonts w:ascii="Arial" w:cs="Arial" w:eastAsia="Arial" w:hAnsi="Arial"/>
          <w:color w:val="333333"/>
          <w:sz w:val="21"/>
          <w:szCs w:val="21"/>
        </w:rPr>
        <w:t xml:space="preserve">May run their own data centers, employ dedicated IT teams, and implement enterprise platforms. Examples include The Permanente Medical Group, Cleveland Clinic Physician Organization.</w:t>
      </w:r>
    </w:p>
    <w:p>
      <w:pPr>
        <w:pStyle w:val="ListParagraph"/>
        <w:numPr>
          <w:ilvl w:val="0"/>
          <w:numId w:val="2"/>
        </w:numPr>
        <w:spacing w:after="80" w:line="276"/>
      </w:pPr>
      <w:r>
        <w:rPr>
          <w:rFonts w:ascii="Arial" w:cs="Arial" w:eastAsia="Arial" w:hAnsi="Arial"/>
          <w:b/>
          <w:bCs/>
          <w:color w:val="333333"/>
          <w:sz w:val="21"/>
          <w:szCs w:val="21"/>
        </w:rPr>
        <w:t xml:space="preserve">Private Equity-Backed Groups: </w:t>
      </w:r>
      <w:r>
        <w:rPr>
          <w:rFonts w:ascii="Arial" w:cs="Arial" w:eastAsia="Arial" w:hAnsi="Arial"/>
          <w:color w:val="333333"/>
          <w:sz w:val="21"/>
          <w:szCs w:val="21"/>
        </w:rPr>
        <w:t xml:space="preserve">Rapidly consolidating specialty practices (dermatology, ophthalmology, orthopedics) with standardized technology platforms for operational efficiency and data-driven management.</w:t>
      </w:r>
    </w:p>
    <w:p>
      <w:pPr>
        <w:pStyle w:val="Heading2"/>
        <w:spacing w:before="280" w:after="160"/>
      </w:pPr>
      <w:r>
        <w:rPr>
          <w:rFonts w:ascii="Arial" w:cs="Arial" w:eastAsia="Arial" w:hAnsi="Arial"/>
          <w:b/>
          <w:bCs/>
          <w:color w:val="2E75B6"/>
          <w:sz w:val="26"/>
          <w:szCs w:val="26"/>
        </w:rPr>
        <w:t xml:space="preserve">4.4 Federally Qualified Health Centers (FQHCs)</w:t>
      </w:r>
    </w:p>
    <w:p>
      <w:pPr>
        <w:spacing w:after="160" w:line="276"/>
      </w:pPr>
      <w:r>
        <w:rPr>
          <w:rFonts w:ascii="Arial" w:cs="Arial" w:eastAsia="Arial" w:hAnsi="Arial"/>
          <w:color w:val="333333"/>
          <w:sz w:val="21"/>
          <w:szCs w:val="21"/>
        </w:rPr>
        <w:t xml:space="preserve">FQHCs are community-based health centers that receive federal funding under Section 330 of the Public Health Service Act to provide primary care services in underserved areas. They serve patients regardless of ability to pay and use a Prospective Payment System (PPS) for Medicare and Medicaid reimbursement.</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FQHC-specific EHR systems (eClinicalWorks, NextGen, athenahealth with FQHC modules), Uniform Data System (UDS) reporting requirements, sliding fee scale management, grant reporting, integrated behavioral health documentation, PCMH certification support, and connectivity to state HIEs for underserved population management.</w:t>
      </w:r>
    </w:p>
    <w:p>
      <w:pPr>
        <w:pStyle w:val="Heading2"/>
        <w:spacing w:before="280" w:after="160"/>
      </w:pPr>
      <w:r>
        <w:rPr>
          <w:rFonts w:ascii="Arial" w:cs="Arial" w:eastAsia="Arial" w:hAnsi="Arial"/>
          <w:b/>
          <w:bCs/>
          <w:color w:val="2E75B6"/>
          <w:sz w:val="26"/>
          <w:szCs w:val="26"/>
        </w:rPr>
        <w:t xml:space="preserve">4.5 Academic Medical Centers (AMCs)</w:t>
      </w:r>
    </w:p>
    <w:p>
      <w:pPr>
        <w:spacing w:after="160" w:line="276"/>
      </w:pPr>
      <w:r>
        <w:rPr>
          <w:rFonts w:ascii="Arial" w:cs="Arial" w:eastAsia="Arial" w:hAnsi="Arial"/>
          <w:color w:val="333333"/>
          <w:sz w:val="21"/>
          <w:szCs w:val="21"/>
        </w:rPr>
        <w:t xml:space="preserve">AMCs combine clinical care with medical education and research. They typically house the most complex patients, the most advanced technology, and the largest IT infrastructures in healthcare. AMCs face unique IT challenges including research computing requirements, educational technology, clinical trial management, and innovation initiatives.</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Research data platforms (i2b2, REDCap, honest broker services), de-identification pipelines for research, IRB management systems, clinical trial integration with EHR, graduate medical education (GME) tracking, simulation lab technology, complex role-based access for trainees and researchers, and innovation/incubation IT infrastructure.</w:t>
      </w:r>
    </w:p>
    <w:p>
      <w:r>
        <w:br w:type="page"/>
      </w:r>
    </w:p>
    <w:p>
      <w:pPr>
        <w:pStyle w:val="Heading1"/>
        <w:spacing w:before="360" w:after="200"/>
      </w:pPr>
      <w:r>
        <w:rPr>
          <w:rFonts w:ascii="Arial" w:cs="Arial" w:eastAsia="Arial" w:hAnsi="Arial"/>
          <w:b/>
          <w:bCs/>
          <w:color w:val="1B3A5C"/>
          <w:sz w:val="32"/>
          <w:szCs w:val="32"/>
        </w:rPr>
        <w:t xml:space="preserve">5. The Healthcare Value Chain</w:t>
      </w:r>
    </w:p>
    <w:p>
      <w:pPr>
        <w:spacing w:after="160" w:line="276"/>
      </w:pPr>
      <w:r>
        <w:rPr>
          <w:rFonts w:ascii="Arial" w:cs="Arial" w:eastAsia="Arial" w:hAnsi="Arial"/>
          <w:color w:val="333333"/>
          <w:sz w:val="21"/>
          <w:szCs w:val="21"/>
        </w:rPr>
        <w:t xml:space="preserve">The healthcare value chain describes how care is delivered, documented, coded, billed, and paid for. Every step in this chain is supported by IT systems, and understanding the end-to-end flow is critical for any health IT professional.</w:t>
      </w:r>
    </w:p>
    <w:p>
      <w:pPr>
        <w:pStyle w:val="Heading2"/>
        <w:spacing w:before="280" w:after="160"/>
      </w:pPr>
      <w:r>
        <w:rPr>
          <w:rFonts w:ascii="Arial" w:cs="Arial" w:eastAsia="Arial" w:hAnsi="Arial"/>
          <w:b/>
          <w:bCs/>
          <w:color w:val="2E75B6"/>
          <w:sz w:val="26"/>
          <w:szCs w:val="26"/>
        </w:rPr>
        <w:t xml:space="preserve">5.1 Care Delivery &amp; Clinical Documentation</w:t>
      </w:r>
    </w:p>
    <w:p>
      <w:pPr>
        <w:spacing w:after="160" w:line="276"/>
      </w:pPr>
      <w:r>
        <w:rPr>
          <w:rFonts w:ascii="Arial" w:cs="Arial" w:eastAsia="Arial" w:hAnsi="Arial"/>
          <w:color w:val="333333"/>
          <w:sz w:val="21"/>
          <w:szCs w:val="21"/>
        </w:rPr>
        <w:t xml:space="preserve">The value chain begins with the patient encounter. Clinicians assess, diagnose, and treat patients, documenting their findings and decisions in the electronic health record. Clinical documentation drives everything downstream — coding, billing, quality measurement, research, and legal defense.</w:t>
      </w:r>
    </w:p>
    <w:p>
      <w:pPr>
        <w:pStyle w:val="ListParagraph"/>
        <w:numPr>
          <w:ilvl w:val="0"/>
          <w:numId w:val="3"/>
        </w:numPr>
        <w:spacing w:after="80" w:line="276"/>
      </w:pPr>
      <w:r>
        <w:rPr>
          <w:rFonts w:ascii="Arial" w:cs="Arial" w:eastAsia="Arial" w:hAnsi="Arial"/>
          <w:color w:val="333333"/>
          <w:sz w:val="21"/>
          <w:szCs w:val="21"/>
        </w:rPr>
        <w:t xml:space="preserve">Patient presents for care (scheduled or unscheduled).</w:t>
      </w:r>
    </w:p>
    <w:p>
      <w:pPr>
        <w:pStyle w:val="ListParagraph"/>
        <w:numPr>
          <w:ilvl w:val="0"/>
          <w:numId w:val="3"/>
        </w:numPr>
        <w:spacing w:after="80" w:line="276"/>
      </w:pPr>
      <w:r>
        <w:rPr>
          <w:rFonts w:ascii="Arial" w:cs="Arial" w:eastAsia="Arial" w:hAnsi="Arial"/>
          <w:color w:val="333333"/>
          <w:sz w:val="21"/>
          <w:szCs w:val="21"/>
        </w:rPr>
        <w:t xml:space="preserve">Registration and insurance verification capture demographic and coverage information.</w:t>
      </w:r>
    </w:p>
    <w:p>
      <w:pPr>
        <w:pStyle w:val="ListParagraph"/>
        <w:numPr>
          <w:ilvl w:val="0"/>
          <w:numId w:val="3"/>
        </w:numPr>
        <w:spacing w:after="80" w:line="276"/>
      </w:pPr>
      <w:r>
        <w:rPr>
          <w:rFonts w:ascii="Arial" w:cs="Arial" w:eastAsia="Arial" w:hAnsi="Arial"/>
          <w:color w:val="333333"/>
          <w:sz w:val="21"/>
          <w:szCs w:val="21"/>
        </w:rPr>
        <w:t xml:space="preserve">Clinical assessment occurs: history, physical exam, diagnostic testing.</w:t>
      </w:r>
    </w:p>
    <w:p>
      <w:pPr>
        <w:pStyle w:val="ListParagraph"/>
        <w:numPr>
          <w:ilvl w:val="0"/>
          <w:numId w:val="3"/>
        </w:numPr>
        <w:spacing w:after="80" w:line="276"/>
      </w:pPr>
      <w:r>
        <w:rPr>
          <w:rFonts w:ascii="Arial" w:cs="Arial" w:eastAsia="Arial" w:hAnsi="Arial"/>
          <w:color w:val="333333"/>
          <w:sz w:val="21"/>
          <w:szCs w:val="21"/>
        </w:rPr>
        <w:t xml:space="preserve">Diagnosis is established and documented using clinical terminology.</w:t>
      </w:r>
    </w:p>
    <w:p>
      <w:pPr>
        <w:pStyle w:val="ListParagraph"/>
        <w:numPr>
          <w:ilvl w:val="0"/>
          <w:numId w:val="3"/>
        </w:numPr>
        <w:spacing w:after="80" w:line="276"/>
      </w:pPr>
      <w:r>
        <w:rPr>
          <w:rFonts w:ascii="Arial" w:cs="Arial" w:eastAsia="Arial" w:hAnsi="Arial"/>
          <w:color w:val="333333"/>
          <w:sz w:val="21"/>
          <w:szCs w:val="21"/>
        </w:rPr>
        <w:t xml:space="preserve">Treatment plan is created: orders for medications, procedures, therapies, referrals.</w:t>
      </w:r>
    </w:p>
    <w:p>
      <w:pPr>
        <w:pStyle w:val="ListParagraph"/>
        <w:numPr>
          <w:ilvl w:val="0"/>
          <w:numId w:val="3"/>
        </w:numPr>
        <w:spacing w:after="80" w:line="276"/>
      </w:pPr>
      <w:r>
        <w:rPr>
          <w:rFonts w:ascii="Arial" w:cs="Arial" w:eastAsia="Arial" w:hAnsi="Arial"/>
          <w:color w:val="333333"/>
          <w:sz w:val="21"/>
          <w:szCs w:val="21"/>
        </w:rPr>
        <w:t xml:space="preserve">Clinical documentation captures the encounter narrative supporting medical decision-making.</w:t>
      </w:r>
    </w:p>
    <w:p>
      <w:pPr>
        <w:pStyle w:val="ListParagraph"/>
        <w:numPr>
          <w:ilvl w:val="0"/>
          <w:numId w:val="3"/>
        </w:numPr>
        <w:spacing w:after="80" w:line="276"/>
      </w:pPr>
      <w:r>
        <w:rPr>
          <w:rFonts w:ascii="Arial" w:cs="Arial" w:eastAsia="Arial" w:hAnsi="Arial"/>
          <w:color w:val="333333"/>
          <w:sz w:val="21"/>
          <w:szCs w:val="21"/>
        </w:rPr>
        <w:t xml:space="preserve">Discharge/follow-up planning ensures continuity of care.</w:t>
      </w:r>
    </w:p>
    <w:p>
      <w:pPr>
        <w:pStyle w:val="Heading2"/>
        <w:spacing w:before="280" w:after="160"/>
      </w:pPr>
      <w:r>
        <w:rPr>
          <w:rFonts w:ascii="Arial" w:cs="Arial" w:eastAsia="Arial" w:hAnsi="Arial"/>
          <w:b/>
          <w:bCs/>
          <w:color w:val="2E75B6"/>
          <w:sz w:val="26"/>
          <w:szCs w:val="26"/>
        </w:rPr>
        <w:t xml:space="preserve">5.2 Coding &amp; Charge Capture</w:t>
      </w:r>
    </w:p>
    <w:p>
      <w:pPr>
        <w:spacing w:after="160" w:line="276"/>
      </w:pPr>
      <w:r>
        <w:rPr>
          <w:rFonts w:ascii="Arial" w:cs="Arial" w:eastAsia="Arial" w:hAnsi="Arial"/>
          <w:color w:val="333333"/>
          <w:sz w:val="21"/>
          <w:szCs w:val="21"/>
        </w:rPr>
        <w:t xml:space="preserve">After clinical documentation is complete, professional and facility coders translate clinical documentation into standardized codes (ICD-10-CM/PCS, CPT, HCPCS) that drive reimbursement. Computer-Assisted Coding (CAC) and increasingly AI-powered autonomous coding tools are transforming this workflow.</w:t>
      </w:r>
    </w:p>
    <w:p>
      <w:pPr>
        <w:spacing w:after="160" w:line="276"/>
      </w:pPr>
      <w:r>
        <w:rPr>
          <w:rFonts w:ascii="Arial" w:cs="Arial" w:eastAsia="Arial" w:hAnsi="Arial"/>
          <w:b/>
          <w:bCs/>
          <w:color w:val="333333"/>
          <w:sz w:val="21"/>
          <w:szCs w:val="21"/>
        </w:rPr>
        <w:t xml:space="preserve">IT Systems: </w:t>
      </w:r>
      <w:r>
        <w:rPr>
          <w:rFonts w:ascii="Arial" w:cs="Arial" w:eastAsia="Arial" w:hAnsi="Arial"/>
          <w:color w:val="333333"/>
          <w:sz w:val="21"/>
          <w:szCs w:val="21"/>
        </w:rPr>
        <w:t xml:space="preserve">Encoder software (3M, Optum), CDI (Clinical Documentation Improvement) platforms, charge capture applications, chargemaster/CDM management, coding quality auditing tools, and DRG groupers for inpatient payment.</w:t>
      </w:r>
    </w:p>
    <w:p>
      <w:pPr>
        <w:pStyle w:val="Heading2"/>
        <w:spacing w:before="280" w:after="160"/>
      </w:pPr>
      <w:r>
        <w:rPr>
          <w:rFonts w:ascii="Arial" w:cs="Arial" w:eastAsia="Arial" w:hAnsi="Arial"/>
          <w:b/>
          <w:bCs/>
          <w:color w:val="2E75B6"/>
          <w:sz w:val="26"/>
          <w:szCs w:val="26"/>
        </w:rPr>
        <w:t xml:space="preserve">5.3 Claims Submission &amp; Adjudication</w:t>
      </w:r>
    </w:p>
    <w:p>
      <w:pPr>
        <w:spacing w:after="160" w:line="276"/>
      </w:pPr>
      <w:r>
        <w:rPr>
          <w:rFonts w:ascii="Arial" w:cs="Arial" w:eastAsia="Arial" w:hAnsi="Arial"/>
          <w:color w:val="333333"/>
          <w:sz w:val="21"/>
          <w:szCs w:val="21"/>
        </w:rPr>
        <w:t xml:space="preserve">Coded encounters generate claims that are submitted electronically to payers. The 837P (professional) and 837I (institutional) transaction formats are mandated by HIPAA. Claims pass through clearinghouses for validation before reaching payers, where they are adjudicated against coverage rules, medical policies, and contracted rates.</w:t>
      </w:r>
    </w:p>
    <w:p>
      <w:pPr>
        <w:pStyle w:val="Heading2"/>
        <w:spacing w:before="280" w:after="160"/>
      </w:pPr>
      <w:r>
        <w:rPr>
          <w:rFonts w:ascii="Arial" w:cs="Arial" w:eastAsia="Arial" w:hAnsi="Arial"/>
          <w:b/>
          <w:bCs/>
          <w:color w:val="2E75B6"/>
          <w:sz w:val="26"/>
          <w:szCs w:val="26"/>
        </w:rPr>
        <w:t xml:space="preserve">5.4 Payment &amp; Remittance</w:t>
      </w:r>
    </w:p>
    <w:p>
      <w:pPr>
        <w:spacing w:after="160" w:line="276"/>
      </w:pPr>
      <w:r>
        <w:rPr>
          <w:rFonts w:ascii="Arial" w:cs="Arial" w:eastAsia="Arial" w:hAnsi="Arial"/>
          <w:color w:val="333333"/>
          <w:sz w:val="21"/>
          <w:szCs w:val="21"/>
        </w:rPr>
        <w:t xml:space="preserve">After adjudication, payers issue payments and Explanation of Benefits (EOB) / Electronic Remittance Advice (ERA/835 transactions). Patient responsibility (copays, deductibles, coinsurance) is calculated and billed separately. Denial management workflows address rejected or underpaid claims, representing a significant revenue recovery opportunity for providers.</w:t>
      </w:r>
    </w:p>
    <w:p>
      <w:pPr>
        <w:pStyle w:val="Heading2"/>
        <w:spacing w:before="280" w:after="160"/>
      </w:pPr>
      <w:r>
        <w:rPr>
          <w:rFonts w:ascii="Arial" w:cs="Arial" w:eastAsia="Arial" w:hAnsi="Arial"/>
          <w:b/>
          <w:bCs/>
          <w:color w:val="2E75B6"/>
          <w:sz w:val="26"/>
          <w:szCs w:val="26"/>
        </w:rPr>
        <w:t xml:space="preserve">5.5 Value Chain IT System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Chain Stage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IT Systems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Data Standards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Registration, Eligibility (270/271)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HL7 ADT, X12 270/271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Care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CPOE, CDS, BCMA, Nursing Documentation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HL7 v2.x, FHIR, SNOMED CT, LOINC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Documentation, Voice Recognition, Ambient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SNOMED CT, ICD-10, LOINC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Encoder, CAC, CDI Platform, DRG Grouper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ICD-10-CM/PCS, CPT, HCPCS, MS-DRG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 Capture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Chargemaster, Charge Review, Revenue Integrity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CPT, HCPCS, CDM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 Scrubbing, Clearinghouse, Payer Submission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X12 837P/837I, HIPAA transactions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ERA/835 Processing, Cash Posting, Denial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X12 835, ANSI codes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Billing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Statements, Payment Plans, Financial Counseling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portal, payment gateways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Cycle Analytics, Denial Trending, A/R 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 tools, data warehouse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6. Public Health Infrastructure</w:t>
      </w:r>
    </w:p>
    <w:p>
      <w:pPr>
        <w:spacing w:after="160" w:line="276"/>
      </w:pPr>
      <w:r>
        <w:rPr>
          <w:rFonts w:ascii="Arial" w:cs="Arial" w:eastAsia="Arial" w:hAnsi="Arial"/>
          <w:color w:val="333333"/>
          <w:sz w:val="21"/>
          <w:szCs w:val="21"/>
        </w:rPr>
        <w:t xml:space="preserve">Public health infrastructure represents the governmental and organizational systems that monitor, protect, and promote the health of entire populations. Healthcare IT professionals play a critical role in connecting clinical systems with public health surveillance, reporting, and response systems.</w:t>
      </w:r>
    </w:p>
    <w:p>
      <w:pPr>
        <w:pStyle w:val="Heading2"/>
        <w:spacing w:before="280" w:after="160"/>
      </w:pPr>
      <w:r>
        <w:rPr>
          <w:rFonts w:ascii="Arial" w:cs="Arial" w:eastAsia="Arial" w:hAnsi="Arial"/>
          <w:b/>
          <w:bCs/>
          <w:color w:val="2E75B6"/>
          <w:sz w:val="26"/>
          <w:szCs w:val="26"/>
        </w:rPr>
        <w:t xml:space="preserve">6.1 Centers for Disease Control and Prevention (CDC)</w:t>
      </w:r>
    </w:p>
    <w:p>
      <w:pPr>
        <w:spacing w:after="160" w:line="276"/>
      </w:pPr>
      <w:r>
        <w:rPr>
          <w:rFonts w:ascii="Arial" w:cs="Arial" w:eastAsia="Arial" w:hAnsi="Arial"/>
          <w:color w:val="333333"/>
          <w:sz w:val="21"/>
          <w:szCs w:val="21"/>
        </w:rPr>
        <w:t xml:space="preserve">The CDC is the leading national public health institute in the United States, responsible for disease surveillance, outbreak investigation, health promotion, and emergency preparedness. Key IT intersections include:</w:t>
      </w:r>
    </w:p>
    <w:p>
      <w:pPr>
        <w:pStyle w:val="ListParagraph"/>
        <w:numPr>
          <w:ilvl w:val="0"/>
          <w:numId w:val="2"/>
        </w:numPr>
        <w:spacing w:after="80" w:line="276"/>
      </w:pPr>
      <w:r>
        <w:rPr>
          <w:rFonts w:ascii="Arial" w:cs="Arial" w:eastAsia="Arial" w:hAnsi="Arial"/>
          <w:b/>
          <w:bCs/>
          <w:color w:val="333333"/>
          <w:sz w:val="21"/>
          <w:szCs w:val="21"/>
        </w:rPr>
        <w:t xml:space="preserve">Electronic Lab Reporting (ELR): </w:t>
      </w:r>
      <w:r>
        <w:rPr>
          <w:rFonts w:ascii="Arial" w:cs="Arial" w:eastAsia="Arial" w:hAnsi="Arial"/>
          <w:color w:val="333333"/>
          <w:sz w:val="21"/>
          <w:szCs w:val="21"/>
        </w:rPr>
        <w:t xml:space="preserve">Automated transmission of reportable lab results from clinical laboratories to state and local health departments. IT systems must support HL7 v2.x ELR messages and increasingly FHIR-based reporting.</w:t>
      </w:r>
    </w:p>
    <w:p>
      <w:pPr>
        <w:pStyle w:val="ListParagraph"/>
        <w:numPr>
          <w:ilvl w:val="0"/>
          <w:numId w:val="2"/>
        </w:numPr>
        <w:spacing w:after="80" w:line="276"/>
      </w:pPr>
      <w:r>
        <w:rPr>
          <w:rFonts w:ascii="Arial" w:cs="Arial" w:eastAsia="Arial" w:hAnsi="Arial"/>
          <w:b/>
          <w:bCs/>
          <w:color w:val="333333"/>
          <w:sz w:val="21"/>
          <w:szCs w:val="21"/>
        </w:rPr>
        <w:t xml:space="preserve">Immunization Information Systems (IIS): </w:t>
      </w:r>
      <w:r>
        <w:rPr>
          <w:rFonts w:ascii="Arial" w:cs="Arial" w:eastAsia="Arial" w:hAnsi="Arial"/>
          <w:color w:val="333333"/>
          <w:sz w:val="21"/>
          <w:szCs w:val="21"/>
        </w:rPr>
        <w:t xml:space="preserve">State-based registries that track vaccinations administered to individuals. EHR systems must integrate bidirectionally with IIS for submission and query/response.</w:t>
      </w:r>
    </w:p>
    <w:p>
      <w:pPr>
        <w:pStyle w:val="ListParagraph"/>
        <w:numPr>
          <w:ilvl w:val="0"/>
          <w:numId w:val="2"/>
        </w:numPr>
        <w:spacing w:after="80" w:line="276"/>
      </w:pPr>
      <w:r>
        <w:rPr>
          <w:rFonts w:ascii="Arial" w:cs="Arial" w:eastAsia="Arial" w:hAnsi="Arial"/>
          <w:b/>
          <w:bCs/>
          <w:color w:val="333333"/>
          <w:sz w:val="21"/>
          <w:szCs w:val="21"/>
        </w:rPr>
        <w:t xml:space="preserve">Syndromic Surveillance: </w:t>
      </w:r>
      <w:r>
        <w:rPr>
          <w:rFonts w:ascii="Arial" w:cs="Arial" w:eastAsia="Arial" w:hAnsi="Arial"/>
          <w:color w:val="333333"/>
          <w:sz w:val="21"/>
          <w:szCs w:val="21"/>
        </w:rPr>
        <w:t xml:space="preserve">Real-time monitoring of emergency department visit data (chief complaints, discharge diagnoses) to detect disease outbreaks. EHR/ED systems transmit data to BioSense Platform.</w:t>
      </w:r>
    </w:p>
    <w:p>
      <w:pPr>
        <w:pStyle w:val="ListParagraph"/>
        <w:numPr>
          <w:ilvl w:val="0"/>
          <w:numId w:val="2"/>
        </w:numPr>
        <w:spacing w:after="80" w:line="276"/>
      </w:pPr>
      <w:r>
        <w:rPr>
          <w:rFonts w:ascii="Arial" w:cs="Arial" w:eastAsia="Arial" w:hAnsi="Arial"/>
          <w:b/>
          <w:bCs/>
          <w:color w:val="333333"/>
          <w:sz w:val="21"/>
          <w:szCs w:val="21"/>
        </w:rPr>
        <w:t xml:space="preserve">National Notifiable Diseases Surveillance System (NNDSS): </w:t>
      </w:r>
      <w:r>
        <w:rPr>
          <w:rFonts w:ascii="Arial" w:cs="Arial" w:eastAsia="Arial" w:hAnsi="Arial"/>
          <w:color w:val="333333"/>
          <w:sz w:val="21"/>
          <w:szCs w:val="21"/>
        </w:rPr>
        <w:t xml:space="preserve">Case reporting for nationally notifiable conditions (tuberculosis, HIV, hepatitis, STIs, etc.).</w:t>
      </w:r>
    </w:p>
    <w:p>
      <w:pPr>
        <w:pStyle w:val="ListParagraph"/>
        <w:numPr>
          <w:ilvl w:val="0"/>
          <w:numId w:val="2"/>
        </w:numPr>
        <w:spacing w:after="80" w:line="276"/>
      </w:pPr>
      <w:r>
        <w:rPr>
          <w:rFonts w:ascii="Arial" w:cs="Arial" w:eastAsia="Arial" w:hAnsi="Arial"/>
          <w:b/>
          <w:bCs/>
          <w:color w:val="333333"/>
          <w:sz w:val="21"/>
          <w:szCs w:val="21"/>
        </w:rPr>
        <w:t xml:space="preserve">National Healthcare Safety Network (NHSN): </w:t>
      </w:r>
      <w:r>
        <w:rPr>
          <w:rFonts w:ascii="Arial" w:cs="Arial" w:eastAsia="Arial" w:hAnsi="Arial"/>
          <w:color w:val="333333"/>
          <w:sz w:val="21"/>
          <w:szCs w:val="21"/>
        </w:rPr>
        <w:t xml:space="preserve">Surveillance system for healthcare-associated infections (HAIs), antibiotic resistance, and healthcare worker safety.</w:t>
      </w:r>
    </w:p>
    <w:p>
      <w:pPr>
        <w:pStyle w:val="Heading2"/>
        <w:spacing w:before="280" w:after="160"/>
      </w:pPr>
      <w:r>
        <w:rPr>
          <w:rFonts w:ascii="Arial" w:cs="Arial" w:eastAsia="Arial" w:hAnsi="Arial"/>
          <w:b/>
          <w:bCs/>
          <w:color w:val="2E75B6"/>
          <w:sz w:val="26"/>
          <w:szCs w:val="26"/>
        </w:rPr>
        <w:t xml:space="preserve">6.2 World Health Organization (WHO)</w:t>
      </w:r>
    </w:p>
    <w:p>
      <w:pPr>
        <w:spacing w:after="160" w:line="276"/>
      </w:pPr>
      <w:r>
        <w:rPr>
          <w:rFonts w:ascii="Arial" w:cs="Arial" w:eastAsia="Arial" w:hAnsi="Arial"/>
          <w:color w:val="333333"/>
          <w:sz w:val="21"/>
          <w:szCs w:val="21"/>
        </w:rPr>
        <w:t xml:space="preserve">The WHO coordinates international health policy, disease surveillance, and global health standards. Its Digital Health Strategy promotes the use of digital technologies to improve health outcomes globally. WHO maintains the International Classification of Diseases (ICD) system, with ICD-11 representing the latest revision incorporating digital health concepts.</w:t>
      </w:r>
    </w:p>
    <w:p>
      <w:pPr>
        <w:pStyle w:val="Heading2"/>
        <w:spacing w:before="280" w:after="160"/>
      </w:pPr>
      <w:r>
        <w:rPr>
          <w:rFonts w:ascii="Arial" w:cs="Arial" w:eastAsia="Arial" w:hAnsi="Arial"/>
          <w:b/>
          <w:bCs/>
          <w:color w:val="2E75B6"/>
          <w:sz w:val="26"/>
          <w:szCs w:val="26"/>
        </w:rPr>
        <w:t xml:space="preserve">6.3 State &amp; Local Health Departments</w:t>
      </w:r>
    </w:p>
    <w:p>
      <w:pPr>
        <w:spacing w:after="160" w:line="276"/>
      </w:pPr>
      <w:r>
        <w:rPr>
          <w:rFonts w:ascii="Arial" w:cs="Arial" w:eastAsia="Arial" w:hAnsi="Arial"/>
          <w:color w:val="333333"/>
          <w:sz w:val="21"/>
          <w:szCs w:val="21"/>
        </w:rPr>
        <w:t xml:space="preserve">State and local health departments implement public health programs, enforce health regulations, manage Medicaid programs, and conduct disease surveillance at the community level. Each state has unique reporting requirements, consent laws, and privacy regulations that IT systems must accommodate.</w:t>
      </w:r>
    </w:p>
    <w:p>
      <w:pPr>
        <w:pStyle w:val="ListParagraph"/>
        <w:numPr>
          <w:ilvl w:val="0"/>
          <w:numId w:val="2"/>
        </w:numPr>
        <w:spacing w:after="80" w:line="276"/>
      </w:pPr>
      <w:r>
        <w:rPr>
          <w:rFonts w:ascii="Arial" w:cs="Arial" w:eastAsia="Arial" w:hAnsi="Arial"/>
          <w:color w:val="333333"/>
          <w:sz w:val="21"/>
          <w:szCs w:val="21"/>
        </w:rPr>
        <w:t xml:space="preserve">Reportable disease case reporting (electronic case reporting — eCR — is being standardized via FHIR).</w:t>
      </w:r>
    </w:p>
    <w:p>
      <w:pPr>
        <w:pStyle w:val="ListParagraph"/>
        <w:numPr>
          <w:ilvl w:val="0"/>
          <w:numId w:val="2"/>
        </w:numPr>
        <w:spacing w:after="80" w:line="276"/>
      </w:pPr>
      <w:r>
        <w:rPr>
          <w:rFonts w:ascii="Arial" w:cs="Arial" w:eastAsia="Arial" w:hAnsi="Arial"/>
          <w:color w:val="333333"/>
          <w:sz w:val="21"/>
          <w:szCs w:val="21"/>
        </w:rPr>
        <w:t xml:space="preserve">Vital records management: Birth and death certificates with electronic registration systems.</w:t>
      </w:r>
    </w:p>
    <w:p>
      <w:pPr>
        <w:pStyle w:val="ListParagraph"/>
        <w:numPr>
          <w:ilvl w:val="0"/>
          <w:numId w:val="2"/>
        </w:numPr>
        <w:spacing w:after="80" w:line="276"/>
      </w:pPr>
      <w:r>
        <w:rPr>
          <w:rFonts w:ascii="Arial" w:cs="Arial" w:eastAsia="Arial" w:hAnsi="Arial"/>
          <w:color w:val="333333"/>
          <w:sz w:val="21"/>
          <w:szCs w:val="21"/>
        </w:rPr>
        <w:t xml:space="preserve">Environmental health monitoring and reporting.</w:t>
      </w:r>
    </w:p>
    <w:p>
      <w:pPr>
        <w:pStyle w:val="ListParagraph"/>
        <w:numPr>
          <w:ilvl w:val="0"/>
          <w:numId w:val="2"/>
        </w:numPr>
        <w:spacing w:after="80" w:line="276"/>
      </w:pPr>
      <w:r>
        <w:rPr>
          <w:rFonts w:ascii="Arial" w:cs="Arial" w:eastAsia="Arial" w:hAnsi="Arial"/>
          <w:color w:val="333333"/>
          <w:sz w:val="21"/>
          <w:szCs w:val="21"/>
        </w:rPr>
        <w:t xml:space="preserve">Emergency preparedness and response coordination.</w:t>
      </w:r>
    </w:p>
    <w:p>
      <w:pPr>
        <w:pStyle w:val="ListParagraph"/>
        <w:numPr>
          <w:ilvl w:val="0"/>
          <w:numId w:val="2"/>
        </w:numPr>
        <w:spacing w:after="80" w:line="276"/>
      </w:pPr>
      <w:r>
        <w:rPr>
          <w:rFonts w:ascii="Arial" w:cs="Arial" w:eastAsia="Arial" w:hAnsi="Arial"/>
          <w:color w:val="333333"/>
          <w:sz w:val="21"/>
          <w:szCs w:val="21"/>
        </w:rPr>
        <w:t xml:space="preserve">Health equity monitoring and community health assessment data.</w:t>
      </w:r>
    </w:p>
    <w:p>
      <w:pPr>
        <w:pStyle w:val="Heading2"/>
        <w:spacing w:before="280" w:after="160"/>
      </w:pPr>
      <w:r>
        <w:rPr>
          <w:rFonts w:ascii="Arial" w:cs="Arial" w:eastAsia="Arial" w:hAnsi="Arial"/>
          <w:b/>
          <w:bCs/>
          <w:color w:val="2E75B6"/>
          <w:sz w:val="26"/>
          <w:szCs w:val="26"/>
        </w:rPr>
        <w:t xml:space="preserve">6.4 Disease Surveillance &amp; Pandemic Preparedness</w:t>
      </w:r>
    </w:p>
    <w:p>
      <w:pPr>
        <w:spacing w:after="160" w:line="276"/>
      </w:pPr>
      <w:r>
        <w:rPr>
          <w:rFonts w:ascii="Arial" w:cs="Arial" w:eastAsia="Arial" w:hAnsi="Arial"/>
          <w:color w:val="333333"/>
          <w:sz w:val="21"/>
          <w:szCs w:val="21"/>
        </w:rPr>
        <w:t xml:space="preserve">The COVID-19 pandemic exposed critical gaps in public health IT infrastructure, driving significant investment in modernization. Key lessons and ongoing initiatives include:</w:t>
      </w:r>
    </w:p>
    <w:p>
      <w:pPr>
        <w:pStyle w:val="ListParagraph"/>
        <w:numPr>
          <w:ilvl w:val="0"/>
          <w:numId w:val="2"/>
        </w:numPr>
        <w:spacing w:after="80" w:line="276"/>
      </w:pPr>
      <w:r>
        <w:rPr>
          <w:rFonts w:ascii="Arial" w:cs="Arial" w:eastAsia="Arial" w:hAnsi="Arial"/>
          <w:color w:val="333333"/>
          <w:sz w:val="21"/>
          <w:szCs w:val="21"/>
        </w:rPr>
        <w:t xml:space="preserve">Data modernization: CDC’s Data Modernization Initiative (DMI) to replace legacy systems with cloud-based, interoperable platforms.</w:t>
      </w:r>
    </w:p>
    <w:p>
      <w:pPr>
        <w:pStyle w:val="ListParagraph"/>
        <w:numPr>
          <w:ilvl w:val="0"/>
          <w:numId w:val="2"/>
        </w:numPr>
        <w:spacing w:after="80" w:line="276"/>
      </w:pPr>
      <w:r>
        <w:rPr>
          <w:rFonts w:ascii="Arial" w:cs="Arial" w:eastAsia="Arial" w:hAnsi="Arial"/>
          <w:color w:val="333333"/>
          <w:sz w:val="21"/>
          <w:szCs w:val="21"/>
        </w:rPr>
        <w:t xml:space="preserve">Electronic case reporting (eCR): Standardized, automated case reporting from EHRs to public health using FHIR-based Clinical Reasoning.</w:t>
      </w:r>
    </w:p>
    <w:p>
      <w:pPr>
        <w:pStyle w:val="ListParagraph"/>
        <w:numPr>
          <w:ilvl w:val="0"/>
          <w:numId w:val="2"/>
        </w:numPr>
        <w:spacing w:after="80" w:line="276"/>
      </w:pPr>
      <w:r>
        <w:rPr>
          <w:rFonts w:ascii="Arial" w:cs="Arial" w:eastAsia="Arial" w:hAnsi="Arial"/>
          <w:color w:val="333333"/>
          <w:sz w:val="21"/>
          <w:szCs w:val="21"/>
        </w:rPr>
        <w:t xml:space="preserve">Vaccine administration management: Mass vaccination scheduling, tracking, reporting, and digital vaccine credentials.</w:t>
      </w:r>
    </w:p>
    <w:p>
      <w:pPr>
        <w:pStyle w:val="ListParagraph"/>
        <w:numPr>
          <w:ilvl w:val="0"/>
          <w:numId w:val="2"/>
        </w:numPr>
        <w:spacing w:after="80" w:line="276"/>
      </w:pPr>
      <w:r>
        <w:rPr>
          <w:rFonts w:ascii="Arial" w:cs="Arial" w:eastAsia="Arial" w:hAnsi="Arial"/>
          <w:color w:val="333333"/>
          <w:sz w:val="21"/>
          <w:szCs w:val="21"/>
        </w:rPr>
        <w:t xml:space="preserve">Genomic surveillance: Integration of pathogen genomic sequencing data with epidemiological data for variant tracking.</w:t>
      </w:r>
    </w:p>
    <w:p>
      <w:pPr>
        <w:pStyle w:val="ListParagraph"/>
        <w:numPr>
          <w:ilvl w:val="0"/>
          <w:numId w:val="2"/>
        </w:numPr>
        <w:spacing w:after="80" w:line="276"/>
      </w:pPr>
      <w:r>
        <w:rPr>
          <w:rFonts w:ascii="Arial" w:cs="Arial" w:eastAsia="Arial" w:hAnsi="Arial"/>
          <w:color w:val="333333"/>
          <w:sz w:val="21"/>
          <w:szCs w:val="21"/>
        </w:rPr>
        <w:t xml:space="preserve">Supply chain visibility: Medical supply and PPE tracking through healthcare supply chain IT systems.</w:t>
      </w:r>
    </w:p>
    <w:p>
      <w:r>
        <w:br w:type="page"/>
      </w:r>
    </w:p>
    <w:p>
      <w:pPr>
        <w:pStyle w:val="Heading1"/>
        <w:spacing w:before="360" w:after="200"/>
      </w:pPr>
      <w:r>
        <w:rPr>
          <w:rFonts w:ascii="Arial" w:cs="Arial" w:eastAsia="Arial" w:hAnsi="Arial"/>
          <w:b/>
          <w:bCs/>
          <w:color w:val="1B3A5C"/>
          <w:sz w:val="32"/>
          <w:szCs w:val="32"/>
        </w:rPr>
        <w:t xml:space="preserve">7. Global Healthcare Models</w:t>
      </w:r>
    </w:p>
    <w:p>
      <w:pPr>
        <w:spacing w:after="160" w:line="276"/>
      </w:pPr>
      <w:r>
        <w:rPr>
          <w:rFonts w:ascii="Arial" w:cs="Arial" w:eastAsia="Arial" w:hAnsi="Arial"/>
          <w:color w:val="333333"/>
          <w:sz w:val="21"/>
          <w:szCs w:val="21"/>
        </w:rPr>
        <w:t xml:space="preserve">Understanding different national healthcare models provides IT professionals with perspective on how system design, data standards, and technology adoption vary globally. This is increasingly important as health IT companies operate internationally and as interoperability standards become global.</w:t>
      </w:r>
    </w:p>
    <w:p>
      <w:pPr>
        <w:pStyle w:val="Heading2"/>
        <w:spacing w:before="280" w:after="160"/>
      </w:pPr>
      <w:r>
        <w:rPr>
          <w:rFonts w:ascii="Arial" w:cs="Arial" w:eastAsia="Arial" w:hAnsi="Arial"/>
          <w:b/>
          <w:bCs/>
          <w:color w:val="2E75B6"/>
          <w:sz w:val="26"/>
          <w:szCs w:val="26"/>
        </w:rPr>
        <w:t xml:space="preserve">7.1 Comparative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Characteristics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Landscape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United States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Employer-based + government programs (Medicare/Medicaid) + individual market. Fragmented with high spending.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advanced EHR adoption (Epic dominant), FHIR adoption leader, complex billing IT, interoperability mandates (TEFCA, Cures Act).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United Kingdom (NHS)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Single-Payer / Beveridge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Government-funded through taxation, free at point of care. NHS is both payer and 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NHS Spine for national data, GP Connect, SNOMED CT mandate, NHS Digital standards (DCB0129/0160), EMIS/TPP/SystmOne.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Single-Payer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Provincially administered universal coverage for medically necessary services. Private insurance supplements.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Provincial health authorities drive IT, Canada Health Infoway standards, varied EHR adoption, interoperability challenges across provinces.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Germany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Multi-Payer / Bismarck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Statutory health insurance (SHI) with ~110 sickness funds. Private insurance option for high earners.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Gematik national health IT agency, elektronische Patientenakte (ePA), telematics infrastructure, FHIR adoption growing.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public system plus massive private sector. Ayushman Bharat provides coverage for poorest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Ayushman Bharat Digital Mission (ABDM), Unique Health ID (ABHA), rapid digitization, FHIR-based standards adoption.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Australia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Two-Tier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Universal public insurance (Medicare Australia) plus optional private insurance. Mixed public/private delivery.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My Health Record national system, Australian Digital Health Agency, FHIR adoption, HL7 AU standards.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7.2 Key Global Health IT Standards &amp; Initiatives</w:t>
      </w:r>
    </w:p>
    <w:p>
      <w:pPr>
        <w:pStyle w:val="ListParagraph"/>
        <w:numPr>
          <w:ilvl w:val="0"/>
          <w:numId w:val="2"/>
        </w:numPr>
        <w:spacing w:after="80" w:line="276"/>
      </w:pPr>
      <w:r>
        <w:rPr>
          <w:rFonts w:ascii="Arial" w:cs="Arial" w:eastAsia="Arial" w:hAnsi="Arial"/>
          <w:b/>
          <w:bCs/>
          <w:color w:val="333333"/>
          <w:sz w:val="21"/>
          <w:szCs w:val="21"/>
        </w:rPr>
        <w:t xml:space="preserve">HL7 FHIR: </w:t>
      </w:r>
      <w:r>
        <w:rPr>
          <w:rFonts w:ascii="Arial" w:cs="Arial" w:eastAsia="Arial" w:hAnsi="Arial"/>
          <w:color w:val="333333"/>
          <w:sz w:val="21"/>
          <w:szCs w:val="21"/>
        </w:rPr>
        <w:t xml:space="preserve">Rapidly becoming the global standard for health data exchange. Country-specific FHIR Implementation Guides adapt the standard to local requirements.</w:t>
      </w:r>
    </w:p>
    <w:p>
      <w:pPr>
        <w:pStyle w:val="ListParagraph"/>
        <w:numPr>
          <w:ilvl w:val="0"/>
          <w:numId w:val="2"/>
        </w:numPr>
        <w:spacing w:after="80" w:line="276"/>
      </w:pPr>
      <w:r>
        <w:rPr>
          <w:rFonts w:ascii="Arial" w:cs="Arial" w:eastAsia="Arial" w:hAnsi="Arial"/>
          <w:b/>
          <w:bCs/>
          <w:color w:val="333333"/>
          <w:sz w:val="21"/>
          <w:szCs w:val="21"/>
        </w:rPr>
        <w:t xml:space="preserve">SNOMED CT: </w:t>
      </w:r>
      <w:r>
        <w:rPr>
          <w:rFonts w:ascii="Arial" w:cs="Arial" w:eastAsia="Arial" w:hAnsi="Arial"/>
          <w:color w:val="333333"/>
          <w:sz w:val="21"/>
          <w:szCs w:val="21"/>
        </w:rPr>
        <w:t xml:space="preserve">International clinical terminology maintained by SNOMED International, adopted as a national standard in the UK, US, Australia, and many other countries.</w:t>
      </w:r>
    </w:p>
    <w:p>
      <w:pPr>
        <w:pStyle w:val="ListParagraph"/>
        <w:numPr>
          <w:ilvl w:val="0"/>
          <w:numId w:val="2"/>
        </w:numPr>
        <w:spacing w:after="80" w:line="276"/>
      </w:pPr>
      <w:r>
        <w:rPr>
          <w:rFonts w:ascii="Arial" w:cs="Arial" w:eastAsia="Arial" w:hAnsi="Arial"/>
          <w:b/>
          <w:bCs/>
          <w:color w:val="333333"/>
          <w:sz w:val="21"/>
          <w:szCs w:val="21"/>
        </w:rPr>
        <w:t xml:space="preserve">ICD-11: </w:t>
      </w:r>
      <w:r>
        <w:rPr>
          <w:rFonts w:ascii="Arial" w:cs="Arial" w:eastAsia="Arial" w:hAnsi="Arial"/>
          <w:color w:val="333333"/>
          <w:sz w:val="21"/>
          <w:szCs w:val="21"/>
        </w:rPr>
        <w:t xml:space="preserve">WHO’s latest disease classification system, designed for digital health environments with built-in coding tools and terminology linkages.</w:t>
      </w:r>
    </w:p>
    <w:p>
      <w:pPr>
        <w:pStyle w:val="ListParagraph"/>
        <w:numPr>
          <w:ilvl w:val="0"/>
          <w:numId w:val="2"/>
        </w:numPr>
        <w:spacing w:after="80" w:line="276"/>
      </w:pPr>
      <w:r>
        <w:rPr>
          <w:rFonts w:ascii="Arial" w:cs="Arial" w:eastAsia="Arial" w:hAnsi="Arial"/>
          <w:b/>
          <w:bCs/>
          <w:color w:val="333333"/>
          <w:sz w:val="21"/>
          <w:szCs w:val="21"/>
        </w:rPr>
        <w:t xml:space="preserve">International Patient Summary (IPS): </w:t>
      </w:r>
      <w:r>
        <w:rPr>
          <w:rFonts w:ascii="Arial" w:cs="Arial" w:eastAsia="Arial" w:hAnsi="Arial"/>
          <w:color w:val="333333"/>
          <w:sz w:val="21"/>
          <w:szCs w:val="21"/>
        </w:rPr>
        <w:t xml:space="preserve">HL7/ISO standard for a minimal, non-exhaustive patient summary for cross-border care.</w:t>
      </w:r>
    </w:p>
    <w:p>
      <w:pPr>
        <w:pStyle w:val="ListParagraph"/>
        <w:numPr>
          <w:ilvl w:val="0"/>
          <w:numId w:val="2"/>
        </w:numPr>
        <w:spacing w:after="80" w:line="276"/>
      </w:pPr>
      <w:r>
        <w:rPr>
          <w:rFonts w:ascii="Arial" w:cs="Arial" w:eastAsia="Arial" w:hAnsi="Arial"/>
          <w:b/>
          <w:bCs/>
          <w:color w:val="333333"/>
          <w:sz w:val="21"/>
          <w:szCs w:val="21"/>
        </w:rPr>
        <w:t xml:space="preserve">European Health Data Space (EHDS): </w:t>
      </w:r>
      <w:r>
        <w:rPr>
          <w:rFonts w:ascii="Arial" w:cs="Arial" w:eastAsia="Arial" w:hAnsi="Arial"/>
          <w:color w:val="333333"/>
          <w:sz w:val="21"/>
          <w:szCs w:val="21"/>
        </w:rPr>
        <w:t xml:space="preserve">EU initiative to create a single market for health data exchange across member states.</w:t>
      </w:r>
    </w:p>
    <w:p>
      <w:pPr>
        <w:pStyle w:val="ListParagraph"/>
        <w:numPr>
          <w:ilvl w:val="0"/>
          <w:numId w:val="2"/>
        </w:numPr>
        <w:spacing w:after="80" w:line="276"/>
      </w:pPr>
      <w:r>
        <w:rPr>
          <w:rFonts w:ascii="Arial" w:cs="Arial" w:eastAsia="Arial" w:hAnsi="Arial"/>
          <w:b/>
          <w:bCs/>
          <w:color w:val="333333"/>
          <w:sz w:val="21"/>
          <w:szCs w:val="21"/>
        </w:rPr>
        <w:t xml:space="preserve">OpenHIE: </w:t>
      </w:r>
      <w:r>
        <w:rPr>
          <w:rFonts w:ascii="Arial" w:cs="Arial" w:eastAsia="Arial" w:hAnsi="Arial"/>
          <w:color w:val="333333"/>
          <w:sz w:val="21"/>
          <w:szCs w:val="21"/>
        </w:rPr>
        <w:t xml:space="preserve">Open Health Information Exchange architecture framework widely adopted in low- and middle-income countries.</w:t>
      </w:r>
    </w:p>
    <w:p>
      <w:r>
        <w:br w:type="page"/>
      </w:r>
    </w:p>
    <w:p>
      <w:pPr>
        <w:pStyle w:val="Heading1"/>
        <w:spacing w:before="360" w:after="200"/>
      </w:pPr>
      <w:r>
        <w:rPr>
          <w:rFonts w:ascii="Arial" w:cs="Arial" w:eastAsia="Arial" w:hAnsi="Arial"/>
          <w:b/>
          <w:bCs/>
          <w:color w:val="1B3A5C"/>
          <w:sz w:val="32"/>
          <w:szCs w:val="32"/>
        </w:rPr>
        <w:t xml:space="preserve">8. Social Determinants of Health (SDOH)</w:t>
      </w:r>
    </w:p>
    <w:p>
      <w:pPr>
        <w:spacing w:after="160" w:line="276"/>
      </w:pPr>
      <w:r>
        <w:rPr>
          <w:rFonts w:ascii="Arial" w:cs="Arial" w:eastAsia="Arial" w:hAnsi="Arial"/>
          <w:color w:val="333333"/>
          <w:sz w:val="21"/>
          <w:szCs w:val="21"/>
        </w:rPr>
        <w:t xml:space="preserve">Social Determinants of Health are the conditions in the environments where people are born, live, learn, work, play, worship, and age that affect a wide range of health outcomes and risks. SDOH account for an estimated 30–55% of health outcomes, making them critically important for both clinical care and IT system design.</w:t>
      </w:r>
    </w:p>
    <w:p>
      <w:pPr>
        <w:pStyle w:val="Heading2"/>
        <w:spacing w:before="280" w:after="160"/>
      </w:pPr>
      <w:r>
        <w:rPr>
          <w:rFonts w:ascii="Arial" w:cs="Arial" w:eastAsia="Arial" w:hAnsi="Arial"/>
          <w:b/>
          <w:bCs/>
          <w:color w:val="2E75B6"/>
          <w:sz w:val="26"/>
          <w:szCs w:val="26"/>
        </w:rPr>
        <w:t xml:space="preserve">8.1 SDOH Domains</w:t>
      </w:r>
    </w:p>
    <w:p>
      <w:pPr>
        <w:spacing w:after="160" w:line="276"/>
      </w:pPr>
      <w:r>
        <w:rPr>
          <w:rFonts w:ascii="Arial" w:cs="Arial" w:eastAsia="Arial" w:hAnsi="Arial"/>
          <w:color w:val="333333"/>
          <w:sz w:val="21"/>
          <w:szCs w:val="21"/>
        </w:rPr>
        <w:t xml:space="preserve">The five key SDOH domains recognized by Healthy People 2030 are:</w:t>
      </w:r>
    </w:p>
    <w:p>
      <w:pPr>
        <w:pStyle w:val="Heading3"/>
        <w:spacing w:before="200" w:after="120"/>
      </w:pPr>
      <w:r>
        <w:rPr>
          <w:rFonts w:ascii="Arial" w:cs="Arial" w:eastAsia="Arial" w:hAnsi="Arial"/>
          <w:b/>
          <w:bCs/>
          <w:color w:val="1B3A5C"/>
          <w:sz w:val="22"/>
          <w:szCs w:val="22"/>
        </w:rPr>
        <w:t xml:space="preserve">8.1.1 Economic Stability</w:t>
      </w:r>
    </w:p>
    <w:p>
      <w:pPr>
        <w:pStyle w:val="ListParagraph"/>
        <w:numPr>
          <w:ilvl w:val="0"/>
          <w:numId w:val="2"/>
        </w:numPr>
        <w:spacing w:after="80" w:line="276"/>
      </w:pPr>
      <w:r>
        <w:rPr>
          <w:rFonts w:ascii="Arial" w:cs="Arial" w:eastAsia="Arial" w:hAnsi="Arial"/>
          <w:color w:val="333333"/>
          <w:sz w:val="21"/>
          <w:szCs w:val="21"/>
        </w:rPr>
        <w:t xml:space="preserve">Employment status and job security</w:t>
      </w:r>
    </w:p>
    <w:p>
      <w:pPr>
        <w:pStyle w:val="ListParagraph"/>
        <w:numPr>
          <w:ilvl w:val="0"/>
          <w:numId w:val="2"/>
        </w:numPr>
        <w:spacing w:after="80" w:line="276"/>
      </w:pPr>
      <w:r>
        <w:rPr>
          <w:rFonts w:ascii="Arial" w:cs="Arial" w:eastAsia="Arial" w:hAnsi="Arial"/>
          <w:color w:val="333333"/>
          <w:sz w:val="21"/>
          <w:szCs w:val="21"/>
        </w:rPr>
        <w:t xml:space="preserve">Income level and poverty status</w:t>
      </w:r>
    </w:p>
    <w:p>
      <w:pPr>
        <w:pStyle w:val="ListParagraph"/>
        <w:numPr>
          <w:ilvl w:val="0"/>
          <w:numId w:val="2"/>
        </w:numPr>
        <w:spacing w:after="80" w:line="276"/>
      </w:pPr>
      <w:r>
        <w:rPr>
          <w:rFonts w:ascii="Arial" w:cs="Arial" w:eastAsia="Arial" w:hAnsi="Arial"/>
          <w:color w:val="333333"/>
          <w:sz w:val="21"/>
          <w:szCs w:val="21"/>
        </w:rPr>
        <w:t xml:space="preserve">Food security and access to nutritious food</w:t>
      </w:r>
    </w:p>
    <w:p>
      <w:pPr>
        <w:pStyle w:val="ListParagraph"/>
        <w:numPr>
          <w:ilvl w:val="0"/>
          <w:numId w:val="2"/>
        </w:numPr>
        <w:spacing w:after="80" w:line="276"/>
      </w:pPr>
      <w:r>
        <w:rPr>
          <w:rFonts w:ascii="Arial" w:cs="Arial" w:eastAsia="Arial" w:hAnsi="Arial"/>
          <w:color w:val="333333"/>
          <w:sz w:val="21"/>
          <w:szCs w:val="21"/>
        </w:rPr>
        <w:t xml:space="preserve">Housing stability and affordability</w:t>
      </w:r>
    </w:p>
    <w:p>
      <w:pPr>
        <w:pStyle w:val="ListParagraph"/>
        <w:numPr>
          <w:ilvl w:val="0"/>
          <w:numId w:val="2"/>
        </w:numPr>
        <w:spacing w:after="80" w:line="276"/>
      </w:pPr>
      <w:r>
        <w:rPr>
          <w:rFonts w:ascii="Arial" w:cs="Arial" w:eastAsia="Arial" w:hAnsi="Arial"/>
          <w:color w:val="333333"/>
          <w:sz w:val="21"/>
          <w:szCs w:val="21"/>
        </w:rPr>
        <w:t xml:space="preserve">Financial literacy and access to financial services</w:t>
      </w:r>
    </w:p>
    <w:p>
      <w:pPr>
        <w:pStyle w:val="Heading3"/>
        <w:spacing w:before="200" w:after="120"/>
      </w:pPr>
      <w:r>
        <w:rPr>
          <w:rFonts w:ascii="Arial" w:cs="Arial" w:eastAsia="Arial" w:hAnsi="Arial"/>
          <w:b/>
          <w:bCs/>
          <w:color w:val="1B3A5C"/>
          <w:sz w:val="22"/>
          <w:szCs w:val="22"/>
        </w:rPr>
        <w:t xml:space="preserve">8.1.2 Education Access &amp; Quality</w:t>
      </w:r>
    </w:p>
    <w:p>
      <w:pPr>
        <w:pStyle w:val="ListParagraph"/>
        <w:numPr>
          <w:ilvl w:val="0"/>
          <w:numId w:val="2"/>
        </w:numPr>
        <w:spacing w:after="80" w:line="276"/>
      </w:pPr>
      <w:r>
        <w:rPr>
          <w:rFonts w:ascii="Arial" w:cs="Arial" w:eastAsia="Arial" w:hAnsi="Arial"/>
          <w:color w:val="333333"/>
          <w:sz w:val="21"/>
          <w:szCs w:val="21"/>
        </w:rPr>
        <w:t xml:space="preserve">High school graduation rates</w:t>
      </w:r>
    </w:p>
    <w:p>
      <w:pPr>
        <w:pStyle w:val="ListParagraph"/>
        <w:numPr>
          <w:ilvl w:val="0"/>
          <w:numId w:val="2"/>
        </w:numPr>
        <w:spacing w:after="80" w:line="276"/>
      </w:pPr>
      <w:r>
        <w:rPr>
          <w:rFonts w:ascii="Arial" w:cs="Arial" w:eastAsia="Arial" w:hAnsi="Arial"/>
          <w:color w:val="333333"/>
          <w:sz w:val="21"/>
          <w:szCs w:val="21"/>
        </w:rPr>
        <w:t xml:space="preserve">Enrollment in higher education</w:t>
      </w:r>
    </w:p>
    <w:p>
      <w:pPr>
        <w:pStyle w:val="ListParagraph"/>
        <w:numPr>
          <w:ilvl w:val="0"/>
          <w:numId w:val="2"/>
        </w:numPr>
        <w:spacing w:after="80" w:line="276"/>
      </w:pPr>
      <w:r>
        <w:rPr>
          <w:rFonts w:ascii="Arial" w:cs="Arial" w:eastAsia="Arial" w:hAnsi="Arial"/>
          <w:color w:val="333333"/>
          <w:sz w:val="21"/>
          <w:szCs w:val="21"/>
        </w:rPr>
        <w:t xml:space="preserve">Language and literacy levels</w:t>
      </w:r>
    </w:p>
    <w:p>
      <w:pPr>
        <w:pStyle w:val="ListParagraph"/>
        <w:numPr>
          <w:ilvl w:val="0"/>
          <w:numId w:val="2"/>
        </w:numPr>
        <w:spacing w:after="80" w:line="276"/>
      </w:pPr>
      <w:r>
        <w:rPr>
          <w:rFonts w:ascii="Arial" w:cs="Arial" w:eastAsia="Arial" w:hAnsi="Arial"/>
          <w:color w:val="333333"/>
          <w:sz w:val="21"/>
          <w:szCs w:val="21"/>
        </w:rPr>
        <w:t xml:space="preserve">Early childhood education and development</w:t>
      </w:r>
    </w:p>
    <w:p>
      <w:pPr>
        <w:pStyle w:val="Heading3"/>
        <w:spacing w:before="200" w:after="120"/>
      </w:pPr>
      <w:r>
        <w:rPr>
          <w:rFonts w:ascii="Arial" w:cs="Arial" w:eastAsia="Arial" w:hAnsi="Arial"/>
          <w:b/>
          <w:bCs/>
          <w:color w:val="1B3A5C"/>
          <w:sz w:val="22"/>
          <w:szCs w:val="22"/>
        </w:rPr>
        <w:t xml:space="preserve">8.1.3 Healthcare Access &amp; Quality</w:t>
      </w:r>
    </w:p>
    <w:p>
      <w:pPr>
        <w:pStyle w:val="ListParagraph"/>
        <w:numPr>
          <w:ilvl w:val="0"/>
          <w:numId w:val="2"/>
        </w:numPr>
        <w:spacing w:after="80" w:line="276"/>
      </w:pPr>
      <w:r>
        <w:rPr>
          <w:rFonts w:ascii="Arial" w:cs="Arial" w:eastAsia="Arial" w:hAnsi="Arial"/>
          <w:color w:val="333333"/>
          <w:sz w:val="21"/>
          <w:szCs w:val="21"/>
        </w:rPr>
        <w:t xml:space="preserve">Insurance coverage and type</w:t>
      </w:r>
    </w:p>
    <w:p>
      <w:pPr>
        <w:pStyle w:val="ListParagraph"/>
        <w:numPr>
          <w:ilvl w:val="0"/>
          <w:numId w:val="2"/>
        </w:numPr>
        <w:spacing w:after="80" w:line="276"/>
      </w:pPr>
      <w:r>
        <w:rPr>
          <w:rFonts w:ascii="Arial" w:cs="Arial" w:eastAsia="Arial" w:hAnsi="Arial"/>
          <w:color w:val="333333"/>
          <w:sz w:val="21"/>
          <w:szCs w:val="21"/>
        </w:rPr>
        <w:t xml:space="preserve">Access to primary care providers</w:t>
      </w:r>
    </w:p>
    <w:p>
      <w:pPr>
        <w:pStyle w:val="ListParagraph"/>
        <w:numPr>
          <w:ilvl w:val="0"/>
          <w:numId w:val="2"/>
        </w:numPr>
        <w:spacing w:after="80" w:line="276"/>
      </w:pPr>
      <w:r>
        <w:rPr>
          <w:rFonts w:ascii="Arial" w:cs="Arial" w:eastAsia="Arial" w:hAnsi="Arial"/>
          <w:color w:val="333333"/>
          <w:sz w:val="21"/>
          <w:szCs w:val="21"/>
        </w:rPr>
        <w:t xml:space="preserve">Health literacy and cultural competency</w:t>
      </w:r>
    </w:p>
    <w:p>
      <w:pPr>
        <w:pStyle w:val="ListParagraph"/>
        <w:numPr>
          <w:ilvl w:val="0"/>
          <w:numId w:val="2"/>
        </w:numPr>
        <w:spacing w:after="80" w:line="276"/>
      </w:pPr>
      <w:r>
        <w:rPr>
          <w:rFonts w:ascii="Arial" w:cs="Arial" w:eastAsia="Arial" w:hAnsi="Arial"/>
          <w:color w:val="333333"/>
          <w:sz w:val="21"/>
          <w:szCs w:val="21"/>
        </w:rPr>
        <w:t xml:space="preserve">Quality of available healthcare services</w:t>
      </w:r>
    </w:p>
    <w:p>
      <w:pPr>
        <w:pStyle w:val="Heading3"/>
        <w:spacing w:before="200" w:after="120"/>
      </w:pPr>
      <w:r>
        <w:rPr>
          <w:rFonts w:ascii="Arial" w:cs="Arial" w:eastAsia="Arial" w:hAnsi="Arial"/>
          <w:b/>
          <w:bCs/>
          <w:color w:val="1B3A5C"/>
          <w:sz w:val="22"/>
          <w:szCs w:val="22"/>
        </w:rPr>
        <w:t xml:space="preserve">8.1.4 Neighborhood &amp; Built Environment</w:t>
      </w:r>
    </w:p>
    <w:p>
      <w:pPr>
        <w:pStyle w:val="ListParagraph"/>
        <w:numPr>
          <w:ilvl w:val="0"/>
          <w:numId w:val="2"/>
        </w:numPr>
        <w:spacing w:after="80" w:line="276"/>
      </w:pPr>
      <w:r>
        <w:rPr>
          <w:rFonts w:ascii="Arial" w:cs="Arial" w:eastAsia="Arial" w:hAnsi="Arial"/>
          <w:color w:val="333333"/>
          <w:sz w:val="21"/>
          <w:szCs w:val="21"/>
        </w:rPr>
        <w:t xml:space="preserve">Housing quality and safety</w:t>
      </w:r>
    </w:p>
    <w:p>
      <w:pPr>
        <w:pStyle w:val="ListParagraph"/>
        <w:numPr>
          <w:ilvl w:val="0"/>
          <w:numId w:val="2"/>
        </w:numPr>
        <w:spacing w:after="80" w:line="276"/>
      </w:pPr>
      <w:r>
        <w:rPr>
          <w:rFonts w:ascii="Arial" w:cs="Arial" w:eastAsia="Arial" w:hAnsi="Arial"/>
          <w:color w:val="333333"/>
          <w:sz w:val="21"/>
          <w:szCs w:val="21"/>
        </w:rPr>
        <w:t xml:space="preserve">Access to transportation</w:t>
      </w:r>
    </w:p>
    <w:p>
      <w:pPr>
        <w:pStyle w:val="ListParagraph"/>
        <w:numPr>
          <w:ilvl w:val="0"/>
          <w:numId w:val="2"/>
        </w:numPr>
        <w:spacing w:after="80" w:line="276"/>
      </w:pPr>
      <w:r>
        <w:rPr>
          <w:rFonts w:ascii="Arial" w:cs="Arial" w:eastAsia="Arial" w:hAnsi="Arial"/>
          <w:color w:val="333333"/>
          <w:sz w:val="21"/>
          <w:szCs w:val="21"/>
        </w:rPr>
        <w:t xml:space="preserve">Availability of healthy foods (food deserts)</w:t>
      </w:r>
    </w:p>
    <w:p>
      <w:pPr>
        <w:pStyle w:val="ListParagraph"/>
        <w:numPr>
          <w:ilvl w:val="0"/>
          <w:numId w:val="2"/>
        </w:numPr>
        <w:spacing w:after="80" w:line="276"/>
      </w:pPr>
      <w:r>
        <w:rPr>
          <w:rFonts w:ascii="Arial" w:cs="Arial" w:eastAsia="Arial" w:hAnsi="Arial"/>
          <w:color w:val="333333"/>
          <w:sz w:val="21"/>
          <w:szCs w:val="21"/>
        </w:rPr>
        <w:t xml:space="preserve">Environmental conditions (air quality, water quality, crime)</w:t>
      </w:r>
    </w:p>
    <w:p>
      <w:pPr>
        <w:pStyle w:val="ListParagraph"/>
        <w:numPr>
          <w:ilvl w:val="0"/>
          <w:numId w:val="2"/>
        </w:numPr>
        <w:spacing w:after="80" w:line="276"/>
      </w:pPr>
      <w:r>
        <w:rPr>
          <w:rFonts w:ascii="Arial" w:cs="Arial" w:eastAsia="Arial" w:hAnsi="Arial"/>
          <w:color w:val="333333"/>
          <w:sz w:val="21"/>
          <w:szCs w:val="21"/>
        </w:rPr>
        <w:t xml:space="preserve">Broadband internet access (digital divide)</w:t>
      </w:r>
    </w:p>
    <w:p>
      <w:pPr>
        <w:pStyle w:val="Heading3"/>
        <w:spacing w:before="200" w:after="120"/>
      </w:pPr>
      <w:r>
        <w:rPr>
          <w:rFonts w:ascii="Arial" w:cs="Arial" w:eastAsia="Arial" w:hAnsi="Arial"/>
          <w:b/>
          <w:bCs/>
          <w:color w:val="1B3A5C"/>
          <w:sz w:val="22"/>
          <w:szCs w:val="22"/>
        </w:rPr>
        <w:t xml:space="preserve">8.1.5 Social &amp; Community Context</w:t>
      </w:r>
    </w:p>
    <w:p>
      <w:pPr>
        <w:pStyle w:val="ListParagraph"/>
        <w:numPr>
          <w:ilvl w:val="0"/>
          <w:numId w:val="2"/>
        </w:numPr>
        <w:spacing w:after="80" w:line="276"/>
      </w:pPr>
      <w:r>
        <w:rPr>
          <w:rFonts w:ascii="Arial" w:cs="Arial" w:eastAsia="Arial" w:hAnsi="Arial"/>
          <w:color w:val="333333"/>
          <w:sz w:val="21"/>
          <w:szCs w:val="21"/>
        </w:rPr>
        <w:t xml:space="preserve">Social support and community engagement</w:t>
      </w:r>
    </w:p>
    <w:p>
      <w:pPr>
        <w:pStyle w:val="ListParagraph"/>
        <w:numPr>
          <w:ilvl w:val="0"/>
          <w:numId w:val="2"/>
        </w:numPr>
        <w:spacing w:after="80" w:line="276"/>
      </w:pPr>
      <w:r>
        <w:rPr>
          <w:rFonts w:ascii="Arial" w:cs="Arial" w:eastAsia="Arial" w:hAnsi="Arial"/>
          <w:color w:val="333333"/>
          <w:sz w:val="21"/>
          <w:szCs w:val="21"/>
        </w:rPr>
        <w:t xml:space="preserve">Discrimination and systemic racism</w:t>
      </w:r>
    </w:p>
    <w:p>
      <w:pPr>
        <w:pStyle w:val="ListParagraph"/>
        <w:numPr>
          <w:ilvl w:val="0"/>
          <w:numId w:val="2"/>
        </w:numPr>
        <w:spacing w:after="80" w:line="276"/>
      </w:pPr>
      <w:r>
        <w:rPr>
          <w:rFonts w:ascii="Arial" w:cs="Arial" w:eastAsia="Arial" w:hAnsi="Arial"/>
          <w:color w:val="333333"/>
          <w:sz w:val="21"/>
          <w:szCs w:val="21"/>
        </w:rPr>
        <w:t xml:space="preserve">Incarceration history</w:t>
      </w:r>
    </w:p>
    <w:p>
      <w:pPr>
        <w:pStyle w:val="ListParagraph"/>
        <w:numPr>
          <w:ilvl w:val="0"/>
          <w:numId w:val="2"/>
        </w:numPr>
        <w:spacing w:after="80" w:line="276"/>
      </w:pPr>
      <w:r>
        <w:rPr>
          <w:rFonts w:ascii="Arial" w:cs="Arial" w:eastAsia="Arial" w:hAnsi="Arial"/>
          <w:color w:val="333333"/>
          <w:sz w:val="21"/>
          <w:szCs w:val="21"/>
        </w:rPr>
        <w:t xml:space="preserve">Civic participation</w:t>
      </w:r>
    </w:p>
    <w:p>
      <w:pPr>
        <w:pStyle w:val="Heading2"/>
        <w:spacing w:before="280" w:after="160"/>
      </w:pPr>
      <w:r>
        <w:rPr>
          <w:rFonts w:ascii="Arial" w:cs="Arial" w:eastAsia="Arial" w:hAnsi="Arial"/>
          <w:b/>
          <w:bCs/>
          <w:color w:val="2E75B6"/>
          <w:sz w:val="26"/>
          <w:szCs w:val="26"/>
        </w:rPr>
        <w:t xml:space="preserve">8.2 SDOH &amp; IT Systems</w:t>
      </w:r>
    </w:p>
    <w:p>
      <w:pPr>
        <w:spacing w:after="160" w:line="276"/>
      </w:pPr>
      <w:r>
        <w:rPr>
          <w:rFonts w:ascii="Arial" w:cs="Arial" w:eastAsia="Arial" w:hAnsi="Arial"/>
          <w:color w:val="333333"/>
          <w:sz w:val="21"/>
          <w:szCs w:val="21"/>
        </w:rPr>
        <w:t xml:space="preserve">The integration of SDOH data into healthcare IT systems is one of the most significant trends in health informatics. CMS, ONC, and accreditation bodies increasingly require SDOH screening, documentation, and referral management.</w:t>
      </w:r>
    </w:p>
    <w:p>
      <w:pPr>
        <w:pStyle w:val="Heading3"/>
        <w:spacing w:before="200" w:after="120"/>
      </w:pPr>
      <w:r>
        <w:rPr>
          <w:rFonts w:ascii="Arial" w:cs="Arial" w:eastAsia="Arial" w:hAnsi="Arial"/>
          <w:b/>
          <w:bCs/>
          <w:color w:val="1B3A5C"/>
          <w:sz w:val="22"/>
          <w:szCs w:val="22"/>
        </w:rPr>
        <w:t xml:space="preserve">8.2.1 SDOH Screening &amp; Documentation</w:t>
      </w:r>
    </w:p>
    <w:p>
      <w:pPr>
        <w:pStyle w:val="ListParagraph"/>
        <w:numPr>
          <w:ilvl w:val="0"/>
          <w:numId w:val="2"/>
        </w:numPr>
        <w:spacing w:after="80" w:line="276"/>
      </w:pPr>
      <w:r>
        <w:rPr>
          <w:rFonts w:ascii="Arial" w:cs="Arial" w:eastAsia="Arial" w:hAnsi="Arial"/>
          <w:b/>
          <w:bCs/>
          <w:color w:val="333333"/>
          <w:sz w:val="21"/>
          <w:szCs w:val="21"/>
        </w:rPr>
        <w:t xml:space="preserve">Standardized Screening Tools: </w:t>
      </w:r>
      <w:r>
        <w:rPr>
          <w:rFonts w:ascii="Arial" w:cs="Arial" w:eastAsia="Arial" w:hAnsi="Arial"/>
          <w:color w:val="333333"/>
          <w:sz w:val="21"/>
          <w:szCs w:val="21"/>
        </w:rPr>
        <w:t xml:space="preserve">AHC HRSN (Accountable Health Communities Health-Related Social Needs) screening tool, PRAPARE, and other validated instruments integrated into EHR workflows.</w:t>
      </w:r>
    </w:p>
    <w:p>
      <w:pPr>
        <w:pStyle w:val="ListParagraph"/>
        <w:numPr>
          <w:ilvl w:val="0"/>
          <w:numId w:val="2"/>
        </w:numPr>
        <w:spacing w:after="80" w:line="276"/>
      </w:pPr>
      <w:r>
        <w:rPr>
          <w:rFonts w:ascii="Arial" w:cs="Arial" w:eastAsia="Arial" w:hAnsi="Arial"/>
          <w:b/>
          <w:bCs/>
          <w:color w:val="333333"/>
          <w:sz w:val="21"/>
          <w:szCs w:val="21"/>
        </w:rPr>
        <w:t xml:space="preserve">SDOH Data in USCDI: </w:t>
      </w:r>
      <w:r>
        <w:rPr>
          <w:rFonts w:ascii="Arial" w:cs="Arial" w:eastAsia="Arial" w:hAnsi="Arial"/>
          <w:color w:val="333333"/>
          <w:sz w:val="21"/>
          <w:szCs w:val="21"/>
        </w:rPr>
        <w:t xml:space="preserve">USCDI v3+ includes SDOH data classes (Assessment, Goals, Interventions) requiring EHR systems to capture and exchange SDOH data using standardized terminologies.</w:t>
      </w:r>
    </w:p>
    <w:p>
      <w:pPr>
        <w:pStyle w:val="ListParagraph"/>
        <w:numPr>
          <w:ilvl w:val="0"/>
          <w:numId w:val="2"/>
        </w:numPr>
        <w:spacing w:after="80" w:line="276"/>
      </w:pPr>
      <w:r>
        <w:rPr>
          <w:rFonts w:ascii="Arial" w:cs="Arial" w:eastAsia="Arial" w:hAnsi="Arial"/>
          <w:b/>
          <w:bCs/>
          <w:color w:val="333333"/>
          <w:sz w:val="21"/>
          <w:szCs w:val="21"/>
        </w:rPr>
        <w:t xml:space="preserve">Coding for SDOH: </w:t>
      </w:r>
      <w:r>
        <w:rPr>
          <w:rFonts w:ascii="Arial" w:cs="Arial" w:eastAsia="Arial" w:hAnsi="Arial"/>
          <w:color w:val="333333"/>
          <w:sz w:val="21"/>
          <w:szCs w:val="21"/>
        </w:rPr>
        <w:t xml:space="preserve">ICD-10-CM Z-codes (Z55–Z65) capture social determinants. IT systems must support SDOH code capture in problem lists and encounter diagnoses.</w:t>
      </w:r>
    </w:p>
    <w:p>
      <w:pPr>
        <w:pStyle w:val="ListParagraph"/>
        <w:numPr>
          <w:ilvl w:val="0"/>
          <w:numId w:val="2"/>
        </w:numPr>
        <w:spacing w:after="80" w:line="276"/>
      </w:pPr>
      <w:r>
        <w:rPr>
          <w:rFonts w:ascii="Arial" w:cs="Arial" w:eastAsia="Arial" w:hAnsi="Arial"/>
          <w:b/>
          <w:bCs/>
          <w:color w:val="333333"/>
          <w:sz w:val="21"/>
          <w:szCs w:val="21"/>
        </w:rPr>
        <w:t xml:space="preserve">FHIR for SDOH: </w:t>
      </w:r>
      <w:r>
        <w:rPr>
          <w:rFonts w:ascii="Arial" w:cs="Arial" w:eastAsia="Arial" w:hAnsi="Arial"/>
          <w:color w:val="333333"/>
          <w:sz w:val="21"/>
          <w:szCs w:val="21"/>
        </w:rPr>
        <w:t xml:space="preserve">The Gravity Project has developed FHIR Implementation Guides for SDOH data exchange, including standardized value sets for food insecurity, housing instability, transportation needs, and other domains.</w:t>
      </w:r>
    </w:p>
    <w:p>
      <w:pPr>
        <w:pStyle w:val="Heading3"/>
        <w:spacing w:before="200" w:after="120"/>
      </w:pPr>
      <w:r>
        <w:rPr>
          <w:rFonts w:ascii="Arial" w:cs="Arial" w:eastAsia="Arial" w:hAnsi="Arial"/>
          <w:b/>
          <w:bCs/>
          <w:color w:val="1B3A5C"/>
          <w:sz w:val="22"/>
          <w:szCs w:val="22"/>
        </w:rPr>
        <w:t xml:space="preserve">8.2.2 Closed-Loop Referral Management</w:t>
      </w:r>
    </w:p>
    <w:p>
      <w:pPr>
        <w:spacing w:after="160" w:line="276"/>
      </w:pPr>
      <w:r>
        <w:rPr>
          <w:rFonts w:ascii="Arial" w:cs="Arial" w:eastAsia="Arial" w:hAnsi="Arial"/>
          <w:color w:val="333333"/>
          <w:sz w:val="21"/>
          <w:szCs w:val="21"/>
        </w:rPr>
        <w:t xml:space="preserve">SDOH data is only valuable if it leads to action. Closed-loop referral management connects healthcare organizations with community-based organizations (CBOs) that can address social needs.</w:t>
      </w:r>
    </w:p>
    <w:p>
      <w:pPr>
        <w:pStyle w:val="ListParagraph"/>
        <w:numPr>
          <w:ilvl w:val="0"/>
          <w:numId w:val="2"/>
        </w:numPr>
        <w:spacing w:after="80" w:line="276"/>
      </w:pPr>
      <w:r>
        <w:rPr>
          <w:rFonts w:ascii="Arial" w:cs="Arial" w:eastAsia="Arial" w:hAnsi="Arial"/>
          <w:b/>
          <w:bCs/>
          <w:color w:val="333333"/>
          <w:sz w:val="21"/>
          <w:szCs w:val="21"/>
        </w:rPr>
        <w:t xml:space="preserve">Referral Platforms: </w:t>
      </w:r>
      <w:r>
        <w:rPr>
          <w:rFonts w:ascii="Arial" w:cs="Arial" w:eastAsia="Arial" w:hAnsi="Arial"/>
          <w:color w:val="333333"/>
          <w:sz w:val="21"/>
          <w:szCs w:val="21"/>
        </w:rPr>
        <w:t xml:space="preserve">Unite Us, Aunt Bertha/findhelp, NowPow/Unite Us facilitate electronic referrals between healthcare providers and community organizations for food assistance, housing support, transportation, legal aid, and other services.</w:t>
      </w:r>
    </w:p>
    <w:p>
      <w:pPr>
        <w:pStyle w:val="ListParagraph"/>
        <w:numPr>
          <w:ilvl w:val="0"/>
          <w:numId w:val="2"/>
        </w:numPr>
        <w:spacing w:after="80" w:line="276"/>
      </w:pPr>
      <w:r>
        <w:rPr>
          <w:rFonts w:ascii="Arial" w:cs="Arial" w:eastAsia="Arial" w:hAnsi="Arial"/>
          <w:b/>
          <w:bCs/>
          <w:color w:val="333333"/>
          <w:sz w:val="21"/>
          <w:szCs w:val="21"/>
        </w:rPr>
        <w:t xml:space="preserve">IT Integration: </w:t>
      </w:r>
      <w:r>
        <w:rPr>
          <w:rFonts w:ascii="Arial" w:cs="Arial" w:eastAsia="Arial" w:hAnsi="Arial"/>
          <w:color w:val="333333"/>
          <w:sz w:val="21"/>
          <w:szCs w:val="21"/>
        </w:rPr>
        <w:t xml:space="preserve">These platforms increasingly integrate with EHR systems via FHIR APIs, enabling clinicians to screen for social needs, initiate referrals, and track outcomes within their clinical workflow.</w:t>
      </w:r>
    </w:p>
    <w:p>
      <w:pPr>
        <w:pStyle w:val="Heading3"/>
        <w:spacing w:before="200" w:after="120"/>
      </w:pPr>
      <w:r>
        <w:rPr>
          <w:rFonts w:ascii="Arial" w:cs="Arial" w:eastAsia="Arial" w:hAnsi="Arial"/>
          <w:b/>
          <w:bCs/>
          <w:color w:val="1B3A5C"/>
          <w:sz w:val="22"/>
          <w:szCs w:val="22"/>
        </w:rPr>
        <w:t xml:space="preserve">8.2.3 SDOH Analytics &amp; Population Health</w:t>
      </w:r>
    </w:p>
    <w:p>
      <w:pPr>
        <w:spacing w:after="160" w:line="276"/>
      </w:pPr>
      <w:r>
        <w:rPr>
          <w:rFonts w:ascii="Arial" w:cs="Arial" w:eastAsia="Arial" w:hAnsi="Arial"/>
          <w:color w:val="333333"/>
          <w:sz w:val="21"/>
          <w:szCs w:val="21"/>
        </w:rPr>
        <w:t xml:space="preserve">Incorporating SDOH data into analytics enables risk stratification, health equity measurement, and targeted intervention design.</w:t>
      </w:r>
    </w:p>
    <w:p>
      <w:pPr>
        <w:pStyle w:val="ListParagraph"/>
        <w:numPr>
          <w:ilvl w:val="0"/>
          <w:numId w:val="2"/>
        </w:numPr>
        <w:spacing w:after="80" w:line="276"/>
      </w:pPr>
      <w:r>
        <w:rPr>
          <w:rFonts w:ascii="Arial" w:cs="Arial" w:eastAsia="Arial" w:hAnsi="Arial"/>
          <w:color w:val="333333"/>
          <w:sz w:val="21"/>
          <w:szCs w:val="21"/>
        </w:rPr>
        <w:t xml:space="preserve">Area Deprivation Index (ADI) and Social Vulnerability Index (SVI) can be linked to patient addresses for population-level SDOH assessment.</w:t>
      </w:r>
    </w:p>
    <w:p>
      <w:pPr>
        <w:pStyle w:val="ListParagraph"/>
        <w:numPr>
          <w:ilvl w:val="0"/>
          <w:numId w:val="2"/>
        </w:numPr>
        <w:spacing w:after="80" w:line="276"/>
      </w:pPr>
      <w:r>
        <w:rPr>
          <w:rFonts w:ascii="Arial" w:cs="Arial" w:eastAsia="Arial" w:hAnsi="Arial"/>
          <w:color w:val="333333"/>
          <w:sz w:val="21"/>
          <w:szCs w:val="21"/>
        </w:rPr>
        <w:t xml:space="preserve">Geospatial analytics overlay clinical data with community-level SDOH data to identify disparities and target resources.</w:t>
      </w:r>
    </w:p>
    <w:p>
      <w:pPr>
        <w:pStyle w:val="ListParagraph"/>
        <w:numPr>
          <w:ilvl w:val="0"/>
          <w:numId w:val="2"/>
        </w:numPr>
        <w:spacing w:after="80" w:line="276"/>
      </w:pPr>
      <w:r>
        <w:rPr>
          <w:rFonts w:ascii="Arial" w:cs="Arial" w:eastAsia="Arial" w:hAnsi="Arial"/>
          <w:color w:val="333333"/>
          <w:sz w:val="21"/>
          <w:szCs w:val="21"/>
        </w:rPr>
        <w:t xml:space="preserve">Health equity dashboards track disparities in access, outcomes, and experience across demographic and socioeconomic groups.</w:t>
      </w:r>
    </w:p>
    <w:p>
      <w:pPr>
        <w:pStyle w:val="ListParagraph"/>
        <w:numPr>
          <w:ilvl w:val="0"/>
          <w:numId w:val="2"/>
        </w:numPr>
        <w:spacing w:after="80" w:line="276"/>
      </w:pPr>
      <w:r>
        <w:rPr>
          <w:rFonts w:ascii="Arial" w:cs="Arial" w:eastAsia="Arial" w:hAnsi="Arial"/>
          <w:color w:val="333333"/>
          <w:sz w:val="21"/>
          <w:szCs w:val="21"/>
        </w:rPr>
        <w:t xml:space="preserve">SDOH-enriched predictive models improve accuracy for readmission risk, ED utilization, and chronic disease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Key Takeaway for IT Professionals</w:t>
            </w:r>
          </w:p>
          <w:p>
            <w:pPr>
              <w:spacing w:after="0" w:line="276"/>
            </w:pPr>
            <w:r>
              <w:rPr>
                <w:rFonts w:ascii="Arial" w:cs="Arial" w:eastAsia="Arial" w:hAnsi="Arial"/>
                <w:i/>
                <w:iCs/>
                <w:color w:val="333333"/>
                <w:sz w:val="20"/>
                <w:szCs w:val="20"/>
              </w:rPr>
              <w:t xml:space="preserve">SDOH integration is not a nice-to-have — it is becoming a regulatory and accreditation requirement. IT professionals must understand SDOH data standards (Gravity Project, USCDI), screening workflow integration, community referral platforms, and the analytics implications of social determinants data.</w:t>
            </w:r>
          </w:p>
        </w:tc>
      </w:tr>
    </w:tbl>
    <w:p>
      <w:r>
        <w:br w:type="page"/>
      </w:r>
    </w:p>
    <w:p>
      <w:pPr>
        <w:pStyle w:val="Heading1"/>
        <w:spacing w:before="360" w:after="200"/>
      </w:pPr>
      <w:r>
        <w:rPr>
          <w:rFonts w:ascii="Arial" w:cs="Arial" w:eastAsia="Arial" w:hAnsi="Arial"/>
          <w:b/>
          <w:bCs/>
          <w:color w:val="1B3A5C"/>
          <w:sz w:val="32"/>
          <w:szCs w:val="32"/>
        </w:rPr>
        <w:t xml:space="preserve">9. Stakeholder Interaction &amp; Data Flow Map</w:t>
      </w:r>
    </w:p>
    <w:p>
      <w:pPr>
        <w:spacing w:after="160" w:line="276"/>
      </w:pPr>
      <w:r>
        <w:rPr>
          <w:rFonts w:ascii="Arial" w:cs="Arial" w:eastAsia="Arial" w:hAnsi="Arial"/>
          <w:color w:val="333333"/>
          <w:sz w:val="21"/>
          <w:szCs w:val="21"/>
        </w:rPr>
        <w:t xml:space="preserve">Understanding how stakeholders interact and how data flows between them is essential for designing integration architectures, interoperability strategies, and data governance frameworks.</w:t>
      </w:r>
    </w:p>
    <w:p>
      <w:pPr>
        <w:pStyle w:val="Heading2"/>
        <w:spacing w:before="280" w:after="160"/>
      </w:pPr>
      <w:r>
        <w:rPr>
          <w:rFonts w:ascii="Arial" w:cs="Arial" w:eastAsia="Arial" w:hAnsi="Arial"/>
          <w:b/>
          <w:bCs/>
          <w:color w:val="2E75B6"/>
          <w:sz w:val="26"/>
          <w:szCs w:val="26"/>
        </w:rPr>
        <w:t xml:space="preserve">9.1 Core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Standards/Systems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Demographics, insurance, consent, PGHD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portal, registration, FHIR Patient Access API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Referrals, consults, care summaries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C-CDA, FHIR, Direct messaging, HIE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prior auth requests, quality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X12 837, 278, FHIR Prior Auth API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Eligibility, remittance, authorizations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X12 270/271, 835, 278 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Health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results, case reports, immunizations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ELR (HL7), eCR (FHIR), IIS (HL7)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Visit summaries, results, education, billing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portal, FHIR, ONC patient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Lab/Imaging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Results, reports,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HL7 ORU, DICOM, FHIR DiagnosticReport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Fill history, medication reconciliation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Surescripts RTPB, FHIR MedicationDispense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measures, clinical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eCQMs (CQL/FHIR), QRDA, registry formats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Research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De-identified/consented clinical data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OMOP CDM, FHIR Bulk Data, i2b2</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9.2 IT Architecture Implications</w:t>
      </w:r>
    </w:p>
    <w:p>
      <w:pPr>
        <w:spacing w:after="160" w:line="276"/>
      </w:pPr>
      <w:r>
        <w:rPr>
          <w:rFonts w:ascii="Arial" w:cs="Arial" w:eastAsia="Arial" w:hAnsi="Arial"/>
          <w:color w:val="333333"/>
          <w:sz w:val="21"/>
          <w:szCs w:val="21"/>
        </w:rPr>
        <w:t xml:space="preserve">The complexity of stakeholder interactions drives several key IT architecture requirements:</w:t>
      </w:r>
    </w:p>
    <w:p>
      <w:pPr>
        <w:pStyle w:val="ListParagraph"/>
        <w:numPr>
          <w:ilvl w:val="0"/>
          <w:numId w:val="2"/>
        </w:numPr>
        <w:spacing w:after="80" w:line="276"/>
      </w:pPr>
      <w:r>
        <w:rPr>
          <w:rFonts w:ascii="Arial" w:cs="Arial" w:eastAsia="Arial" w:hAnsi="Arial"/>
          <w:b/>
          <w:bCs/>
          <w:color w:val="333333"/>
          <w:sz w:val="21"/>
          <w:szCs w:val="21"/>
        </w:rPr>
        <w:t xml:space="preserve">Integration Engine: </w:t>
      </w:r>
      <w:r>
        <w:rPr>
          <w:rFonts w:ascii="Arial" w:cs="Arial" w:eastAsia="Arial" w:hAnsi="Arial"/>
          <w:color w:val="333333"/>
          <w:sz w:val="21"/>
          <w:szCs w:val="21"/>
        </w:rPr>
        <w:t xml:space="preserve">A centralized integration engine (Rhapsody, Mirth Connect, InterSystems HealthShare) is essential for managing the volume and variety of data exchanges between stakeholders.</w:t>
      </w:r>
    </w:p>
    <w:p>
      <w:pPr>
        <w:pStyle w:val="ListParagraph"/>
        <w:numPr>
          <w:ilvl w:val="0"/>
          <w:numId w:val="2"/>
        </w:numPr>
        <w:spacing w:after="80" w:line="276"/>
      </w:pPr>
      <w:r>
        <w:rPr>
          <w:rFonts w:ascii="Arial" w:cs="Arial" w:eastAsia="Arial" w:hAnsi="Arial"/>
          <w:b/>
          <w:bCs/>
          <w:color w:val="333333"/>
          <w:sz w:val="21"/>
          <w:szCs w:val="21"/>
        </w:rPr>
        <w:t xml:space="preserve">Master Data Management: </w:t>
      </w:r>
      <w:r>
        <w:rPr>
          <w:rFonts w:ascii="Arial" w:cs="Arial" w:eastAsia="Arial" w:hAnsi="Arial"/>
          <w:color w:val="333333"/>
          <w:sz w:val="21"/>
          <w:szCs w:val="21"/>
        </w:rPr>
        <w:t xml:space="preserve">Patient, provider, and facility master data must be governed centrally to ensure consistency across all systems and stakeholder interactions.</w:t>
      </w:r>
    </w:p>
    <w:p>
      <w:pPr>
        <w:pStyle w:val="ListParagraph"/>
        <w:numPr>
          <w:ilvl w:val="0"/>
          <w:numId w:val="2"/>
        </w:numPr>
        <w:spacing w:after="80" w:line="276"/>
      </w:pPr>
      <w:r>
        <w:rPr>
          <w:rFonts w:ascii="Arial" w:cs="Arial" w:eastAsia="Arial" w:hAnsi="Arial"/>
          <w:b/>
          <w:bCs/>
          <w:color w:val="333333"/>
          <w:sz w:val="21"/>
          <w:szCs w:val="21"/>
        </w:rPr>
        <w:t xml:space="preserve">Identity Management: </w:t>
      </w:r>
      <w:r>
        <w:rPr>
          <w:rFonts w:ascii="Arial" w:cs="Arial" w:eastAsia="Arial" w:hAnsi="Arial"/>
          <w:color w:val="333333"/>
          <w:sz w:val="21"/>
          <w:szCs w:val="21"/>
        </w:rPr>
        <w:t xml:space="preserve">Patient matching (MPI), provider identity (NPI), and facility identification require robust matching algorithms and data stewardship.</w:t>
      </w:r>
    </w:p>
    <w:p>
      <w:pPr>
        <w:pStyle w:val="ListParagraph"/>
        <w:numPr>
          <w:ilvl w:val="0"/>
          <w:numId w:val="2"/>
        </w:numPr>
        <w:spacing w:after="80" w:line="276"/>
      </w:pPr>
      <w:r>
        <w:rPr>
          <w:rFonts w:ascii="Arial" w:cs="Arial" w:eastAsia="Arial" w:hAnsi="Arial"/>
          <w:b/>
          <w:bCs/>
          <w:color w:val="333333"/>
          <w:sz w:val="21"/>
          <w:szCs w:val="21"/>
        </w:rPr>
        <w:t xml:space="preserve">Consent Management: </w:t>
      </w:r>
      <w:r>
        <w:rPr>
          <w:rFonts w:ascii="Arial" w:cs="Arial" w:eastAsia="Arial" w:hAnsi="Arial"/>
          <w:color w:val="333333"/>
          <w:sz w:val="21"/>
          <w:szCs w:val="21"/>
        </w:rPr>
        <w:t xml:space="preserve">Complex consent rules (HIPAA, 42 CFR Part 2, state laws, research consent) must be enforced across all data flows.</w:t>
      </w:r>
    </w:p>
    <w:p>
      <w:pPr>
        <w:pStyle w:val="ListParagraph"/>
        <w:numPr>
          <w:ilvl w:val="0"/>
          <w:numId w:val="2"/>
        </w:numPr>
        <w:spacing w:after="80" w:line="276"/>
      </w:pPr>
      <w:r>
        <w:rPr>
          <w:rFonts w:ascii="Arial" w:cs="Arial" w:eastAsia="Arial" w:hAnsi="Arial"/>
          <w:b/>
          <w:bCs/>
          <w:color w:val="333333"/>
          <w:sz w:val="21"/>
          <w:szCs w:val="21"/>
        </w:rPr>
        <w:t xml:space="preserve">Audit &amp; Compliance: </w:t>
      </w:r>
      <w:r>
        <w:rPr>
          <w:rFonts w:ascii="Arial" w:cs="Arial" w:eastAsia="Arial" w:hAnsi="Arial"/>
          <w:color w:val="333333"/>
          <w:sz w:val="21"/>
          <w:szCs w:val="21"/>
        </w:rPr>
        <w:t xml:space="preserve">Every data exchange must be logged, auditable, and compliant with HIPAA, state regulations, and organizational policies.</w:t>
      </w:r>
    </w:p>
    <w:p>
      <w:r>
        <w:br w:type="page"/>
      </w:r>
    </w:p>
    <w:p>
      <w:pPr>
        <w:pStyle w:val="Heading1"/>
        <w:spacing w:before="360" w:after="200"/>
      </w:pPr>
      <w:r>
        <w:rPr>
          <w:rFonts w:ascii="Arial" w:cs="Arial" w:eastAsia="Arial" w:hAnsi="Arial"/>
          <w:b/>
          <w:bCs/>
          <w:color w:val="1B3A5C"/>
          <w:sz w:val="32"/>
          <w:szCs w:val="32"/>
        </w:rPr>
        <w:t xml:space="preserve">10. Summary &amp; Key Takeaways</w:t>
      </w:r>
    </w:p>
    <w:p>
      <w:pPr>
        <w:spacing w:after="160" w:line="276"/>
      </w:pPr>
      <w:r>
        <w:rPr>
          <w:rFonts w:ascii="Arial" w:cs="Arial" w:eastAsia="Arial" w:hAnsi="Arial"/>
          <w:color w:val="333333"/>
          <w:sz w:val="21"/>
          <w:szCs w:val="21"/>
        </w:rPr>
        <w:t xml:space="preserve">The healthcare ecosystem is vast, complex, and constantly evolving. For IT professionals, deep understanding of this ecosystem is the foundation upon which all technical work must be built. The following key takeaways summarize the essential knowledge from this section:</w:t>
      </w:r>
    </w:p>
    <w:p>
      <w:pPr>
        <w:pStyle w:val="ListParagraph"/>
        <w:numPr>
          <w:ilvl w:val="0"/>
          <w:numId w:val="3"/>
        </w:numPr>
        <w:spacing w:after="80" w:line="276"/>
      </w:pPr>
      <w:r>
        <w:rPr>
          <w:rFonts w:ascii="Arial" w:cs="Arial" w:eastAsia="Arial" w:hAnsi="Arial"/>
          <w:color w:val="333333"/>
          <w:sz w:val="21"/>
          <w:szCs w:val="21"/>
        </w:rPr>
        <w:t xml:space="preserve">Healthcare is delivered across a continuum of settings — from primary care offices to intensive care units to home health — each with distinct IT requirements, workflows, and regulatory obligations.</w:t>
      </w:r>
    </w:p>
    <w:p>
      <w:pPr>
        <w:pStyle w:val="ListParagraph"/>
        <w:numPr>
          <w:ilvl w:val="0"/>
          <w:numId w:val="3"/>
        </w:numPr>
        <w:spacing w:after="80" w:line="276"/>
      </w:pPr>
      <w:r>
        <w:rPr>
          <w:rFonts w:ascii="Arial" w:cs="Arial" w:eastAsia="Arial" w:hAnsi="Arial"/>
          <w:color w:val="333333"/>
          <w:sz w:val="21"/>
          <w:szCs w:val="21"/>
        </w:rPr>
        <w:t xml:space="preserve">Stakeholders have competing and sometimes conflicting incentives. Providers focus on clinical quality, payers on cost management, patients on access and experience, and regulators on safety and compliance. IT systems must balance these needs.</w:t>
      </w:r>
    </w:p>
    <w:p>
      <w:pPr>
        <w:pStyle w:val="ListParagraph"/>
        <w:numPr>
          <w:ilvl w:val="0"/>
          <w:numId w:val="3"/>
        </w:numPr>
        <w:spacing w:after="80" w:line="276"/>
      </w:pPr>
      <w:r>
        <w:rPr>
          <w:rFonts w:ascii="Arial" w:cs="Arial" w:eastAsia="Arial" w:hAnsi="Arial"/>
          <w:color w:val="333333"/>
          <w:sz w:val="21"/>
          <w:szCs w:val="21"/>
        </w:rPr>
        <w:t xml:space="preserve">The healthcare value chain — from care delivery through documentation, coding, billing, and payment — is entirely IT-dependent. Understanding this chain is essential for every health IT professional.</w:t>
      </w:r>
    </w:p>
    <w:p>
      <w:pPr>
        <w:pStyle w:val="ListParagraph"/>
        <w:numPr>
          <w:ilvl w:val="0"/>
          <w:numId w:val="3"/>
        </w:numPr>
        <w:spacing w:after="80" w:line="276"/>
      </w:pPr>
      <w:r>
        <w:rPr>
          <w:rFonts w:ascii="Arial" w:cs="Arial" w:eastAsia="Arial" w:hAnsi="Arial"/>
          <w:color w:val="333333"/>
          <w:sz w:val="21"/>
          <w:szCs w:val="21"/>
        </w:rPr>
        <w:t xml:space="preserve">Organizational structures (IDNs, ACOs, FQHCs, AMCs) drive IT strategy decisions around EHR selection, integration architecture, data governance, and analytics.</w:t>
      </w:r>
    </w:p>
    <w:p>
      <w:pPr>
        <w:pStyle w:val="ListParagraph"/>
        <w:numPr>
          <w:ilvl w:val="0"/>
          <w:numId w:val="3"/>
        </w:numPr>
        <w:spacing w:after="80" w:line="276"/>
      </w:pPr>
      <w:r>
        <w:rPr>
          <w:rFonts w:ascii="Arial" w:cs="Arial" w:eastAsia="Arial" w:hAnsi="Arial"/>
          <w:color w:val="333333"/>
          <w:sz w:val="21"/>
          <w:szCs w:val="21"/>
        </w:rPr>
        <w:t xml:space="preserve">Public health infrastructure requires robust IT connectivity between clinical systems and surveillance/reporting systems. The COVID-19 pandemic accelerated modernization efforts.</w:t>
      </w:r>
    </w:p>
    <w:p>
      <w:pPr>
        <w:pStyle w:val="ListParagraph"/>
        <w:numPr>
          <w:ilvl w:val="0"/>
          <w:numId w:val="3"/>
        </w:numPr>
        <w:spacing w:after="80" w:line="276"/>
      </w:pPr>
      <w:r>
        <w:rPr>
          <w:rFonts w:ascii="Arial" w:cs="Arial" w:eastAsia="Arial" w:hAnsi="Arial"/>
          <w:color w:val="333333"/>
          <w:sz w:val="21"/>
          <w:szCs w:val="21"/>
        </w:rPr>
        <w:t xml:space="preserve">Global healthcare models provide context for international health IT standards and the growing importance of FHIR, SNOMED CT, and cross-border data exchange.</w:t>
      </w:r>
    </w:p>
    <w:p>
      <w:pPr>
        <w:pStyle w:val="ListParagraph"/>
        <w:numPr>
          <w:ilvl w:val="0"/>
          <w:numId w:val="3"/>
        </w:numPr>
        <w:spacing w:after="80" w:line="276"/>
      </w:pPr>
      <w:r>
        <w:rPr>
          <w:rFonts w:ascii="Arial" w:cs="Arial" w:eastAsia="Arial" w:hAnsi="Arial"/>
          <w:color w:val="333333"/>
          <w:sz w:val="21"/>
          <w:szCs w:val="21"/>
        </w:rPr>
        <w:t xml:space="preserve">Social Determinants of Health are becoming a core data domain in healthcare IT, requiring new screening workflows, referral management platforms, and analytics capabilities.</w:t>
      </w:r>
    </w:p>
    <w:p>
      <w:pPr>
        <w:pStyle w:val="ListParagraph"/>
        <w:numPr>
          <w:ilvl w:val="0"/>
          <w:numId w:val="3"/>
        </w:numPr>
        <w:spacing w:after="80" w:line="276"/>
      </w:pPr>
      <w:r>
        <w:rPr>
          <w:rFonts w:ascii="Arial" w:cs="Arial" w:eastAsia="Arial" w:hAnsi="Arial"/>
          <w:color w:val="333333"/>
          <w:sz w:val="21"/>
          <w:szCs w:val="21"/>
        </w:rPr>
        <w:t xml:space="preserve">Data flows between stakeholders are governed by complex standards (HL7, FHIR, X12, DICOM) and regulations (HIPAA, Cures Act, state laws) that IT professionals must master.</w:t>
      </w:r>
    </w:p>
    <w:p>
      <w:pPr>
        <w:pBdr>
          <w:bottom w:val="single" w:color="2E75B6" w:sz="6" w:space="1"/>
        </w:pBdr>
        <w:spacing w:before="200" w:after="200"/>
      </w:pPr>
    </w:p>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1B3A5C"/>
                <w:sz w:val="21"/>
                <w:szCs w:val="21"/>
              </w:rPr>
              <w:t xml:space="preserve">Final Thought</w:t>
            </w:r>
          </w:p>
          <w:p>
            <w:pPr>
              <w:spacing w:after="0" w:line="276"/>
            </w:pPr>
            <w:r>
              <w:rPr>
                <w:rFonts w:ascii="Arial" w:cs="Arial" w:eastAsia="Arial" w:hAnsi="Arial"/>
                <w:i/>
                <w:iCs/>
                <w:color w:val="333333"/>
                <w:sz w:val="20"/>
                <w:szCs w:val="20"/>
              </w:rPr>
              <w:t xml:space="preserve">Healthcare IT is not just about technology — it is about understanding the people, processes, incentives, and regulations that technology serves. The most effective health IT professionals are those who combine deep technical skills with genuine understanding of the clinical and business context in which they operate.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Healthcare Ecosystem &amp; Stakeholders</w:t>
    </w:r>
    <w:r>
      <w:rPr>
        <w:rFonts w:ascii="Arial" w:cs="Arial" w:eastAsia="Arial" w:hAnsi="Arial"/>
        <w:i/>
        <w:iCs/>
        <w:color w:val="666666"/>
        <w:sz w:val="18"/>
        <w:szCs w:val="18"/>
      </w:rPr>
      <w:t xml:space="preserve">	Section 1.1 — Healthcare Domain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2026-02-26T23:52:53.026Z</dcterms:created>
  <dcterms:modified xsi:type="dcterms:W3CDTF">2026-02-26T23:52:53.028Z</dcterms:modified>
</cp:coreProperties>
</file>

<file path=docProps/custom.xml><?xml version="1.0" encoding="utf-8"?>
<Properties xmlns="http://schemas.openxmlformats.org/officeDocument/2006/custom-properties" xmlns:vt="http://schemas.openxmlformats.org/officeDocument/2006/docPropsVTypes"/>
</file>