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HEALTHCARE FINANCE</w:t>
      </w:r>
    </w:p>
    <w:p>
      <w:pPr>
        <w:spacing w:after="100"/>
        <w:jc w:val="center"/>
      </w:pPr>
      <w:r>
        <w:rPr>
          <w:rFonts w:ascii="Arial" w:cs="Arial" w:eastAsia="Arial" w:hAnsi="Arial"/>
          <w:b/>
          <w:bCs/>
          <w:color w:val="1B3A5C"/>
          <w:sz w:val="52"/>
          <w:szCs w:val="52"/>
        </w:rPr>
        <w:t xml:space="preserve">&amp; REVENUE CYCLE</w:t>
      </w:r>
    </w:p>
    <w:p>
      <w:pPr>
        <w:pBdr>
          <w:bottom w:val="single" w:color="2E75B6" w:sz="8" w:space="1"/>
        </w:pBdr>
        <w:spacing w:after="400"/>
        <w:jc w:val="center"/>
      </w:pPr>
    </w:p>
    <w:p>
      <w:pPr>
        <w:spacing w:after="120"/>
        <w:jc w:val="center"/>
      </w:pPr>
      <w:r>
        <w:rPr>
          <w:rFonts w:ascii="Arial" w:cs="Arial" w:eastAsia="Arial" w:hAnsi="Arial"/>
          <w:i/>
          <w:iCs/>
          <w:color w:val="2E75B6"/>
          <w:sz w:val="28"/>
          <w:szCs w:val="28"/>
        </w:rPr>
        <w:t xml:space="preserve">A Comprehensive Technical Reference for Healthcare IT Professionals</w:t>
      </w:r>
    </w:p>
    <w:p>
      <w:pPr>
        <w:spacing w:after="120"/>
        <w:jc w:val="center"/>
      </w:pPr>
      <w:r>
        <w:rPr>
          <w:rFonts w:ascii="Arial" w:cs="Arial" w:eastAsia="Arial" w:hAnsi="Arial"/>
          <w:color w:val="666666"/>
          <w:sz w:val="22"/>
          <w:szCs w:val="22"/>
        </w:rPr>
        <w:t xml:space="preserve">Section 1.4 — Healthcare Domain Mastery Learning Path</w:t>
      </w:r>
    </w:p>
    <w:p>
      <w:pPr>
        <w:spacing w:after="2000"/>
        <w:jc w:val="center"/>
      </w:pPr>
      <w:r>
        <w:rPr>
          <w:rFonts w:ascii="Arial" w:cs="Arial" w:eastAsia="Arial" w:hAnsi="Arial"/>
          <w:color w:val="666666"/>
          <w:sz w:val="20"/>
          <w:szCs w:val="20"/>
        </w:rPr>
        <w:t xml:space="preserve">Covering Revenue Cycle Management, Insurance Fundamentals, Claims Lifecycle, Reimbursement Models, Chargemaster Management, Patient Financial Responsibility, Financial Reporting &amp; the IT Systems That Power Healthcare Finance</w:t>
      </w:r>
    </w:p>
    <w:p>
      <w:pPr>
        <w:spacing w:after="2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Introduction &amp; Purpose</w:t>
      </w:r>
    </w:p>
    <w:p>
      <w:pPr>
        <w:spacing w:after="160" w:line="276"/>
      </w:pPr>
      <w:r>
        <w:rPr>
          <w:rFonts w:ascii="Arial" w:cs="Arial" w:eastAsia="Arial" w:hAnsi="Arial"/>
          <w:color w:val="333333"/>
          <w:sz w:val="21"/>
          <w:szCs w:val="21"/>
        </w:rPr>
        <w:t xml:space="preserve">Healthcare in the United States is a $4.5+ trillion industry, and every dollar flows through technology systems. The revenue cycle — the end-to-end process of capturing, managing, and collecting revenue for clinical services — is entirely dependent on IT systems working correctly, working together, and working in compliance with thousands of payer rules, government regulations, and coding standards.</w:t>
      </w:r>
    </w:p>
    <w:p>
      <w:pPr>
        <w:spacing w:after="160" w:line="276"/>
      </w:pPr>
      <w:r>
        <w:rPr>
          <w:rFonts w:ascii="Arial" w:cs="Arial" w:eastAsia="Arial" w:hAnsi="Arial"/>
          <w:color w:val="333333"/>
          <w:sz w:val="21"/>
          <w:szCs w:val="21"/>
        </w:rPr>
        <w:t xml:space="preserve">For IT professionals, healthcare finance is not an abstract business concept. It is the operational reality that determines whether a hospital can keep its doors open, invest in new technology, hire clinical staff, and serve its community. Revenue cycle failures are IT failures — a misconfigured charge, a dropped interface message, an incorrect payer rule, or a broken claim scrubbing edit can cost an organization millions of dollars.</w:t>
      </w:r>
    </w:p>
    <w:p>
      <w:pPr>
        <w:spacing w:after="160" w:line="276"/>
      </w:pPr>
      <w:r>
        <w:rPr>
          <w:rFonts w:ascii="Arial" w:cs="Arial" w:eastAsia="Arial" w:hAnsi="Arial"/>
          <w:color w:val="333333"/>
          <w:sz w:val="21"/>
          <w:szCs w:val="21"/>
        </w:rPr>
        <w:t xml:space="preserve">This document provides an exhaustive technical reference covering every aspect of healthcare finance and revenue cycle management, with a focus on the IT architecture, system integration, data flows, and operational workflows that health IT professionals encounter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Why This Matters for IT Professionals</w:t>
            </w:r>
          </w:p>
          <w:p>
            <w:pPr>
              <w:spacing w:after="0" w:line="276"/>
            </w:pPr>
            <w:r>
              <w:rPr>
                <w:rFonts w:ascii="Arial" w:cs="Arial" w:eastAsia="Arial" w:hAnsi="Arial"/>
                <w:i/>
                <w:iCs/>
                <w:color w:val="333333"/>
                <w:sz w:val="20"/>
                <w:szCs w:val="20"/>
              </w:rPr>
              <w:t xml:space="preserve">Every ADT message triggers financial events. Every CPOE order generates charges. Every clinical document supports coding. Every coded encounter becomes a claim. Every claim generates revenue — or a denial. IT professionals who understand the revenue cycle build systems that capture revenue accurately, submit claims cleanly, and minimize the $262 billion in annual denied claims that plague the US healthcare system.</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2. Revenue Cycle Management: End-to-End Overview</w:t>
      </w:r>
    </w:p>
    <w:p>
      <w:pPr>
        <w:spacing w:after="160" w:line="276"/>
      </w:pPr>
      <w:r>
        <w:rPr>
          <w:rFonts w:ascii="Arial" w:cs="Arial" w:eastAsia="Arial" w:hAnsi="Arial"/>
          <w:color w:val="333333"/>
          <w:sz w:val="21"/>
          <w:szCs w:val="21"/>
        </w:rPr>
        <w:t xml:space="preserve">Revenue Cycle Management (RCM) encompasses all administrative and clinical functions that contribute to the capture, management, and collection of patient service revenue. The revenue cycle begins before the patient arrives and does not end until the final payment is received and posted.</w:t>
      </w:r>
    </w:p>
    <w:p>
      <w:pPr>
        <w:pStyle w:val="Heading2"/>
        <w:spacing w:before="280" w:after="160"/>
      </w:pPr>
      <w:r>
        <w:rPr>
          <w:rFonts w:ascii="Arial" w:cs="Arial" w:eastAsia="Arial" w:hAnsi="Arial"/>
          <w:b/>
          <w:bCs/>
          <w:color w:val="2E75B6"/>
          <w:sz w:val="26"/>
          <w:szCs w:val="26"/>
        </w:rPr>
        <w:t xml:space="preserve">2.1 The Revenue Cycle Phases</w:t>
      </w:r>
    </w:p>
    <w:p>
      <w:pPr>
        <w:spacing w:after="160" w:line="276"/>
      </w:pPr>
      <w:r>
        <w:rPr>
          <w:rFonts w:ascii="Arial" w:cs="Arial" w:eastAsia="Arial" w:hAnsi="Arial"/>
          <w:color w:val="333333"/>
          <w:sz w:val="21"/>
          <w:szCs w:val="21"/>
        </w:rPr>
        <w:t xml:space="preserve">The revenue cycle is divided into three macro-phases: front-end, mid-cycle, and back-end. Each phase has distinct workflows, IT systems, and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IT Systems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Critical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(Pre-Service &amp; Point of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pre-registration, insurance verification, prior authorization, patient estimation, check-in, copay 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system, Registration/ADT, Eligibility (270/271), Prior Auth (278), Patient estimator, Kiosk/portal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Registration accuracy rate, eligibility verification rate, prior auth approval rate, point-of-service collection rate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Mid-Cycle (Clinical &amp; Coding)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documentation, charge capture, coding (HIM), CDI, DRG/APC assignment, charge reconciliation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CPOE, Charge capture, Encoder, CDI platform, DRG grouper, Coding workflow manager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Coding accuracy rate, CDI query response rate, unbilled days, case mix index, coder productivity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(Billing &amp; Collections)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scrubbing, claim submission, remittance processing, payment posting, denial management, patient billing, collections, bad debt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scrubber, Clearinghouse, A/R management, Payment posting, Denial workflow, Patient billing, Collections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claim rate, days in A/R, denial rate, net collection rate, cost to collect, bad debt rate</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2.2 Revenue Cycle Workflow: Step by Step</w:t>
      </w:r>
    </w:p>
    <w:p>
      <w:pPr>
        <w:pStyle w:val="Heading3"/>
        <w:spacing w:before="200" w:after="120"/>
      </w:pPr>
      <w:r>
        <w:rPr>
          <w:rFonts w:ascii="Arial" w:cs="Arial" w:eastAsia="Arial" w:hAnsi="Arial"/>
          <w:b/>
          <w:bCs/>
          <w:color w:val="1B3A5C"/>
          <w:sz w:val="22"/>
          <w:szCs w:val="22"/>
        </w:rPr>
        <w:t xml:space="preserve">2.2.1 Pre-Service (Before the Patient Arrives)</w:t>
      </w:r>
    </w:p>
    <w:p>
      <w:pPr>
        <w:pStyle w:val="ListParagraph"/>
        <w:numPr>
          <w:ilvl w:val="0"/>
          <w:numId w:val="2"/>
        </w:numPr>
        <w:spacing w:after="80" w:line="276"/>
      </w:pPr>
      <w:r>
        <w:rPr>
          <w:rFonts w:ascii="Arial" w:cs="Arial" w:eastAsia="Arial" w:hAnsi="Arial"/>
          <w:b/>
          <w:bCs/>
          <w:color w:val="333333"/>
          <w:sz w:val="21"/>
          <w:szCs w:val="21"/>
        </w:rPr>
        <w:t xml:space="preserve">Scheduling: </w:t>
      </w:r>
      <w:r>
        <w:rPr>
          <w:rFonts w:ascii="Arial" w:cs="Arial" w:eastAsia="Arial" w:hAnsi="Arial"/>
          <w:color w:val="333333"/>
          <w:sz w:val="21"/>
          <w:szCs w:val="21"/>
        </w:rPr>
        <w:t xml:space="preserve">Patient schedules appointment or procedure. System captures visit type, provider, insurance information, and clinical reason. Scheduling rules enforce appropriate appointment type and insurance coverage.</w:t>
      </w:r>
    </w:p>
    <w:p>
      <w:pPr>
        <w:pStyle w:val="ListParagraph"/>
        <w:numPr>
          <w:ilvl w:val="0"/>
          <w:numId w:val="2"/>
        </w:numPr>
        <w:spacing w:after="80" w:line="276"/>
      </w:pPr>
      <w:r>
        <w:rPr>
          <w:rFonts w:ascii="Arial" w:cs="Arial" w:eastAsia="Arial" w:hAnsi="Arial"/>
          <w:b/>
          <w:bCs/>
          <w:color w:val="333333"/>
          <w:sz w:val="21"/>
          <w:szCs w:val="21"/>
        </w:rPr>
        <w:t xml:space="preserve">Pre-Registration: </w:t>
      </w:r>
      <w:r>
        <w:rPr>
          <w:rFonts w:ascii="Arial" w:cs="Arial" w:eastAsia="Arial" w:hAnsi="Arial"/>
          <w:color w:val="333333"/>
          <w:sz w:val="21"/>
          <w:szCs w:val="21"/>
        </w:rPr>
        <w:t xml:space="preserve">Staff or patient portal completes demographic and insurance information before the visit. Prior visit data auto-populates with update prompts.</w:t>
      </w:r>
    </w:p>
    <w:p>
      <w:pPr>
        <w:pStyle w:val="ListParagraph"/>
        <w:numPr>
          <w:ilvl w:val="0"/>
          <w:numId w:val="2"/>
        </w:numPr>
        <w:spacing w:after="80" w:line="276"/>
      </w:pPr>
      <w:r>
        <w:rPr>
          <w:rFonts w:ascii="Arial" w:cs="Arial" w:eastAsia="Arial" w:hAnsi="Arial"/>
          <w:b/>
          <w:bCs/>
          <w:color w:val="333333"/>
          <w:sz w:val="21"/>
          <w:szCs w:val="21"/>
        </w:rPr>
        <w:t xml:space="preserve">Insurance Eligibility Verification: </w:t>
      </w:r>
      <w:r>
        <w:rPr>
          <w:rFonts w:ascii="Arial" w:cs="Arial" w:eastAsia="Arial" w:hAnsi="Arial"/>
          <w:color w:val="333333"/>
          <w:sz w:val="21"/>
          <w:szCs w:val="21"/>
        </w:rPr>
        <w:t xml:space="preserve">Electronic 270/271 transaction confirms active coverage, plan details, benefits, copay/deductible status, and remaining out-of-pocket maximum. Real-time eligibility checking reduces claim denials by 10–20%.</w:t>
      </w:r>
    </w:p>
    <w:p>
      <w:pPr>
        <w:pStyle w:val="ListParagraph"/>
        <w:numPr>
          <w:ilvl w:val="0"/>
          <w:numId w:val="2"/>
        </w:numPr>
        <w:spacing w:after="80" w:line="276"/>
      </w:pPr>
      <w:r>
        <w:rPr>
          <w:rFonts w:ascii="Arial" w:cs="Arial" w:eastAsia="Arial" w:hAnsi="Arial"/>
          <w:b/>
          <w:bCs/>
          <w:color w:val="333333"/>
          <w:sz w:val="21"/>
          <w:szCs w:val="21"/>
        </w:rPr>
        <w:t xml:space="preserve">Prior Authorization: </w:t>
      </w:r>
      <w:r>
        <w:rPr>
          <w:rFonts w:ascii="Arial" w:cs="Arial" w:eastAsia="Arial" w:hAnsi="Arial"/>
          <w:color w:val="333333"/>
          <w:sz w:val="21"/>
          <w:szCs w:val="21"/>
        </w:rPr>
        <w:t xml:space="preserve">For procedures, imaging, and certain medications, payer authorization must be obtained before service. Electronic 278 transactions and increasingly FHIR-based Prior Authorization APIs streamline this workflow. Authorization numbers are captured and linked to orders.</w:t>
      </w:r>
    </w:p>
    <w:p>
      <w:pPr>
        <w:pStyle w:val="ListParagraph"/>
        <w:numPr>
          <w:ilvl w:val="0"/>
          <w:numId w:val="2"/>
        </w:numPr>
        <w:spacing w:after="80" w:line="276"/>
      </w:pPr>
      <w:r>
        <w:rPr>
          <w:rFonts w:ascii="Arial" w:cs="Arial" w:eastAsia="Arial" w:hAnsi="Arial"/>
          <w:b/>
          <w:bCs/>
          <w:color w:val="333333"/>
          <w:sz w:val="21"/>
          <w:szCs w:val="21"/>
        </w:rPr>
        <w:t xml:space="preserve">Patient Financial Estimation: </w:t>
      </w:r>
      <w:r>
        <w:rPr>
          <w:rFonts w:ascii="Arial" w:cs="Arial" w:eastAsia="Arial" w:hAnsi="Arial"/>
          <w:color w:val="333333"/>
          <w:sz w:val="21"/>
          <w:szCs w:val="21"/>
        </w:rPr>
        <w:t xml:space="preserve">Based on verified benefits, expected services, and contracted rates, the system generates a patient cost estimate. Patients increasingly expect price transparency before service (CMS Price Transparency Rule, No Surprises Act).</w:t>
      </w:r>
    </w:p>
    <w:p>
      <w:pPr>
        <w:pStyle w:val="ListParagraph"/>
        <w:numPr>
          <w:ilvl w:val="0"/>
          <w:numId w:val="2"/>
        </w:numPr>
        <w:spacing w:after="80" w:line="276"/>
      </w:pPr>
      <w:r>
        <w:rPr>
          <w:rFonts w:ascii="Arial" w:cs="Arial" w:eastAsia="Arial" w:hAnsi="Arial"/>
          <w:b/>
          <w:bCs/>
          <w:color w:val="333333"/>
          <w:sz w:val="21"/>
          <w:szCs w:val="21"/>
        </w:rPr>
        <w:t xml:space="preserve">Pre-Service Financial Counseling: </w:t>
      </w:r>
      <w:r>
        <w:rPr>
          <w:rFonts w:ascii="Arial" w:cs="Arial" w:eastAsia="Arial" w:hAnsi="Arial"/>
          <w:color w:val="333333"/>
          <w:sz w:val="21"/>
          <w:szCs w:val="21"/>
        </w:rPr>
        <w:t xml:space="preserve">For high-cost services, financial counselors discuss payment options, offer payment plans, screen for financial assistance/charity care eligibility, and collect advance deposits.</w:t>
      </w:r>
    </w:p>
    <w:p>
      <w:pPr>
        <w:pStyle w:val="Heading3"/>
        <w:spacing w:before="200" w:after="120"/>
      </w:pPr>
      <w:r>
        <w:rPr>
          <w:rFonts w:ascii="Arial" w:cs="Arial" w:eastAsia="Arial" w:hAnsi="Arial"/>
          <w:b/>
          <w:bCs/>
          <w:color w:val="1B3A5C"/>
          <w:sz w:val="22"/>
          <w:szCs w:val="22"/>
        </w:rPr>
        <w:t xml:space="preserve">2.2.2 Point of Service (During the Encounter)</w:t>
      </w:r>
    </w:p>
    <w:p>
      <w:pPr>
        <w:pStyle w:val="ListParagraph"/>
        <w:numPr>
          <w:ilvl w:val="0"/>
          <w:numId w:val="2"/>
        </w:numPr>
        <w:spacing w:after="80" w:line="276"/>
      </w:pPr>
      <w:r>
        <w:rPr>
          <w:rFonts w:ascii="Arial" w:cs="Arial" w:eastAsia="Arial" w:hAnsi="Arial"/>
          <w:b/>
          <w:bCs/>
          <w:color w:val="333333"/>
          <w:sz w:val="21"/>
          <w:szCs w:val="21"/>
        </w:rPr>
        <w:t xml:space="preserve">Check-In &amp; Registration: </w:t>
      </w:r>
      <w:r>
        <w:rPr>
          <w:rFonts w:ascii="Arial" w:cs="Arial" w:eastAsia="Arial" w:hAnsi="Arial"/>
          <w:color w:val="333333"/>
          <w:sz w:val="21"/>
          <w:szCs w:val="21"/>
        </w:rPr>
        <w:t xml:space="preserve">Identity verification, insurance card capture, consent signatures, and copay/outstanding balance collection. ADT registration message (A04/A01) triggers downstream systems.</w:t>
      </w:r>
    </w:p>
    <w:p>
      <w:pPr>
        <w:pStyle w:val="ListParagraph"/>
        <w:numPr>
          <w:ilvl w:val="0"/>
          <w:numId w:val="2"/>
        </w:numPr>
        <w:spacing w:after="80" w:line="276"/>
      </w:pPr>
      <w:r>
        <w:rPr>
          <w:rFonts w:ascii="Arial" w:cs="Arial" w:eastAsia="Arial" w:hAnsi="Arial"/>
          <w:b/>
          <w:bCs/>
          <w:color w:val="333333"/>
          <w:sz w:val="21"/>
          <w:szCs w:val="21"/>
        </w:rPr>
        <w:t xml:space="preserve">Clinical Documentation: </w:t>
      </w:r>
      <w:r>
        <w:rPr>
          <w:rFonts w:ascii="Arial" w:cs="Arial" w:eastAsia="Arial" w:hAnsi="Arial"/>
          <w:color w:val="333333"/>
          <w:sz w:val="21"/>
          <w:szCs w:val="21"/>
        </w:rPr>
        <w:t xml:space="preserve">Providers document the encounter in the EHR. Documentation quality directly drives coding accuracy, which drives reimbursement. CDI programs query physicians for documentation improvement opportunities.</w:t>
      </w:r>
    </w:p>
    <w:p>
      <w:pPr>
        <w:pStyle w:val="ListParagraph"/>
        <w:numPr>
          <w:ilvl w:val="0"/>
          <w:numId w:val="2"/>
        </w:numPr>
        <w:spacing w:after="80" w:line="276"/>
      </w:pPr>
      <w:r>
        <w:rPr>
          <w:rFonts w:ascii="Arial" w:cs="Arial" w:eastAsia="Arial" w:hAnsi="Arial"/>
          <w:b/>
          <w:bCs/>
          <w:color w:val="333333"/>
          <w:sz w:val="21"/>
          <w:szCs w:val="21"/>
        </w:rPr>
        <w:t xml:space="preserve">Order Entry &amp; Charge Capture: </w:t>
      </w:r>
      <w:r>
        <w:rPr>
          <w:rFonts w:ascii="Arial" w:cs="Arial" w:eastAsia="Arial" w:hAnsi="Arial"/>
          <w:color w:val="333333"/>
          <w:sz w:val="21"/>
          <w:szCs w:val="21"/>
        </w:rPr>
        <w:t xml:space="preserve">CPOE orders generate charges automatically in rules-based charge capture systems. Manual charges are entered for services not triggered by orders. Charge capture accuracy is critical — missed charges represent direct revenue loss.</w:t>
      </w:r>
    </w:p>
    <w:p>
      <w:pPr>
        <w:pStyle w:val="ListParagraph"/>
        <w:numPr>
          <w:ilvl w:val="0"/>
          <w:numId w:val="2"/>
        </w:numPr>
        <w:spacing w:after="80" w:line="276"/>
      </w:pPr>
      <w:r>
        <w:rPr>
          <w:rFonts w:ascii="Arial" w:cs="Arial" w:eastAsia="Arial" w:hAnsi="Arial"/>
          <w:b/>
          <w:bCs/>
          <w:color w:val="333333"/>
          <w:sz w:val="21"/>
          <w:szCs w:val="21"/>
        </w:rPr>
        <w:t xml:space="preserve">Charge Reconciliation: </w:t>
      </w:r>
      <w:r>
        <w:rPr>
          <w:rFonts w:ascii="Arial" w:cs="Arial" w:eastAsia="Arial" w:hAnsi="Arial"/>
          <w:color w:val="333333"/>
          <w:sz w:val="21"/>
          <w:szCs w:val="21"/>
        </w:rPr>
        <w:t xml:space="preserve">Daily reconciliation compares clinical activity (procedures performed, medications administered, supplies used) against captured charges. Revenue integrity teams identify and resolve discrepancies.</w:t>
      </w:r>
    </w:p>
    <w:p>
      <w:pPr>
        <w:pStyle w:val="Heading3"/>
        <w:spacing w:before="200" w:after="120"/>
      </w:pPr>
      <w:r>
        <w:rPr>
          <w:rFonts w:ascii="Arial" w:cs="Arial" w:eastAsia="Arial" w:hAnsi="Arial"/>
          <w:b/>
          <w:bCs/>
          <w:color w:val="1B3A5C"/>
          <w:sz w:val="22"/>
          <w:szCs w:val="22"/>
        </w:rPr>
        <w:t xml:space="preserve">2.2.3 Post-Service (After the Encounter)</w:t>
      </w:r>
    </w:p>
    <w:p>
      <w:pPr>
        <w:pStyle w:val="ListParagraph"/>
        <w:numPr>
          <w:ilvl w:val="0"/>
          <w:numId w:val="2"/>
        </w:numPr>
        <w:spacing w:after="80" w:line="276"/>
      </w:pPr>
      <w:r>
        <w:rPr>
          <w:rFonts w:ascii="Arial" w:cs="Arial" w:eastAsia="Arial" w:hAnsi="Arial"/>
          <w:b/>
          <w:bCs/>
          <w:color w:val="333333"/>
          <w:sz w:val="21"/>
          <w:szCs w:val="21"/>
        </w:rPr>
        <w:t xml:space="preserve">Coding: </w:t>
      </w:r>
      <w:r>
        <w:rPr>
          <w:rFonts w:ascii="Arial" w:cs="Arial" w:eastAsia="Arial" w:hAnsi="Arial"/>
          <w:color w:val="333333"/>
          <w:sz w:val="21"/>
          <w:szCs w:val="21"/>
        </w:rPr>
        <w:t xml:space="preserve">Professional coders review clinical documentation and assign ICD-10-CM diagnosis codes, ICD-10-PCS/CPT procedure codes, and appropriate modifiers. Computer-assisted coding (CAC) and AI-driven autonomous coding are transforming this workflow.</w:t>
      </w:r>
    </w:p>
    <w:p>
      <w:pPr>
        <w:pStyle w:val="ListParagraph"/>
        <w:numPr>
          <w:ilvl w:val="0"/>
          <w:numId w:val="2"/>
        </w:numPr>
        <w:spacing w:after="80" w:line="276"/>
      </w:pPr>
      <w:r>
        <w:rPr>
          <w:rFonts w:ascii="Arial" w:cs="Arial" w:eastAsia="Arial" w:hAnsi="Arial"/>
          <w:b/>
          <w:bCs/>
          <w:color w:val="333333"/>
          <w:sz w:val="21"/>
          <w:szCs w:val="21"/>
        </w:rPr>
        <w:t xml:space="preserve">CDI Review: </w:t>
      </w:r>
      <w:r>
        <w:rPr>
          <w:rFonts w:ascii="Arial" w:cs="Arial" w:eastAsia="Arial" w:hAnsi="Arial"/>
          <w:color w:val="333333"/>
          <w:sz w:val="21"/>
          <w:szCs w:val="21"/>
        </w:rPr>
        <w:t xml:space="preserve">Clinical Documentation Improvement specialists query physicians for clarification when documentation does not support the clinical picture (e.g., sepsis severity, malnutrition, acute respiratory failure). CDI directly impacts DRG assignment and reimbursement.</w:t>
      </w:r>
    </w:p>
    <w:p>
      <w:pPr>
        <w:pStyle w:val="ListParagraph"/>
        <w:numPr>
          <w:ilvl w:val="0"/>
          <w:numId w:val="2"/>
        </w:numPr>
        <w:spacing w:after="80" w:line="276"/>
      </w:pPr>
      <w:r>
        <w:rPr>
          <w:rFonts w:ascii="Arial" w:cs="Arial" w:eastAsia="Arial" w:hAnsi="Arial"/>
          <w:b/>
          <w:bCs/>
          <w:color w:val="333333"/>
          <w:sz w:val="21"/>
          <w:szCs w:val="21"/>
        </w:rPr>
        <w:t xml:space="preserve">Claim Generation: </w:t>
      </w:r>
      <w:r>
        <w:rPr>
          <w:rFonts w:ascii="Arial" w:cs="Arial" w:eastAsia="Arial" w:hAnsi="Arial"/>
          <w:color w:val="333333"/>
          <w:sz w:val="21"/>
          <w:szCs w:val="21"/>
        </w:rPr>
        <w:t xml:space="preserve">Coded encounters are compiled into electronic claims. Professional claims use the 837P format; institutional/facility claims use the 837I format.</w:t>
      </w:r>
    </w:p>
    <w:p>
      <w:pPr>
        <w:pStyle w:val="ListParagraph"/>
        <w:numPr>
          <w:ilvl w:val="0"/>
          <w:numId w:val="2"/>
        </w:numPr>
        <w:spacing w:after="80" w:line="276"/>
      </w:pPr>
      <w:r>
        <w:rPr>
          <w:rFonts w:ascii="Arial" w:cs="Arial" w:eastAsia="Arial" w:hAnsi="Arial"/>
          <w:b/>
          <w:bCs/>
          <w:color w:val="333333"/>
          <w:sz w:val="21"/>
          <w:szCs w:val="21"/>
        </w:rPr>
        <w:t xml:space="preserve">Claim Scrubbing: </w:t>
      </w:r>
      <w:r>
        <w:rPr>
          <w:rFonts w:ascii="Arial" w:cs="Arial" w:eastAsia="Arial" w:hAnsi="Arial"/>
          <w:color w:val="333333"/>
          <w:sz w:val="21"/>
          <w:szCs w:val="21"/>
        </w:rPr>
        <w:t xml:space="preserve">Before submission, claims pass through rules engines that check for errors: invalid codes, missing data, NCCI bundling violations, medical necessity edits (LCD/NCD), payer-specific requirements, and compliance flags.</w:t>
      </w:r>
    </w:p>
    <w:p>
      <w:pPr>
        <w:pStyle w:val="ListParagraph"/>
        <w:numPr>
          <w:ilvl w:val="0"/>
          <w:numId w:val="2"/>
        </w:numPr>
        <w:spacing w:after="80" w:line="276"/>
      </w:pPr>
      <w:r>
        <w:rPr>
          <w:rFonts w:ascii="Arial" w:cs="Arial" w:eastAsia="Arial" w:hAnsi="Arial"/>
          <w:b/>
          <w:bCs/>
          <w:color w:val="333333"/>
          <w:sz w:val="21"/>
          <w:szCs w:val="21"/>
        </w:rPr>
        <w:t xml:space="preserve">Claim Submission: </w:t>
      </w:r>
      <w:r>
        <w:rPr>
          <w:rFonts w:ascii="Arial" w:cs="Arial" w:eastAsia="Arial" w:hAnsi="Arial"/>
          <w:color w:val="333333"/>
          <w:sz w:val="21"/>
          <w:szCs w:val="21"/>
        </w:rPr>
        <w:t xml:space="preserve">Clean claims are transmitted to payers via clearinghouses. Claims may route directly to Medicare (via MAC) or through clearinghouses (Availity, Change Healthcare, Waystar) to commercial payers.</w:t>
      </w:r>
    </w:p>
    <w:p>
      <w:pPr>
        <w:pStyle w:val="ListParagraph"/>
        <w:numPr>
          <w:ilvl w:val="0"/>
          <w:numId w:val="2"/>
        </w:numPr>
        <w:spacing w:after="80" w:line="276"/>
      </w:pPr>
      <w:r>
        <w:rPr>
          <w:rFonts w:ascii="Arial" w:cs="Arial" w:eastAsia="Arial" w:hAnsi="Arial"/>
          <w:b/>
          <w:bCs/>
          <w:color w:val="333333"/>
          <w:sz w:val="21"/>
          <w:szCs w:val="21"/>
        </w:rPr>
        <w:t xml:space="preserve">Adjudication: </w:t>
      </w:r>
      <w:r>
        <w:rPr>
          <w:rFonts w:ascii="Arial" w:cs="Arial" w:eastAsia="Arial" w:hAnsi="Arial"/>
          <w:color w:val="333333"/>
          <w:sz w:val="21"/>
          <w:szCs w:val="21"/>
        </w:rPr>
        <w:t xml:space="preserve">The payer processes the claim against coverage rules, medical policies, contracted rates, coordination of benefits, and member benefit design. The claim is paid, partially paid, denied, or pended for review.</w:t>
      </w:r>
    </w:p>
    <w:p>
      <w:pPr>
        <w:pStyle w:val="ListParagraph"/>
        <w:numPr>
          <w:ilvl w:val="0"/>
          <w:numId w:val="2"/>
        </w:numPr>
        <w:spacing w:after="80" w:line="276"/>
      </w:pPr>
      <w:r>
        <w:rPr>
          <w:rFonts w:ascii="Arial" w:cs="Arial" w:eastAsia="Arial" w:hAnsi="Arial"/>
          <w:b/>
          <w:bCs/>
          <w:color w:val="333333"/>
          <w:sz w:val="21"/>
          <w:szCs w:val="21"/>
        </w:rPr>
        <w:t xml:space="preserve">Remittance Processing: </w:t>
      </w:r>
      <w:r>
        <w:rPr>
          <w:rFonts w:ascii="Arial" w:cs="Arial" w:eastAsia="Arial" w:hAnsi="Arial"/>
          <w:color w:val="333333"/>
          <w:sz w:val="21"/>
          <w:szCs w:val="21"/>
        </w:rPr>
        <w:t xml:space="preserve">The payer returns an Electronic Remittance Advice (ERA / 835 transaction) detailing payment amounts, adjustments, and denial reason codes. Payment is posted to the patient account.</w:t>
      </w:r>
    </w:p>
    <w:p>
      <w:pPr>
        <w:pStyle w:val="ListParagraph"/>
        <w:numPr>
          <w:ilvl w:val="0"/>
          <w:numId w:val="2"/>
        </w:numPr>
        <w:spacing w:after="80" w:line="276"/>
      </w:pPr>
      <w:r>
        <w:rPr>
          <w:rFonts w:ascii="Arial" w:cs="Arial" w:eastAsia="Arial" w:hAnsi="Arial"/>
          <w:b/>
          <w:bCs/>
          <w:color w:val="333333"/>
          <w:sz w:val="21"/>
          <w:szCs w:val="21"/>
        </w:rPr>
        <w:t xml:space="preserve">Denial Management: </w:t>
      </w:r>
      <w:r>
        <w:rPr>
          <w:rFonts w:ascii="Arial" w:cs="Arial" w:eastAsia="Arial" w:hAnsi="Arial"/>
          <w:color w:val="333333"/>
          <w:sz w:val="21"/>
          <w:szCs w:val="21"/>
        </w:rPr>
        <w:t xml:space="preserve">Denied or underpaid claims enter a denial workflow. Staff analyze denial reasons, correct errors, gather supporting documentation, and file appeals within payer-specific timely filing deadlines.</w:t>
      </w:r>
    </w:p>
    <w:p>
      <w:pPr>
        <w:pStyle w:val="ListParagraph"/>
        <w:numPr>
          <w:ilvl w:val="0"/>
          <w:numId w:val="2"/>
        </w:numPr>
        <w:spacing w:after="80" w:line="276"/>
      </w:pPr>
      <w:r>
        <w:rPr>
          <w:rFonts w:ascii="Arial" w:cs="Arial" w:eastAsia="Arial" w:hAnsi="Arial"/>
          <w:b/>
          <w:bCs/>
          <w:color w:val="333333"/>
          <w:sz w:val="21"/>
          <w:szCs w:val="21"/>
        </w:rPr>
        <w:t xml:space="preserve">Patient Billing: </w:t>
      </w:r>
      <w:r>
        <w:rPr>
          <w:rFonts w:ascii="Arial" w:cs="Arial" w:eastAsia="Arial" w:hAnsi="Arial"/>
          <w:color w:val="333333"/>
          <w:sz w:val="21"/>
          <w:szCs w:val="21"/>
        </w:rPr>
        <w:t xml:space="preserve">After insurance payment, remaining patient responsibility (deductible, copay, coinsurance) is billed to the patient via statement. Patient payment options include online portal, payment plans, and credit card on file.</w:t>
      </w:r>
    </w:p>
    <w:p>
      <w:pPr>
        <w:pStyle w:val="ListParagraph"/>
        <w:numPr>
          <w:ilvl w:val="0"/>
          <w:numId w:val="2"/>
        </w:numPr>
        <w:spacing w:after="80" w:line="276"/>
      </w:pPr>
      <w:r>
        <w:rPr>
          <w:rFonts w:ascii="Arial" w:cs="Arial" w:eastAsia="Arial" w:hAnsi="Arial"/>
          <w:b/>
          <w:bCs/>
          <w:color w:val="333333"/>
          <w:sz w:val="21"/>
          <w:szCs w:val="21"/>
        </w:rPr>
        <w:t xml:space="preserve">Collections &amp; Bad Debt: </w:t>
      </w:r>
      <w:r>
        <w:rPr>
          <w:rFonts w:ascii="Arial" w:cs="Arial" w:eastAsia="Arial" w:hAnsi="Arial"/>
          <w:color w:val="333333"/>
          <w:sz w:val="21"/>
          <w:szCs w:val="21"/>
        </w:rPr>
        <w:t xml:space="preserve">Unpaid balances progress through collection stages: internal follow-up, payment plan offerings, financial assistance screening, and eventually write-off to bad debt or placement with external collection agencies.</w:t>
      </w:r>
    </w:p>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3. Insurance Fundamentals</w:t>
      </w:r>
    </w:p>
    <w:p>
      <w:pPr>
        <w:spacing w:after="160" w:line="276"/>
      </w:pPr>
      <w:r>
        <w:rPr>
          <w:rFonts w:ascii="Arial" w:cs="Arial" w:eastAsia="Arial" w:hAnsi="Arial"/>
          <w:color w:val="333333"/>
          <w:sz w:val="21"/>
          <w:szCs w:val="21"/>
        </w:rPr>
        <w:t xml:space="preserve">Understanding insurance is essential for healthcare IT professionals because every claim, every reimbursement rule, and every patient financial transaction is governed by the patient’s insurance coverage. IT systems must accommodate the rules and data requirements of dozens of different payers simultaneously.</w:t>
      </w:r>
    </w:p>
    <w:p>
      <w:pPr>
        <w:pStyle w:val="Heading2"/>
        <w:spacing w:before="280" w:after="160"/>
      </w:pPr>
      <w:r>
        <w:rPr>
          <w:rFonts w:ascii="Arial" w:cs="Arial" w:eastAsia="Arial" w:hAnsi="Arial"/>
          <w:b/>
          <w:bCs/>
          <w:color w:val="2E75B6"/>
          <w:sz w:val="26"/>
          <w:szCs w:val="26"/>
        </w:rPr>
        <w:t xml:space="preserve">3.1 Commercial Insurance</w:t>
      </w:r>
    </w:p>
    <w:p>
      <w:pPr>
        <w:spacing w:after="160" w:line="276"/>
      </w:pPr>
      <w:r>
        <w:rPr>
          <w:rFonts w:ascii="Arial" w:cs="Arial" w:eastAsia="Arial" w:hAnsi="Arial"/>
          <w:color w:val="333333"/>
          <w:sz w:val="21"/>
          <w:szCs w:val="21"/>
        </w:rPr>
        <w:t xml:space="preserve">Commercial insurance is provided by private insurance companies, typically through employer-sponsored plans, individual market plans (ACA Marketplace), or group plans. The largest commercial payers include UnitedHealth Group, Elevance Health (Anthem), CVS Health (Aetna), Cigna, and Humana.</w:t>
      </w:r>
    </w:p>
    <w:p>
      <w:pPr>
        <w:pStyle w:val="Heading3"/>
        <w:spacing w:before="200" w:after="120"/>
      </w:pPr>
      <w:r>
        <w:rPr>
          <w:rFonts w:ascii="Arial" w:cs="Arial" w:eastAsia="Arial" w:hAnsi="Arial"/>
          <w:b/>
          <w:bCs/>
          <w:color w:val="1B3A5C"/>
          <w:sz w:val="22"/>
          <w:szCs w:val="22"/>
        </w:rPr>
        <w:t xml:space="preserve">3.1.1 Plan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800"/>
        <w:gridCol w:w="1200"/>
        <w:gridCol w:w="1600"/>
        <w:gridCol w:w="23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Plan Type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Network Requirements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Referral Required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Out-of-Network Coverage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Implications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HMO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Maintenance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In-network only (except emergencies)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PCP gatekeeper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(except emergency)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 authorization tracking, PCP assignment management, network validation at scheduling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PPO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Preferred Provider Organization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In-network preferred, out-of-network allowed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at higher cost sharing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Dual fee schedule management (in-network vs OON), balance billing rules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Exclusive Provider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In-network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(except emergency)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Strict network validation, similar to HMO without referral requirement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Point of Service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Hybrid HMO/PPO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Varies by plan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Complex rules combining HMO and PPO logic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HDHP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High-Deductible Health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 (often PPO or EPO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HSA/HRA integration, high deductible tracking, patient cost estimation critical</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3.1.2 Self-Insured vs. Fully Insured</w:t>
      </w:r>
    </w:p>
    <w:p>
      <w:pPr>
        <w:spacing w:after="160" w:line="276"/>
      </w:pPr>
      <w:r>
        <w:rPr>
          <w:rFonts w:ascii="Arial" w:cs="Arial" w:eastAsia="Arial" w:hAnsi="Arial"/>
          <w:b/>
          <w:bCs/>
          <w:color w:val="333333"/>
          <w:sz w:val="21"/>
          <w:szCs w:val="21"/>
        </w:rPr>
        <w:t xml:space="preserve">Self-Insured (ASO — Administrative Services Only): </w:t>
      </w:r>
      <w:r>
        <w:rPr>
          <w:rFonts w:ascii="Arial" w:cs="Arial" w:eastAsia="Arial" w:hAnsi="Arial"/>
          <w:color w:val="333333"/>
          <w:sz w:val="21"/>
          <w:szCs w:val="21"/>
        </w:rPr>
        <w:t xml:space="preserve">The employer bears the financial risk and pays claims directly. The insurance company only administers claims processing. Over 60% of employer-sponsored plans are self-insured. These plans are regulated by federal ERISA law, not state insurance regulations.</w:t>
      </w:r>
    </w:p>
    <w:p>
      <w:pPr>
        <w:spacing w:after="160" w:line="276"/>
      </w:pPr>
      <w:r>
        <w:rPr>
          <w:rFonts w:ascii="Arial" w:cs="Arial" w:eastAsia="Arial" w:hAnsi="Arial"/>
          <w:b/>
          <w:bCs/>
          <w:color w:val="333333"/>
          <w:sz w:val="21"/>
          <w:szCs w:val="21"/>
        </w:rPr>
        <w:t xml:space="preserve">Fully Insured: </w:t>
      </w:r>
      <w:r>
        <w:rPr>
          <w:rFonts w:ascii="Arial" w:cs="Arial" w:eastAsia="Arial" w:hAnsi="Arial"/>
          <w:color w:val="333333"/>
          <w:sz w:val="21"/>
          <w:szCs w:val="21"/>
        </w:rPr>
        <w:t xml:space="preserve">The insurance company bears the financial risk and pays claims from premiums collected. Subject to state insurance regulations. More common among smaller employers.</w:t>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Self-insured plans may have customized benefit designs, unique authorization requirements, and employer-specific rules that differ from the same insurance company’s fully insured products. IT systems must handle plan-level variation even within the same payer.</w:t>
      </w:r>
    </w:p>
    <w:p>
      <w:pPr>
        <w:pStyle w:val="Heading2"/>
        <w:spacing w:before="280" w:after="160"/>
      </w:pPr>
      <w:r>
        <w:rPr>
          <w:rFonts w:ascii="Arial" w:cs="Arial" w:eastAsia="Arial" w:hAnsi="Arial"/>
          <w:b/>
          <w:bCs/>
          <w:color w:val="2E75B6"/>
          <w:sz w:val="26"/>
          <w:szCs w:val="26"/>
        </w:rPr>
        <w:t xml:space="preserve">3.2 Medicare</w:t>
      </w:r>
    </w:p>
    <w:p>
      <w:pPr>
        <w:spacing w:after="160" w:line="276"/>
      </w:pPr>
      <w:r>
        <w:rPr>
          <w:rFonts w:ascii="Arial" w:cs="Arial" w:eastAsia="Arial" w:hAnsi="Arial"/>
          <w:color w:val="333333"/>
          <w:sz w:val="21"/>
          <w:szCs w:val="21"/>
        </w:rPr>
        <w:t xml:space="preserve">Medicare is the federal health insurance program administered by CMS, serving over 65 million beneficiaries. It is the single largest payer in US healthcare and sets the standard that many commercial payers follow.</w:t>
      </w:r>
    </w:p>
    <w:p>
      <w:pPr>
        <w:pStyle w:val="Heading3"/>
        <w:spacing w:before="200" w:after="120"/>
      </w:pPr>
      <w:r>
        <w:rPr>
          <w:rFonts w:ascii="Arial" w:cs="Arial" w:eastAsia="Arial" w:hAnsi="Arial"/>
          <w:b/>
          <w:bCs/>
          <w:color w:val="1B3A5C"/>
          <w:sz w:val="22"/>
          <w:szCs w:val="22"/>
        </w:rPr>
        <w:t xml:space="preserve">3.2.1 Medicare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Payment Method</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Requirements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 A (Hospital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Inpatient hospital, SNF, hospice, some home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Prospective payment: MS-DRG (inpatient), SNF PPS, Hospice per diem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DRG grouper integration, 3-day payment window, transfer DRG rules, readmission tracking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 B (Medical Insurance)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Physician services, outpatient, DME, preventive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Physician Fee Schedule (RVU-based), OPPS/APC (outpatient hospital)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Fee schedule maintenance, MIPS quality reporting, APC grouper, ABN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 C (Medicare Advantage)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Part A+B via private plan, often with extra benefits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Capitation to MA plan (risk-adjusted), plan pays providers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HCC risk adjustment coding, HEDIS/Stars quality tracking, MA plan rules engine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 D (Prescription Drug)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Outpatient prescription drugs via private plan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benefit manager (PBM) adjudication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Formulary integration, Part D billing, coverage gap (“donut hole”) tracking, MTM identification</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3.2.2 Medicare Administrative Contractors (MACs)</w:t>
      </w:r>
    </w:p>
    <w:p>
      <w:pPr>
        <w:spacing w:after="160" w:line="276"/>
      </w:pPr>
      <w:r>
        <w:rPr>
          <w:rFonts w:ascii="Arial" w:cs="Arial" w:eastAsia="Arial" w:hAnsi="Arial"/>
          <w:color w:val="333333"/>
          <w:sz w:val="21"/>
          <w:szCs w:val="21"/>
        </w:rPr>
        <w:t xml:space="preserve">CMS contracts with MACs to process Medicare claims by geographic jurisdiction. Each MAC may have slightly different processing rules, Local Coverage Determinations (LCDs), and provider enrollment requirements. IT systems must accommodate MAC-specific rules for claims in different jurisdictions.</w:t>
      </w:r>
    </w:p>
    <w:p>
      <w:pPr>
        <w:pStyle w:val="Heading3"/>
        <w:spacing w:before="200" w:after="120"/>
      </w:pPr>
      <w:r>
        <w:rPr>
          <w:rFonts w:ascii="Arial" w:cs="Arial" w:eastAsia="Arial" w:hAnsi="Arial"/>
          <w:b/>
          <w:bCs/>
          <w:color w:val="1B3A5C"/>
          <w:sz w:val="22"/>
          <w:szCs w:val="22"/>
        </w:rPr>
        <w:t xml:space="preserve">3.2.3 Medicare Secondary Payer (MSP)</w:t>
      </w:r>
    </w:p>
    <w:p>
      <w:pPr>
        <w:spacing w:after="160" w:line="276"/>
      </w:pPr>
      <w:r>
        <w:rPr>
          <w:rFonts w:ascii="Arial" w:cs="Arial" w:eastAsia="Arial" w:hAnsi="Arial"/>
          <w:color w:val="333333"/>
          <w:sz w:val="21"/>
          <w:szCs w:val="21"/>
        </w:rPr>
        <w:t xml:space="preserve">When a Medicare beneficiary has other insurance coverage (employer plan, auto insurance, workers’ compensation), Medicare may be the secondary payer. MSP rules are complex and require accurate coordination of benefits (COB) data. Incorrect MSP billing results in conditional payment recovery by CMS.</w:t>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Registration systems must capture MSP questionnaire responses. Claims systems must apply COB logic correctly, billing the primary payer first and Medicare second with the appropriate billing indicator. MSP errors are a major compliance risk.</w:t>
      </w:r>
    </w:p>
    <w:p>
      <w:pPr>
        <w:pStyle w:val="Heading2"/>
        <w:spacing w:before="280" w:after="160"/>
      </w:pPr>
      <w:r>
        <w:rPr>
          <w:rFonts w:ascii="Arial" w:cs="Arial" w:eastAsia="Arial" w:hAnsi="Arial"/>
          <w:b/>
          <w:bCs/>
          <w:color w:val="2E75B6"/>
          <w:sz w:val="26"/>
          <w:szCs w:val="26"/>
        </w:rPr>
        <w:t xml:space="preserve">3.3 Medicaid</w:t>
      </w:r>
    </w:p>
    <w:p>
      <w:pPr>
        <w:spacing w:after="160" w:line="276"/>
      </w:pPr>
      <w:r>
        <w:rPr>
          <w:rFonts w:ascii="Arial" w:cs="Arial" w:eastAsia="Arial" w:hAnsi="Arial"/>
          <w:color w:val="333333"/>
          <w:sz w:val="21"/>
          <w:szCs w:val="21"/>
        </w:rPr>
        <w:t xml:space="preserve">Medicaid is a joint federal-state program providing coverage to low-income populations. Each state administers its own Medicaid program with federal oversight, creating 50+ different rule sets that IT systems must accommodate.</w:t>
      </w:r>
    </w:p>
    <w:p>
      <w:pPr>
        <w:pStyle w:val="ListParagraph"/>
        <w:numPr>
          <w:ilvl w:val="0"/>
          <w:numId w:val="3"/>
        </w:numPr>
        <w:spacing w:after="80" w:line="276"/>
      </w:pPr>
      <w:r>
        <w:rPr>
          <w:rFonts w:ascii="Arial" w:cs="Arial" w:eastAsia="Arial" w:hAnsi="Arial"/>
          <w:b/>
          <w:bCs/>
          <w:color w:val="333333"/>
          <w:sz w:val="21"/>
          <w:szCs w:val="21"/>
        </w:rPr>
        <w:t xml:space="preserve">State variation: </w:t>
      </w:r>
      <w:r>
        <w:rPr>
          <w:rFonts w:ascii="Arial" w:cs="Arial" w:eastAsia="Arial" w:hAnsi="Arial"/>
          <w:color w:val="333333"/>
          <w:sz w:val="21"/>
          <w:szCs w:val="21"/>
        </w:rPr>
        <w:t xml:space="preserve">Covered services, eligibility criteria, reimbursement rates, prior authorization requirements, and claims formats vary by state. Multi-state health systems must configure IT systems for each state’s Medicaid rules.</w:t>
      </w:r>
    </w:p>
    <w:p>
      <w:pPr>
        <w:pStyle w:val="ListParagraph"/>
        <w:numPr>
          <w:ilvl w:val="0"/>
          <w:numId w:val="3"/>
        </w:numPr>
        <w:spacing w:after="80" w:line="276"/>
      </w:pPr>
      <w:r>
        <w:rPr>
          <w:rFonts w:ascii="Arial" w:cs="Arial" w:eastAsia="Arial" w:hAnsi="Arial"/>
          <w:b/>
          <w:bCs/>
          <w:color w:val="333333"/>
          <w:sz w:val="21"/>
          <w:szCs w:val="21"/>
        </w:rPr>
        <w:t xml:space="preserve">Managed Medicaid: </w:t>
      </w:r>
      <w:r>
        <w:rPr>
          <w:rFonts w:ascii="Arial" w:cs="Arial" w:eastAsia="Arial" w:hAnsi="Arial"/>
          <w:color w:val="333333"/>
          <w:sz w:val="21"/>
          <w:szCs w:val="21"/>
        </w:rPr>
        <w:t xml:space="preserve">Most states contract with private managed care organizations (MCOs) to administer Medicaid benefits. Each MCO has its own provider network, authorization rules, and claims processing. IT systems must handle MCO-specific requirements.</w:t>
      </w:r>
    </w:p>
    <w:p>
      <w:pPr>
        <w:pStyle w:val="ListParagraph"/>
        <w:numPr>
          <w:ilvl w:val="0"/>
          <w:numId w:val="3"/>
        </w:numPr>
        <w:spacing w:after="80" w:line="276"/>
      </w:pPr>
      <w:r>
        <w:rPr>
          <w:rFonts w:ascii="Arial" w:cs="Arial" w:eastAsia="Arial" w:hAnsi="Arial"/>
          <w:b/>
          <w:bCs/>
          <w:color w:val="333333"/>
          <w:sz w:val="21"/>
          <w:szCs w:val="21"/>
        </w:rPr>
        <w:t xml:space="preserve">Dual Eligible (Medicare/Medicaid): </w:t>
      </w:r>
      <w:r>
        <w:rPr>
          <w:rFonts w:ascii="Arial" w:cs="Arial" w:eastAsia="Arial" w:hAnsi="Arial"/>
          <w:color w:val="333333"/>
          <w:sz w:val="21"/>
          <w:szCs w:val="21"/>
        </w:rPr>
        <w:t xml:space="preserve">Beneficiaries eligible for both programs require complex COB processing. Medicare typically pays first; Medicaid covers remaining cost-sharing and additional benefits. Dual-eligible special needs plans (D-SNPs) add further complexity.</w:t>
      </w:r>
    </w:p>
    <w:p>
      <w:pPr>
        <w:pStyle w:val="ListParagraph"/>
        <w:numPr>
          <w:ilvl w:val="0"/>
          <w:numId w:val="3"/>
        </w:numPr>
        <w:spacing w:after="80" w:line="276"/>
      </w:pPr>
      <w:r>
        <w:rPr>
          <w:rFonts w:ascii="Arial" w:cs="Arial" w:eastAsia="Arial" w:hAnsi="Arial"/>
          <w:b/>
          <w:bCs/>
          <w:color w:val="333333"/>
          <w:sz w:val="21"/>
          <w:szCs w:val="21"/>
        </w:rPr>
        <w:t xml:space="preserve">Medicaid claims specifics: </w:t>
      </w:r>
      <w:r>
        <w:rPr>
          <w:rFonts w:ascii="Arial" w:cs="Arial" w:eastAsia="Arial" w:hAnsi="Arial"/>
          <w:color w:val="333333"/>
          <w:sz w:val="21"/>
          <w:szCs w:val="21"/>
        </w:rPr>
        <w:t xml:space="preserve">Timely filing limits, prior authorization requirements, retroactive eligibility, presumptive eligibility, and third-party liability (TPL) rules all create IT configuration requirements.</w:t>
      </w:r>
    </w:p>
    <w:p>
      <w:pPr>
        <w:pStyle w:val="Heading2"/>
        <w:spacing w:before="280" w:after="160"/>
      </w:pPr>
      <w:r>
        <w:rPr>
          <w:rFonts w:ascii="Arial" w:cs="Arial" w:eastAsia="Arial" w:hAnsi="Arial"/>
          <w:b/>
          <w:bCs/>
          <w:color w:val="2E75B6"/>
          <w:sz w:val="26"/>
          <w:szCs w:val="26"/>
        </w:rPr>
        <w:t xml:space="preserve">3.4 Other Payer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Payer Type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Considerations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TRICARE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Military health insurance for active duty, retirees, dependents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claims rules, TRICARE-specific billing codes, referral/authorization requirements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 (Veterans Affairs)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Direct care system + community care referrals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 Community Care claims, unique authorization workflows, VA EHR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Workers’ Compensation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Employer-funded coverage for work-related injuries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State-specific rules, separate billing workflows, injury coding requirements, first report of injury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Auto/Liability Insurance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Coverage for motor vehicle and personal injury accidents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Lien tracking, conditional payments, settlement coordination, separate A/R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CHAMPVA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Coverage for dependents of disabled veterans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Similar to TRICARE but different enrollment and processing rules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Indian Health Service (IHS)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Federal healthcare for Native Americans/Alaska Natives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Unique billing rules, encounter rate reimbursement, Purchased/Referred Care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4. The Claims Lifecycle: Detailed Technical Reference</w:t>
      </w:r>
    </w:p>
    <w:p>
      <w:pPr>
        <w:spacing w:after="160" w:line="276"/>
      </w:pPr>
      <w:r>
        <w:rPr>
          <w:rFonts w:ascii="Arial" w:cs="Arial" w:eastAsia="Arial" w:hAnsi="Arial"/>
          <w:color w:val="333333"/>
          <w:sz w:val="21"/>
          <w:szCs w:val="21"/>
        </w:rPr>
        <w:t xml:space="preserve">The claims lifecycle is the most IT-intensive process in healthcare finance. Every step involves electronic data exchange, rules processing, and system integration. Understanding this lifecycle at a technical level is essential for health IT professionals.</w:t>
      </w:r>
    </w:p>
    <w:p>
      <w:pPr>
        <w:pStyle w:val="Heading2"/>
        <w:spacing w:before="280" w:after="160"/>
      </w:pPr>
      <w:r>
        <w:rPr>
          <w:rFonts w:ascii="Arial" w:cs="Arial" w:eastAsia="Arial" w:hAnsi="Arial"/>
          <w:b/>
          <w:bCs/>
          <w:color w:val="2E75B6"/>
          <w:sz w:val="26"/>
          <w:szCs w:val="26"/>
        </w:rPr>
        <w:t xml:space="preserve">4.1 Charge Capture</w:t>
      </w:r>
    </w:p>
    <w:p>
      <w:pPr>
        <w:spacing w:after="160" w:line="276"/>
      </w:pPr>
      <w:r>
        <w:rPr>
          <w:rFonts w:ascii="Arial" w:cs="Arial" w:eastAsia="Arial" w:hAnsi="Arial"/>
          <w:color w:val="333333"/>
          <w:sz w:val="21"/>
          <w:szCs w:val="21"/>
        </w:rPr>
        <w:t xml:space="preserve">Charge capture is the process of translating clinical services into billable charges. It is the critical bridge between clinical care and revenue generation.</w:t>
      </w:r>
    </w:p>
    <w:p>
      <w:pPr>
        <w:pStyle w:val="Heading3"/>
        <w:spacing w:before="200" w:after="120"/>
      </w:pPr>
      <w:r>
        <w:rPr>
          <w:rFonts w:ascii="Arial" w:cs="Arial" w:eastAsia="Arial" w:hAnsi="Arial"/>
          <w:b/>
          <w:bCs/>
          <w:color w:val="1B3A5C"/>
          <w:sz w:val="22"/>
          <w:szCs w:val="22"/>
        </w:rPr>
        <w:t xml:space="preserve">4.1.1 Charge Capture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Accuracy Level</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Rules-Based Auto-Capture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Orders in CPOE automatically generate charges based on configured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 reduces human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charge rules engine, order-to-charge mapping tables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Charge Entry by Clinician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 or nurse manually enters charges at point of care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 — dependent on user compliance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Charge capture applications, mobile charge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 Router/Reconciliation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compares clinical activity logs to captured charges and flags discrepancies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mechanism — catches misses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integrity platform, charge reconciliation dashboard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Retrospective Coding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Charges generated after encounter based on coder review of documentation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for inpatient; slower but thorough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Coding workflow manager, encoder, CAC/AI 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Superbill/Encounter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Pre-printed or electronic forms with common procedure and diagnosis 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approach — error-prone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Practice management systems, paper-to-electronic conversion</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4.1.2 Charge Capture IT Architecture</w:t>
      </w:r>
    </w:p>
    <w:p>
      <w:pPr>
        <w:pStyle w:val="ListParagraph"/>
        <w:numPr>
          <w:ilvl w:val="0"/>
          <w:numId w:val="3"/>
        </w:numPr>
        <w:spacing w:after="80" w:line="276"/>
      </w:pPr>
      <w:r>
        <w:rPr>
          <w:rFonts w:ascii="Arial" w:cs="Arial" w:eastAsia="Arial" w:hAnsi="Arial"/>
          <w:b/>
          <w:bCs/>
          <w:color w:val="333333"/>
          <w:sz w:val="21"/>
          <w:szCs w:val="21"/>
        </w:rPr>
        <w:t xml:space="preserve">Order-to-Charge Mapping: </w:t>
      </w:r>
      <w:r>
        <w:rPr>
          <w:rFonts w:ascii="Arial" w:cs="Arial" w:eastAsia="Arial" w:hAnsi="Arial"/>
          <w:color w:val="333333"/>
          <w:sz w:val="21"/>
          <w:szCs w:val="21"/>
        </w:rPr>
        <w:t xml:space="preserve">The backbone of automated charge capture. Each orderable item in the EHR maps to one or more CPT/HCPCS codes in the charge description master (CDM). Mapping tables must be maintained when new orders are created, CPT codes update annually, or payer rules change.</w:t>
      </w:r>
    </w:p>
    <w:p>
      <w:pPr>
        <w:pStyle w:val="ListParagraph"/>
        <w:numPr>
          <w:ilvl w:val="0"/>
          <w:numId w:val="3"/>
        </w:numPr>
        <w:spacing w:after="80" w:line="276"/>
      </w:pPr>
      <w:r>
        <w:rPr>
          <w:rFonts w:ascii="Arial" w:cs="Arial" w:eastAsia="Arial" w:hAnsi="Arial"/>
          <w:b/>
          <w:bCs/>
          <w:color w:val="333333"/>
          <w:sz w:val="21"/>
          <w:szCs w:val="21"/>
        </w:rPr>
        <w:t xml:space="preserve">Charge Triggers: </w:t>
      </w:r>
      <w:r>
        <w:rPr>
          <w:rFonts w:ascii="Arial" w:cs="Arial" w:eastAsia="Arial" w:hAnsi="Arial"/>
          <w:color w:val="333333"/>
          <w:sz w:val="21"/>
          <w:szCs w:val="21"/>
        </w:rPr>
        <w:t xml:space="preserve">Beyond orders, charges can be triggered by medication administration (BCMA), supply scanning (implant UDI capture), procedure documentation completion, time-based services (critical care time), and device integration events.</w:t>
      </w:r>
    </w:p>
    <w:p>
      <w:pPr>
        <w:pStyle w:val="ListParagraph"/>
        <w:numPr>
          <w:ilvl w:val="0"/>
          <w:numId w:val="3"/>
        </w:numPr>
        <w:spacing w:after="80" w:line="276"/>
      </w:pPr>
      <w:r>
        <w:rPr>
          <w:rFonts w:ascii="Arial" w:cs="Arial" w:eastAsia="Arial" w:hAnsi="Arial"/>
          <w:b/>
          <w:bCs/>
          <w:color w:val="333333"/>
          <w:sz w:val="21"/>
          <w:szCs w:val="21"/>
        </w:rPr>
        <w:t xml:space="preserve">Late Charges: </w:t>
      </w:r>
      <w:r>
        <w:rPr>
          <w:rFonts w:ascii="Arial" w:cs="Arial" w:eastAsia="Arial" w:hAnsi="Arial"/>
          <w:color w:val="333333"/>
          <w:sz w:val="21"/>
          <w:szCs w:val="21"/>
        </w:rPr>
        <w:t xml:space="preserve">Services documented or discovered after the initial billing period. IT systems must support late charge workflows including charge lag reporting, late charge authorization, and rebilling logic.</w:t>
      </w:r>
    </w:p>
    <w:p>
      <w:pPr>
        <w:pStyle w:val="ListParagraph"/>
        <w:numPr>
          <w:ilvl w:val="0"/>
          <w:numId w:val="3"/>
        </w:numPr>
        <w:spacing w:after="80" w:line="276"/>
      </w:pPr>
      <w:r>
        <w:rPr>
          <w:rFonts w:ascii="Arial" w:cs="Arial" w:eastAsia="Arial" w:hAnsi="Arial"/>
          <w:b/>
          <w:bCs/>
          <w:color w:val="333333"/>
          <w:sz w:val="21"/>
          <w:szCs w:val="21"/>
        </w:rPr>
        <w:t xml:space="preserve">Charge Review: </w:t>
      </w:r>
      <w:r>
        <w:rPr>
          <w:rFonts w:ascii="Arial" w:cs="Arial" w:eastAsia="Arial" w:hAnsi="Arial"/>
          <w:color w:val="333333"/>
          <w:sz w:val="21"/>
          <w:szCs w:val="21"/>
        </w:rPr>
        <w:t xml:space="preserve">Before claims generation, charges pass through automated and manual review. Automated edits check for: duplicate charges, missing diagnoses, modifier requirements, frequency limits, and medical necessity.</w:t>
      </w:r>
    </w:p>
    <w:p>
      <w:pPr>
        <w:pStyle w:val="Heading2"/>
        <w:spacing w:before="280" w:after="160"/>
      </w:pPr>
      <w:r>
        <w:rPr>
          <w:rFonts w:ascii="Arial" w:cs="Arial" w:eastAsia="Arial" w:hAnsi="Arial"/>
          <w:b/>
          <w:bCs/>
          <w:color w:val="2E75B6"/>
          <w:sz w:val="26"/>
          <w:szCs w:val="26"/>
        </w:rPr>
        <w:t xml:space="preserve">4.2 Claim Generation &amp; Formatting</w:t>
      </w:r>
    </w:p>
    <w:p>
      <w:pPr>
        <w:pStyle w:val="Heading3"/>
        <w:spacing w:before="200" w:after="120"/>
      </w:pPr>
      <w:r>
        <w:rPr>
          <w:rFonts w:ascii="Arial" w:cs="Arial" w:eastAsia="Arial" w:hAnsi="Arial"/>
          <w:b/>
          <w:bCs/>
          <w:color w:val="1B3A5C"/>
          <w:sz w:val="22"/>
          <w:szCs w:val="22"/>
        </w:rPr>
        <w:t xml:space="preserve">4.2.1 Claim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800"/>
        <w:gridCol w:w="3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Claim 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Electronic Format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Data Elements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(Physician/Provider)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837P (Professional)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Physician services, outpatient procedures, DME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NPI, CPT/HCPCS, ICD-10-CM, modifiers, place of service, units, charges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Institutional (Facility)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UB-04 (CMS-1450)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837I (Institutional)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inpatient, hospital outpatient, SNF, home health, hospice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codes, ICD-10-CM/PCS, DRG, occurrence codes, value codes, condition codes, total charges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ADA Dental Claim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837D (Dental)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Dental 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CDT codes, tooth numbers, surface codes, dental-specific data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form-based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NCPDP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Outpatient prescription drugs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NDC, quantity, days supply, DAW code, pharmacy NPI, prescriber NPI</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4.2.2 837P (Professional Claim) Key Segments</w:t>
      </w:r>
    </w:p>
    <w:p>
      <w:pPr>
        <w:spacing w:after="160" w:line="276"/>
      </w:pPr>
      <w:r>
        <w:rPr>
          <w:rFonts w:ascii="Arial" w:cs="Arial" w:eastAsia="Arial" w:hAnsi="Arial"/>
          <w:color w:val="333333"/>
          <w:sz w:val="21"/>
          <w:szCs w:val="21"/>
        </w:rPr>
        <w:t xml:space="preserve">Understanding 837P structure is essential for IT professionals who build, maintain, or troubleshoot claims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Loop/Segment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Configuration Importance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2000A (Billing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name, NPI, taxonomy, address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master file accuracy; incorrect NPI causes rejection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2000B (Subscriber)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insurance subscriber information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Registration data quality; subscriber vs. patient distinction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2010AA (Billing Provider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billing entity name and Tax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match payer enrollment exactly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2010BB (Pay-To Provider)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Where payment should be sent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routing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2300 (Claim Information)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 of service, frequency, authorization number, onset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 codes drive payment rules; missing auth number causes denial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2310 (Rendering/Referring Provider)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 who performed the service, referring provider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Rendering vs. billing provider distinction; referral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2400 (Service 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CPT/HCPCS code, modifiers, units, charge amount, diagnosis pointers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billable service data; diagnosis pointer links DX to service</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4.2.3 837I (Institutional Claim) Key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Codes (3-digit)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Classify departments/services (e.g., 0120=Room &amp; Board Semi-Private, 0250=Pharmacy, 0320=Radiology DX)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align with CDM; drives APC packaging and Medicare payment rules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Type of Bill (TOB)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3-digit code indicating facility type, bill classification, and frequency (e.g., 131=Hospital Outpatient, First Claim)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Determines payment system (DRG vs APC vs other); incorrect TOB causes rejection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Condition Codes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2-digit codes indicating special conditions (e.g., 04=Informed Consent Not Signed)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and payment modifiers; some trigger specific payment rules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Occurrence Codes &amp; Dates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Event codes with associated dates (e.g., 11=Onset of Symptoms, 17=Retirement Date)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Drive payment calculations; accident date for liability claims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Codes &amp; Amounts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values related to the claim (e.g., 80=Covered Days, 81=Non-Covered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Inpatient day counting, covered charges, patient liability amounts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Principal &amp; Secondary Diagnoses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ICD-10-CM codes in priority sequence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Drive DRG assignment; POA (Present on Admission) indicator required for inpatient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Principal &amp; Other Procedures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ICD-10-PCS codes with procedure dates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 DRG assignment; procedure date critical for payment calculations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4.3 Claim Scrubbing &amp; Edits</w:t>
      </w:r>
    </w:p>
    <w:p>
      <w:pPr>
        <w:spacing w:after="160" w:line="276"/>
      </w:pPr>
      <w:r>
        <w:rPr>
          <w:rFonts w:ascii="Arial" w:cs="Arial" w:eastAsia="Arial" w:hAnsi="Arial"/>
          <w:color w:val="333333"/>
          <w:sz w:val="21"/>
          <w:szCs w:val="21"/>
        </w:rPr>
        <w:t xml:space="preserve">Before claims are submitted, they pass through claim scrubbing engines that apply hundreds of edit rules to identify and correct errors. Clean claim rate — the percentage of claims that pass all edits on first submission — is a critical revenue cycle metric. Industry benchmark: 95%+ clean claim rate.</w:t>
      </w:r>
    </w:p>
    <w:p>
      <w:pPr>
        <w:pStyle w:val="Heading3"/>
        <w:spacing w:before="200" w:after="120"/>
      </w:pPr>
      <w:r>
        <w:rPr>
          <w:rFonts w:ascii="Arial" w:cs="Arial" w:eastAsia="Arial" w:hAnsi="Arial"/>
          <w:b/>
          <w:bCs/>
          <w:color w:val="1B3A5C"/>
          <w:sz w:val="22"/>
          <w:szCs w:val="22"/>
        </w:rPr>
        <w:t xml:space="preserve">4.3.1 Edit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Edit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Structural/Format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Validates claim format compliance with X12 837 specifications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Missing required fields, invalid field lengths, incorrect segment order, invalid code formats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Validity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Validates that all codes are current and valid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Expired ICD-10-CM code, deleted CPT code, invalid revenue code, invalid POS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NCCI Edits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CMS National Correct Coding Initiative bundling rules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 1/Column 2 code pair violations, Mutually Exclusive Procedure edits, Medically Unlikely Edits (MUE)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Medical Necessity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Diagnosis supports the ordered procedure per payer policy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LCD/NCD violations, diagnosis-procedure mismatch, age/sex conflicts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Payer-Specific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payer requirements beyond standard edits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Payer-specific modifier requirements, authorization number validation, timely filing checks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Compliance Edits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Fraud and abuse detection rules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Unbundling detection, upcoding flags, duplicate service detection, modifier 59 overuse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Coordination of Benefits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Primary/secondary payer sequencing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Medicare Secondary Payer violations, wrong payer sequence, missing primary EOB</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4.4 Claim Submission &amp; Clearinghouses</w:t>
      </w:r>
    </w:p>
    <w:p>
      <w:pPr>
        <w:spacing w:after="160" w:line="276"/>
      </w:pPr>
      <w:r>
        <w:rPr>
          <w:rFonts w:ascii="Arial" w:cs="Arial" w:eastAsia="Arial" w:hAnsi="Arial"/>
          <w:color w:val="333333"/>
          <w:sz w:val="21"/>
          <w:szCs w:val="21"/>
        </w:rPr>
        <w:t xml:space="preserve">Claims are submitted electronically through clearinghouses — intermediaries that validate, translate, and route claims between providers and payers.</w:t>
      </w:r>
    </w:p>
    <w:p>
      <w:pPr>
        <w:pStyle w:val="Heading3"/>
        <w:spacing w:before="200" w:after="120"/>
      </w:pPr>
      <w:r>
        <w:rPr>
          <w:rFonts w:ascii="Arial" w:cs="Arial" w:eastAsia="Arial" w:hAnsi="Arial"/>
          <w:b/>
          <w:bCs/>
          <w:color w:val="1B3A5C"/>
          <w:sz w:val="22"/>
          <w:szCs w:val="22"/>
        </w:rPr>
        <w:t xml:space="preserve">4.4.1 Major Clearinghouses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Clearinghouse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Healthcare (Optum)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Largest US clearinghouse; processes ~15 billion transactions annually; connected to virtually all payers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Availity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Multi-payer health information network; strong payer portal and eligibility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Waystar (formerly Navicure + ZirMed)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cycle management platform with clearinghouse, denial management, and analytics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Trizetto (Cognizant)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processing, revenue management, and payer connectivity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Office 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Low-cost clearinghouse popular with small practices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Relay Health (Change Healthcare)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Pharmacy and medical claims network</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Architecture: </w:t>
      </w:r>
      <w:r>
        <w:rPr>
          <w:rFonts w:ascii="Arial" w:cs="Arial" w:eastAsia="Arial" w:hAnsi="Arial"/>
          <w:color w:val="333333"/>
          <w:sz w:val="21"/>
          <w:szCs w:val="21"/>
        </w:rPr>
        <w:t xml:space="preserve">Claims flow from the EHR/billing system to the clearinghouse via SFTP, API, or direct connection. The clearinghouse validates the claim format, routes to the correct payer, and returns acknowledgments (999/TA1 for syntax, 277CA for claim acceptance). IT teams must monitor clearinghouse connectivity, submission success rates, and rejection reports.</w:t>
      </w:r>
    </w:p>
    <w:p>
      <w:pPr>
        <w:pStyle w:val="Heading2"/>
        <w:spacing w:before="280" w:after="160"/>
      </w:pPr>
      <w:r>
        <w:rPr>
          <w:rFonts w:ascii="Arial" w:cs="Arial" w:eastAsia="Arial" w:hAnsi="Arial"/>
          <w:b/>
          <w:bCs/>
          <w:color w:val="2E75B6"/>
          <w:sz w:val="26"/>
          <w:szCs w:val="26"/>
        </w:rPr>
        <w:t xml:space="preserve">4.5 Adjudication &amp; Remittance</w:t>
      </w:r>
    </w:p>
    <w:p>
      <w:pPr>
        <w:pStyle w:val="Heading3"/>
        <w:spacing w:before="200" w:after="120"/>
      </w:pPr>
      <w:r>
        <w:rPr>
          <w:rFonts w:ascii="Arial" w:cs="Arial" w:eastAsia="Arial" w:hAnsi="Arial"/>
          <w:b/>
          <w:bCs/>
          <w:color w:val="1B3A5C"/>
          <w:sz w:val="22"/>
          <w:szCs w:val="22"/>
        </w:rPr>
        <w:t xml:space="preserve">4.5.1 Payer Adjudication Process</w:t>
      </w:r>
    </w:p>
    <w:p>
      <w:pPr>
        <w:pStyle w:val="ListParagraph"/>
        <w:numPr>
          <w:ilvl w:val="0"/>
          <w:numId w:val="2"/>
        </w:numPr>
        <w:spacing w:after="80" w:line="276"/>
      </w:pPr>
      <w:r>
        <w:rPr>
          <w:rFonts w:ascii="Arial" w:cs="Arial" w:eastAsia="Arial" w:hAnsi="Arial"/>
          <w:b/>
          <w:bCs/>
          <w:color w:val="333333"/>
          <w:sz w:val="21"/>
          <w:szCs w:val="21"/>
        </w:rPr>
        <w:t xml:space="preserve">Claim Receipt: </w:t>
      </w:r>
      <w:r>
        <w:rPr>
          <w:rFonts w:ascii="Arial" w:cs="Arial" w:eastAsia="Arial" w:hAnsi="Arial"/>
          <w:color w:val="333333"/>
          <w:sz w:val="21"/>
          <w:szCs w:val="21"/>
        </w:rPr>
        <w:t xml:space="preserve">Payer receives claim and assigns claim number. 277CA acknowledgment sent to provider.</w:t>
      </w:r>
    </w:p>
    <w:p>
      <w:pPr>
        <w:pStyle w:val="ListParagraph"/>
        <w:numPr>
          <w:ilvl w:val="0"/>
          <w:numId w:val="2"/>
        </w:numPr>
        <w:spacing w:after="80" w:line="276"/>
      </w:pPr>
      <w:r>
        <w:rPr>
          <w:rFonts w:ascii="Arial" w:cs="Arial" w:eastAsia="Arial" w:hAnsi="Arial"/>
          <w:b/>
          <w:bCs/>
          <w:color w:val="333333"/>
          <w:sz w:val="21"/>
          <w:szCs w:val="21"/>
        </w:rPr>
        <w:t xml:space="preserve">Eligibility Verification: </w:t>
      </w:r>
      <w:r>
        <w:rPr>
          <w:rFonts w:ascii="Arial" w:cs="Arial" w:eastAsia="Arial" w:hAnsi="Arial"/>
          <w:color w:val="333333"/>
          <w:sz w:val="21"/>
          <w:szCs w:val="21"/>
        </w:rPr>
        <w:t xml:space="preserve">Payer verifies member was eligible on date of service, plan was active, and benefits were in effect.</w:t>
      </w:r>
    </w:p>
    <w:p>
      <w:pPr>
        <w:pStyle w:val="ListParagraph"/>
        <w:numPr>
          <w:ilvl w:val="0"/>
          <w:numId w:val="2"/>
        </w:numPr>
        <w:spacing w:after="80" w:line="276"/>
      </w:pPr>
      <w:r>
        <w:rPr>
          <w:rFonts w:ascii="Arial" w:cs="Arial" w:eastAsia="Arial" w:hAnsi="Arial"/>
          <w:b/>
          <w:bCs/>
          <w:color w:val="333333"/>
          <w:sz w:val="21"/>
          <w:szCs w:val="21"/>
        </w:rPr>
        <w:t xml:space="preserve">Coverage Determination: </w:t>
      </w:r>
      <w:r>
        <w:rPr>
          <w:rFonts w:ascii="Arial" w:cs="Arial" w:eastAsia="Arial" w:hAnsi="Arial"/>
          <w:color w:val="333333"/>
          <w:sz w:val="21"/>
          <w:szCs w:val="21"/>
        </w:rPr>
        <w:t xml:space="preserve">Payer determines if the service is a covered benefit under the member’s plan.</w:t>
      </w:r>
    </w:p>
    <w:p>
      <w:pPr>
        <w:pStyle w:val="ListParagraph"/>
        <w:numPr>
          <w:ilvl w:val="0"/>
          <w:numId w:val="2"/>
        </w:numPr>
        <w:spacing w:after="80" w:line="276"/>
      </w:pPr>
      <w:r>
        <w:rPr>
          <w:rFonts w:ascii="Arial" w:cs="Arial" w:eastAsia="Arial" w:hAnsi="Arial"/>
          <w:b/>
          <w:bCs/>
          <w:color w:val="333333"/>
          <w:sz w:val="21"/>
          <w:szCs w:val="21"/>
        </w:rPr>
        <w:t xml:space="preserve">Medical Policy Review: </w:t>
      </w:r>
      <w:r>
        <w:rPr>
          <w:rFonts w:ascii="Arial" w:cs="Arial" w:eastAsia="Arial" w:hAnsi="Arial"/>
          <w:color w:val="333333"/>
          <w:sz w:val="21"/>
          <w:szCs w:val="21"/>
        </w:rPr>
        <w:t xml:space="preserve">For certain services, medical necessity is evaluated against payer medical policies, clinical guidelines, and utilization management criteria.</w:t>
      </w:r>
    </w:p>
    <w:p>
      <w:pPr>
        <w:pStyle w:val="ListParagraph"/>
        <w:numPr>
          <w:ilvl w:val="0"/>
          <w:numId w:val="2"/>
        </w:numPr>
        <w:spacing w:after="80" w:line="276"/>
      </w:pPr>
      <w:r>
        <w:rPr>
          <w:rFonts w:ascii="Arial" w:cs="Arial" w:eastAsia="Arial" w:hAnsi="Arial"/>
          <w:b/>
          <w:bCs/>
          <w:color w:val="333333"/>
          <w:sz w:val="21"/>
          <w:szCs w:val="21"/>
        </w:rPr>
        <w:t xml:space="preserve">Pricing &amp; Contractual Allowance: </w:t>
      </w:r>
      <w:r>
        <w:rPr>
          <w:rFonts w:ascii="Arial" w:cs="Arial" w:eastAsia="Arial" w:hAnsi="Arial"/>
          <w:color w:val="333333"/>
          <w:sz w:val="21"/>
          <w:szCs w:val="21"/>
        </w:rPr>
        <w:t xml:space="preserve">The allowed amount is calculated based on the provider’s contract (fee schedule, case rate, per diem, or percentage of charges). For Medicare, the Physician Fee Schedule or OPPS/APC determines payment.</w:t>
      </w:r>
    </w:p>
    <w:p>
      <w:pPr>
        <w:pStyle w:val="ListParagraph"/>
        <w:numPr>
          <w:ilvl w:val="0"/>
          <w:numId w:val="2"/>
        </w:numPr>
        <w:spacing w:after="80" w:line="276"/>
      </w:pPr>
      <w:r>
        <w:rPr>
          <w:rFonts w:ascii="Arial" w:cs="Arial" w:eastAsia="Arial" w:hAnsi="Arial"/>
          <w:b/>
          <w:bCs/>
          <w:color w:val="333333"/>
          <w:sz w:val="21"/>
          <w:szCs w:val="21"/>
        </w:rPr>
        <w:t xml:space="preserve">Coordination of Benefits: </w:t>
      </w:r>
      <w:r>
        <w:rPr>
          <w:rFonts w:ascii="Arial" w:cs="Arial" w:eastAsia="Arial" w:hAnsi="Arial"/>
          <w:color w:val="333333"/>
          <w:sz w:val="21"/>
          <w:szCs w:val="21"/>
        </w:rPr>
        <w:t xml:space="preserve">If multiple payers are involved, the primary payer’s payment is subtracted and the remainder is processed by the secondary payer.</w:t>
      </w:r>
    </w:p>
    <w:p>
      <w:pPr>
        <w:pStyle w:val="ListParagraph"/>
        <w:numPr>
          <w:ilvl w:val="0"/>
          <w:numId w:val="2"/>
        </w:numPr>
        <w:spacing w:after="80" w:line="276"/>
      </w:pPr>
      <w:r>
        <w:rPr>
          <w:rFonts w:ascii="Arial" w:cs="Arial" w:eastAsia="Arial" w:hAnsi="Arial"/>
          <w:b/>
          <w:bCs/>
          <w:color w:val="333333"/>
          <w:sz w:val="21"/>
          <w:szCs w:val="21"/>
        </w:rPr>
        <w:t xml:space="preserve">Member Cost Sharing: </w:t>
      </w:r>
      <w:r>
        <w:rPr>
          <w:rFonts w:ascii="Arial" w:cs="Arial" w:eastAsia="Arial" w:hAnsi="Arial"/>
          <w:color w:val="333333"/>
          <w:sz w:val="21"/>
          <w:szCs w:val="21"/>
        </w:rPr>
        <w:t xml:space="preserve">Deductible, copay, and coinsurance amounts are calculated based on the member’s benefit design and year-to-date accumulator status.</w:t>
      </w:r>
    </w:p>
    <w:p>
      <w:pPr>
        <w:pStyle w:val="ListParagraph"/>
        <w:numPr>
          <w:ilvl w:val="0"/>
          <w:numId w:val="2"/>
        </w:numPr>
        <w:spacing w:after="80" w:line="276"/>
      </w:pPr>
      <w:r>
        <w:rPr>
          <w:rFonts w:ascii="Arial" w:cs="Arial" w:eastAsia="Arial" w:hAnsi="Arial"/>
          <w:b/>
          <w:bCs/>
          <w:color w:val="333333"/>
          <w:sz w:val="21"/>
          <w:szCs w:val="21"/>
        </w:rPr>
        <w:t xml:space="preserve">Payment/Denial Decision: </w:t>
      </w:r>
      <w:r>
        <w:rPr>
          <w:rFonts w:ascii="Arial" w:cs="Arial" w:eastAsia="Arial" w:hAnsi="Arial"/>
          <w:color w:val="333333"/>
          <w:sz w:val="21"/>
          <w:szCs w:val="21"/>
        </w:rPr>
        <w:t xml:space="preserve">Claim is paid, partially paid (with adjustments), denied, or pended for additional information.</w:t>
      </w:r>
    </w:p>
    <w:p>
      <w:pPr>
        <w:pStyle w:val="Heading3"/>
        <w:spacing w:before="200" w:after="120"/>
      </w:pPr>
      <w:r>
        <w:rPr>
          <w:rFonts w:ascii="Arial" w:cs="Arial" w:eastAsia="Arial" w:hAnsi="Arial"/>
          <w:b/>
          <w:bCs/>
          <w:color w:val="1B3A5C"/>
          <w:sz w:val="22"/>
          <w:szCs w:val="22"/>
        </w:rPr>
        <w:t xml:space="preserve">4.5.2 Electronic Remittance Advice (835)</w:t>
      </w:r>
    </w:p>
    <w:p>
      <w:pPr>
        <w:spacing w:after="160" w:line="276"/>
      </w:pPr>
      <w:r>
        <w:rPr>
          <w:rFonts w:ascii="Arial" w:cs="Arial" w:eastAsia="Arial" w:hAnsi="Arial"/>
          <w:color w:val="333333"/>
          <w:sz w:val="21"/>
          <w:szCs w:val="21"/>
        </w:rPr>
        <w:t xml:space="preserve">The 835 transaction is the electronic equivalent of the Explanation of Benefits (EOB). It contains detailed payment information for each claim and service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835 Data Element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Processing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Payment Amount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amount paid by payer for the claim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payment to patient account; reconcile with expected payment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 Adjustment Reason Codes (CARC)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Standardized codes explaining payment adjustments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Drive denial categorization and appeal workflow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Remittance Advice Remark Codes (RARC)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Additional explanation for adjustments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 context for CARCs; used in denial trending analytics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Group Codes (CO/PR/OA/PI)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Categorize the responsible party for adjustments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 (Contractual Obligation) = write-off; PR (Patient Responsibility) = bill patient; OA (Other Adjustment); PI (Payer Initiated)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Line Detail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adjustment, and patient responsibility per CPT/HCPCS 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Line-level posting enables detailed revenue analysis and denial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Payer Claim Control Number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Payer’s internal claim reference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Required for appeals, reconsiderations, and secondary claim submission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4.6 Denial Management</w:t>
      </w:r>
    </w:p>
    <w:p>
      <w:pPr>
        <w:spacing w:after="160" w:line="276"/>
      </w:pPr>
      <w:r>
        <w:rPr>
          <w:rFonts w:ascii="Arial" w:cs="Arial" w:eastAsia="Arial" w:hAnsi="Arial"/>
          <w:color w:val="333333"/>
          <w:sz w:val="21"/>
          <w:szCs w:val="21"/>
        </w:rPr>
        <w:t xml:space="preserve">Claim denials represent one of the largest sources of revenue leakage in healthcare. Industry estimates suggest that the average hospital denial rate is 10–15%, and that 65% of denied claims are never reworked or appealed. Denial management is both a workflow and a technology discipline.</w:t>
      </w:r>
    </w:p>
    <w:p>
      <w:pPr>
        <w:pStyle w:val="Heading3"/>
        <w:spacing w:before="200" w:after="120"/>
      </w:pPr>
      <w:r>
        <w:rPr>
          <w:rFonts w:ascii="Arial" w:cs="Arial" w:eastAsia="Arial" w:hAnsi="Arial"/>
          <w:b/>
          <w:bCs/>
          <w:color w:val="1B3A5C"/>
          <w:sz w:val="22"/>
          <w:szCs w:val="22"/>
        </w:rPr>
        <w:t xml:space="preserve">4.6.1 Denial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3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Denial 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Denials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Common Causes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Prevention Strategy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Registration/Eligibility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Inactive coverage, wrong payer, incorrect member ID, missing demographics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eligibility verification (270/271), ADT data quality edits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Prior Authorization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Missing authorization, expired auth, wrong auth for service performed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 tracking system, auth-to-order linkage, expiration alerts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Necessity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Diagnosis doesn’t support procedure, LCD/NCD violations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necessity CDS at order entry, LCD edit integration in claim scrubber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Coding Errors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Invalid codes, unbundling, missing modifiers, sequencing errors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validation, NCCI edits, CAC/encoder integration, coding education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Claims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service billed twice, overlapping date ranges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claim detection in scrubber, claim history cross-reference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Timely Filing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 not submitted within payer deadline (90–365 days)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 aging reports, filing deadline tracking, automated submission prioritization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Coordination of Benefits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Wrong payer sequence, missing primary EOB, incorrect MSP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COB verification at registration, 837 COB segment accuracy</w:t>
            </w:r>
          </w:p>
        </w:tc>
      </w:tr>
    </w:tbl>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80"/>
            </w:pPr>
            <w:r>
              <w:rPr>
                <w:rFonts w:ascii="Arial" w:cs="Arial" w:eastAsia="Arial" w:hAnsi="Arial"/>
                <w:b/>
                <w:bCs/>
                <w:color w:val="C0392B"/>
                <w:sz w:val="21"/>
                <w:szCs w:val="21"/>
              </w:rPr>
              <w:t xml:space="preserve">Revenue Impact</w:t>
            </w:r>
          </w:p>
          <w:p>
            <w:pPr>
              <w:spacing w:after="0" w:line="276"/>
            </w:pPr>
            <w:r>
              <w:rPr>
                <w:rFonts w:ascii="Arial" w:cs="Arial" w:eastAsia="Arial" w:hAnsi="Arial"/>
                <w:i/>
                <w:iCs/>
                <w:color w:val="333333"/>
                <w:sz w:val="20"/>
                <w:szCs w:val="20"/>
              </w:rPr>
              <w:t xml:space="preserve">A 10% denial rate on $500 million in annual charges represents $50 million in at-risk revenue. If 65% of denials are never worked, that’s $32.5 million in lost revenue. Reducing the denial rate by just 2 percentage points through IT system improvements can recover $10+ million annually.</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4.6.2 Denial Management Workflow</w:t>
      </w:r>
    </w:p>
    <w:p>
      <w:pPr>
        <w:pStyle w:val="ListParagraph"/>
        <w:numPr>
          <w:ilvl w:val="0"/>
          <w:numId w:val="2"/>
        </w:numPr>
        <w:spacing w:after="80" w:line="276"/>
      </w:pPr>
      <w:r>
        <w:rPr>
          <w:rFonts w:ascii="Arial" w:cs="Arial" w:eastAsia="Arial" w:hAnsi="Arial"/>
          <w:b/>
          <w:bCs/>
          <w:color w:val="333333"/>
          <w:sz w:val="21"/>
          <w:szCs w:val="21"/>
        </w:rPr>
        <w:t xml:space="preserve">Denial Identification: </w:t>
      </w:r>
      <w:r>
        <w:rPr>
          <w:rFonts w:ascii="Arial" w:cs="Arial" w:eastAsia="Arial" w:hAnsi="Arial"/>
          <w:color w:val="333333"/>
          <w:sz w:val="21"/>
          <w:szCs w:val="21"/>
        </w:rPr>
        <w:t xml:space="preserve">835 remittance processing automatically categorizes denials by CARC/RARC codes and routes them to appropriate work queues.</w:t>
      </w:r>
    </w:p>
    <w:p>
      <w:pPr>
        <w:pStyle w:val="ListParagraph"/>
        <w:numPr>
          <w:ilvl w:val="0"/>
          <w:numId w:val="2"/>
        </w:numPr>
        <w:spacing w:after="80" w:line="276"/>
      </w:pPr>
      <w:r>
        <w:rPr>
          <w:rFonts w:ascii="Arial" w:cs="Arial" w:eastAsia="Arial" w:hAnsi="Arial"/>
          <w:b/>
          <w:bCs/>
          <w:color w:val="333333"/>
          <w:sz w:val="21"/>
          <w:szCs w:val="21"/>
        </w:rPr>
        <w:t xml:space="preserve">Root Cause Analysis: </w:t>
      </w:r>
      <w:r>
        <w:rPr>
          <w:rFonts w:ascii="Arial" w:cs="Arial" w:eastAsia="Arial" w:hAnsi="Arial"/>
          <w:color w:val="333333"/>
          <w:sz w:val="21"/>
          <w:szCs w:val="21"/>
        </w:rPr>
        <w:t xml:space="preserve">Denial analysts review the denial reason, compare against original claim data, and identify whether the error was in registration, coding, billing, or authorization.</w:t>
      </w:r>
    </w:p>
    <w:p>
      <w:pPr>
        <w:pStyle w:val="ListParagraph"/>
        <w:numPr>
          <w:ilvl w:val="0"/>
          <w:numId w:val="2"/>
        </w:numPr>
        <w:spacing w:after="80" w:line="276"/>
      </w:pPr>
      <w:r>
        <w:rPr>
          <w:rFonts w:ascii="Arial" w:cs="Arial" w:eastAsia="Arial" w:hAnsi="Arial"/>
          <w:b/>
          <w:bCs/>
          <w:color w:val="333333"/>
          <w:sz w:val="21"/>
          <w:szCs w:val="21"/>
        </w:rPr>
        <w:t xml:space="preserve">Corrective Action: </w:t>
      </w:r>
      <w:r>
        <w:rPr>
          <w:rFonts w:ascii="Arial" w:cs="Arial" w:eastAsia="Arial" w:hAnsi="Arial"/>
          <w:color w:val="333333"/>
          <w:sz w:val="21"/>
          <w:szCs w:val="21"/>
        </w:rPr>
        <w:t xml:space="preserve">If the denial is correctable, staff fix the error (correct code, add modifier, attach documentation) and resubmit the corrected claim.</w:t>
      </w:r>
    </w:p>
    <w:p>
      <w:pPr>
        <w:pStyle w:val="ListParagraph"/>
        <w:numPr>
          <w:ilvl w:val="0"/>
          <w:numId w:val="2"/>
        </w:numPr>
        <w:spacing w:after="80" w:line="276"/>
      </w:pPr>
      <w:r>
        <w:rPr>
          <w:rFonts w:ascii="Arial" w:cs="Arial" w:eastAsia="Arial" w:hAnsi="Arial"/>
          <w:b/>
          <w:bCs/>
          <w:color w:val="333333"/>
          <w:sz w:val="21"/>
          <w:szCs w:val="21"/>
        </w:rPr>
        <w:t xml:space="preserve">Appeal: </w:t>
      </w:r>
      <w:r>
        <w:rPr>
          <w:rFonts w:ascii="Arial" w:cs="Arial" w:eastAsia="Arial" w:hAnsi="Arial"/>
          <w:color w:val="333333"/>
          <w:sz w:val="21"/>
          <w:szCs w:val="21"/>
        </w:rPr>
        <w:t xml:space="preserve">If the denial is disputed, staff file a formal appeal with supporting documentation (clinical records, authorization records, medical necessity justification). Most payers allow 2–3 levels of appeal.</w:t>
      </w:r>
    </w:p>
    <w:p>
      <w:pPr>
        <w:pStyle w:val="ListParagraph"/>
        <w:numPr>
          <w:ilvl w:val="0"/>
          <w:numId w:val="2"/>
        </w:numPr>
        <w:spacing w:after="80" w:line="276"/>
      </w:pPr>
      <w:r>
        <w:rPr>
          <w:rFonts w:ascii="Arial" w:cs="Arial" w:eastAsia="Arial" w:hAnsi="Arial"/>
          <w:b/>
          <w:bCs/>
          <w:color w:val="333333"/>
          <w:sz w:val="21"/>
          <w:szCs w:val="21"/>
        </w:rPr>
        <w:t xml:space="preserve">Trend Analysis: </w:t>
      </w:r>
      <w:r>
        <w:rPr>
          <w:rFonts w:ascii="Arial" w:cs="Arial" w:eastAsia="Arial" w:hAnsi="Arial"/>
          <w:color w:val="333333"/>
          <w:sz w:val="21"/>
          <w:szCs w:val="21"/>
        </w:rPr>
        <w:t xml:space="preserve">Denial management systems track denial trends by category, payer, service line, department, and provider. Trending identifies systemic issues for prevention.</w:t>
      </w:r>
    </w:p>
    <w:p>
      <w:pPr>
        <w:pStyle w:val="ListParagraph"/>
        <w:numPr>
          <w:ilvl w:val="0"/>
          <w:numId w:val="2"/>
        </w:numPr>
        <w:spacing w:after="80" w:line="276"/>
      </w:pPr>
      <w:r>
        <w:rPr>
          <w:rFonts w:ascii="Arial" w:cs="Arial" w:eastAsia="Arial" w:hAnsi="Arial"/>
          <w:b/>
          <w:bCs/>
          <w:color w:val="333333"/>
          <w:sz w:val="21"/>
          <w:szCs w:val="21"/>
        </w:rPr>
        <w:t xml:space="preserve">Prevention: </w:t>
      </w:r>
      <w:r>
        <w:rPr>
          <w:rFonts w:ascii="Arial" w:cs="Arial" w:eastAsia="Arial" w:hAnsi="Arial"/>
          <w:color w:val="333333"/>
          <w:sz w:val="21"/>
          <w:szCs w:val="21"/>
        </w:rPr>
        <w:t xml:space="preserve">Root cause analysis drives upstream fixes: registration training, CDS rule creation, claims edit implementation, authorization process improvement, and provider education.</w:t>
      </w:r>
    </w:p>
    <w:p>
      <w:r>
        <w:br w:type="page"/>
      </w:r>
    </w:p>
    <w:p>
      <w:pPr>
        <w:pStyle w:val="Heading1"/>
        <w:spacing w:before="360" w:after="200"/>
      </w:pPr>
      <w:r>
        <w:rPr>
          <w:rFonts w:ascii="Arial" w:cs="Arial" w:eastAsia="Arial" w:hAnsi="Arial"/>
          <w:b/>
          <w:bCs/>
          <w:color w:val="1B3A5C"/>
          <w:sz w:val="32"/>
          <w:szCs w:val="32"/>
        </w:rPr>
        <w:t xml:space="preserve">5. Reimbursement Models</w:t>
      </w:r>
    </w:p>
    <w:p>
      <w:pPr>
        <w:spacing w:after="160" w:line="276"/>
      </w:pPr>
      <w:r>
        <w:rPr>
          <w:rFonts w:ascii="Arial" w:cs="Arial" w:eastAsia="Arial" w:hAnsi="Arial"/>
          <w:color w:val="333333"/>
          <w:sz w:val="21"/>
          <w:szCs w:val="21"/>
        </w:rPr>
        <w:t xml:space="preserve">How healthcare is paid for fundamentally shapes how IT systems must be designed. The US healthcare system is in a multi-decade transition from fee-for-service to value-based payment, and IT systems must support both models simultaneously.</w:t>
      </w:r>
    </w:p>
    <w:p>
      <w:pPr>
        <w:pStyle w:val="Heading2"/>
        <w:spacing w:before="280" w:after="160"/>
      </w:pPr>
      <w:r>
        <w:rPr>
          <w:rFonts w:ascii="Arial" w:cs="Arial" w:eastAsia="Arial" w:hAnsi="Arial"/>
          <w:b/>
          <w:bCs/>
          <w:color w:val="2E75B6"/>
          <w:sz w:val="26"/>
          <w:szCs w:val="26"/>
        </w:rPr>
        <w:t xml:space="preserve">5.1 Fee-for-Service (FFS)</w:t>
      </w:r>
    </w:p>
    <w:p>
      <w:pPr>
        <w:spacing w:after="160" w:line="276"/>
      </w:pPr>
      <w:r>
        <w:rPr>
          <w:rFonts w:ascii="Arial" w:cs="Arial" w:eastAsia="Arial" w:hAnsi="Arial"/>
          <w:color w:val="333333"/>
          <w:sz w:val="21"/>
          <w:szCs w:val="21"/>
        </w:rPr>
        <w:t xml:space="preserve">The traditional model where providers are paid for each individual service rendered. Payment is based on volume — more services = more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discrete service (visit, procedure, test, supply)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Granular charge capture for every billable event; CPT/HCPCS code accuracy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Contracted rate per CPT/HCPCS code (fee schedule)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Fee schedule maintenance per payer; expected payment calculation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Driver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of services rendered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Productivity tracking, patient volume analytics, scheduling optimization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Incentive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Limited; pay-for-reporting programs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MIPS reporting, quality measure extraction, data submission to CMS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bears volume risk; payer bears cost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forecasting, revenue per encounter analytics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5.2 Bundled Payments</w:t>
      </w:r>
    </w:p>
    <w:p>
      <w:pPr>
        <w:spacing w:after="160" w:line="276"/>
      </w:pPr>
      <w:r>
        <w:rPr>
          <w:rFonts w:ascii="Arial" w:cs="Arial" w:eastAsia="Arial" w:hAnsi="Arial"/>
          <w:color w:val="333333"/>
          <w:sz w:val="21"/>
          <w:szCs w:val="21"/>
        </w:rPr>
        <w:t xml:space="preserve">A single payment covers all services related to a defined episode of care (e.g., total joint replacement including surgery, hospital stay, rehab, and 90-day post-discharge care).</w:t>
      </w:r>
    </w:p>
    <w:p>
      <w:pPr>
        <w:pStyle w:val="ListParagraph"/>
        <w:numPr>
          <w:ilvl w:val="0"/>
          <w:numId w:val="3"/>
        </w:numPr>
        <w:spacing w:after="80" w:line="276"/>
      </w:pPr>
      <w:r>
        <w:rPr>
          <w:rFonts w:ascii="Arial" w:cs="Arial" w:eastAsia="Arial" w:hAnsi="Arial"/>
          <w:b/>
          <w:bCs/>
          <w:color w:val="333333"/>
          <w:sz w:val="21"/>
          <w:szCs w:val="21"/>
        </w:rPr>
        <w:t xml:space="preserve">CMS BPCI Advanced: </w:t>
      </w:r>
      <w:r>
        <w:rPr>
          <w:rFonts w:ascii="Arial" w:cs="Arial" w:eastAsia="Arial" w:hAnsi="Arial"/>
          <w:color w:val="333333"/>
          <w:sz w:val="21"/>
          <w:szCs w:val="21"/>
        </w:rPr>
        <w:t xml:space="preserve">Bundled Payments for Care Improvement Advanced program. Providers accept a target price for an episode; if actual costs are below target, provider keeps the savings; if above, provider pays CMS back.</w:t>
      </w:r>
    </w:p>
    <w:p>
      <w:pPr>
        <w:pStyle w:val="ListParagraph"/>
        <w:numPr>
          <w:ilvl w:val="0"/>
          <w:numId w:val="3"/>
        </w:numPr>
        <w:spacing w:after="80" w:line="276"/>
      </w:pPr>
      <w:r>
        <w:rPr>
          <w:rFonts w:ascii="Arial" w:cs="Arial" w:eastAsia="Arial" w:hAnsi="Arial"/>
          <w:b/>
          <w:bCs/>
          <w:color w:val="333333"/>
          <w:sz w:val="21"/>
          <w:szCs w:val="21"/>
        </w:rPr>
        <w:t xml:space="preserve">Commercial Bundles: </w:t>
      </w:r>
      <w:r>
        <w:rPr>
          <w:rFonts w:ascii="Arial" w:cs="Arial" w:eastAsia="Arial" w:hAnsi="Arial"/>
          <w:color w:val="333333"/>
          <w:sz w:val="21"/>
          <w:szCs w:val="21"/>
        </w:rPr>
        <w:t xml:space="preserve">Payers like Blue Cross and Aetna offer bundled payment arrangements for procedures like hip/knee replacement, bariatric surgery, and cardiac care.</w:t>
      </w:r>
    </w:p>
    <w:p>
      <w:pPr>
        <w:spacing w:after="160" w:line="276"/>
      </w:pPr>
      <w:r>
        <w:rPr>
          <w:rFonts w:ascii="Arial" w:cs="Arial" w:eastAsia="Arial" w:hAnsi="Arial"/>
          <w:b/>
          <w:bCs/>
          <w:color w:val="333333"/>
          <w:sz w:val="21"/>
          <w:szCs w:val="21"/>
        </w:rPr>
        <w:t xml:space="preserve">IT Requirements: </w:t>
      </w:r>
      <w:r>
        <w:rPr>
          <w:rFonts w:ascii="Arial" w:cs="Arial" w:eastAsia="Arial" w:hAnsi="Arial"/>
          <w:color w:val="333333"/>
          <w:sz w:val="21"/>
          <w:szCs w:val="21"/>
        </w:rPr>
        <w:t xml:space="preserve">Episode definition and tracking systems, cost accounting by episode, leakage monitoring (services provided outside the bundle), gainsharing calculations, and post-acute care tracking across facilities. Analytics must attribute all costs to the triggering episode across care settings.</w:t>
      </w:r>
    </w:p>
    <w:p>
      <w:pPr>
        <w:pStyle w:val="Heading2"/>
        <w:spacing w:before="280" w:after="160"/>
      </w:pPr>
      <w:r>
        <w:rPr>
          <w:rFonts w:ascii="Arial" w:cs="Arial" w:eastAsia="Arial" w:hAnsi="Arial"/>
          <w:b/>
          <w:bCs/>
          <w:color w:val="2E75B6"/>
          <w:sz w:val="26"/>
          <w:szCs w:val="26"/>
        </w:rPr>
        <w:t xml:space="preserve">5.3 Capitation</w:t>
      </w:r>
    </w:p>
    <w:p>
      <w:pPr>
        <w:spacing w:after="160" w:line="276"/>
      </w:pPr>
      <w:r>
        <w:rPr>
          <w:rFonts w:ascii="Arial" w:cs="Arial" w:eastAsia="Arial" w:hAnsi="Arial"/>
          <w:color w:val="333333"/>
          <w:sz w:val="21"/>
          <w:szCs w:val="21"/>
        </w:rPr>
        <w:t xml:space="preserve">A fixed per-member-per-month (PMPM) payment to the provider regardless of services rendered. The provider assumes financial risk for the total cost of care for the attributed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Capitation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Capitation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receives full PMPM for all services (medical, pharmacy, behavioral health)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cost of care tracking, utilization management, risk stratification, actuarial modeling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Professional Capitation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PMPM covers only professional/physician services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Professional cost tracking, referral management, specialty leakage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Sub-Capitation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group sub-capitates to specialists at a negotiated PMPM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Sub-capitation payment processing, specialist utilization tracking</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Capitation fundamentally changes IT requirements. Instead of maximizing charge capture, systems must minimize unnecessary utilization, optimize preventive care, close care gaps, and manage population health. Membership file management, attribution accuracy, actuarial analytics, and risk-adjusted payment reconciliation are critical IT functions.</w:t>
      </w:r>
    </w:p>
    <w:p>
      <w:pPr>
        <w:pStyle w:val="Heading2"/>
        <w:spacing w:before="280" w:after="160"/>
      </w:pPr>
      <w:r>
        <w:rPr>
          <w:rFonts w:ascii="Arial" w:cs="Arial" w:eastAsia="Arial" w:hAnsi="Arial"/>
          <w:b/>
          <w:bCs/>
          <w:color w:val="2E75B6"/>
          <w:sz w:val="26"/>
          <w:szCs w:val="26"/>
        </w:rPr>
        <w:t xml:space="preserve">5.4 Value-Based Care (VBC)</w:t>
      </w:r>
    </w:p>
    <w:p>
      <w:pPr>
        <w:spacing w:after="160" w:line="276"/>
      </w:pPr>
      <w:r>
        <w:rPr>
          <w:rFonts w:ascii="Arial" w:cs="Arial" w:eastAsia="Arial" w:hAnsi="Arial"/>
          <w:color w:val="333333"/>
          <w:sz w:val="21"/>
          <w:szCs w:val="21"/>
        </w:rPr>
        <w:t xml:space="preserve">Value-based care models tie payment to quality outcomes and cost efficiency rather than volume. VBC exists on a spectrum from pay-for-reporting to full financial risk.</w:t>
      </w:r>
    </w:p>
    <w:p>
      <w:pPr>
        <w:pStyle w:val="Heading3"/>
        <w:spacing w:before="200" w:after="120"/>
      </w:pPr>
      <w:r>
        <w:rPr>
          <w:rFonts w:ascii="Arial" w:cs="Arial" w:eastAsia="Arial" w:hAnsi="Arial"/>
          <w:b/>
          <w:bCs/>
          <w:color w:val="1B3A5C"/>
          <w:sz w:val="22"/>
          <w:szCs w:val="22"/>
        </w:rPr>
        <w:t xml:space="preserve">5.4.1 The VBC Continuum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Financial Risk</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Pay-for-Reporting (MIPS)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quality measures; payment adjustment based on performance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 (penalty up to -9%)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eCQM extraction, MIPS dashboard, quality measure tracking, Promoting Interoperability reporting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Pay-for-Performance (P4P)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Bonus payments for meeting quality targets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 to moderate (upside only)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measure calculation, performance dashboards, payer P4P program tracking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Savings (MSSP)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ACO model; share savings if costs below target while meeting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(upside; optional downside)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cost of care analytics, attribution management, claims data analysis, quality reporting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Shared Risk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Provider shares in both savings AND losses relative to cost 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(upside and downside)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Actuarial modeling, risk-adjusted benchmarking, financial forecasting, utilization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Full/Global Risk (Capitation)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Provider receives fixed PMPM and manages total cost of care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Population health platform, care management, risk stratification, network management, pharmacy management</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5.4.2 Quality Measures in VBC</w:t>
      </w:r>
    </w:p>
    <w:p>
      <w:pPr>
        <w:spacing w:after="160" w:line="276"/>
      </w:pPr>
      <w:r>
        <w:rPr>
          <w:rFonts w:ascii="Arial" w:cs="Arial" w:eastAsia="Arial" w:hAnsi="Arial"/>
          <w:color w:val="333333"/>
          <w:sz w:val="21"/>
          <w:szCs w:val="21"/>
        </w:rPr>
        <w:t xml:space="preserve">Value-based programs require measurement and reporting of clinical quality, patient experience, and resource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39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Extraction Method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 Measures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Breast cancer screening rate, statin therapy for CVD, A1c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clinical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eCQM (CQL logic) extraction from EHR, quality measure engine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Outcome Measures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30-day readmission rate, mortality rate, patient-reported outcomes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data + EHR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analysis, risk-adjusted modeling, patient survey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Experience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HCAHPS survey scores (communication, responsiveness,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surveys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Survey vendor integration, real-time patient feedback platforms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Cost/Utilization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Total cost of care, ED utilization, imaging utilization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data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data warehouse, actuarial analytics, utilization trending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Structural Measures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adoption, care management staffing, after-hours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Attestation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Promoting Interoperability attestation, organizational self-assessment</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6. Chargemaster / CDM Management</w:t>
      </w:r>
    </w:p>
    <w:p>
      <w:pPr>
        <w:spacing w:after="160" w:line="276"/>
      </w:pPr>
      <w:r>
        <w:rPr>
          <w:rFonts w:ascii="Arial" w:cs="Arial" w:eastAsia="Arial" w:hAnsi="Arial"/>
          <w:color w:val="333333"/>
          <w:sz w:val="21"/>
          <w:szCs w:val="21"/>
        </w:rPr>
        <w:t xml:space="preserve">The Chargemaster (also called the Charge Description Master or CDM) is the master price list for every billable service, supply, drug, and procedure in a healthcare organization. It is one of the most critical data files in healthcare IT — and one of the most frequently mismanaged.</w:t>
      </w:r>
    </w:p>
    <w:p>
      <w:pPr>
        <w:pStyle w:val="Heading2"/>
        <w:spacing w:before="280" w:after="160"/>
      </w:pPr>
      <w:r>
        <w:rPr>
          <w:rFonts w:ascii="Arial" w:cs="Arial" w:eastAsia="Arial" w:hAnsi="Arial"/>
          <w:b/>
          <w:bCs/>
          <w:color w:val="2E75B6"/>
          <w:sz w:val="26"/>
          <w:szCs w:val="26"/>
        </w:rPr>
        <w:t xml:space="preserve">6.1 CDM Structure &amp;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CDM Field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Governance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CDM Item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unique identifier for the charge item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Sequential numbering; cross-referenced in EHR, CPOE, supply chain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 description of the service/item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be clinically meaningful; drives charge capture accuracy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3-digit UB-04 revenue center 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837I claims; must align with department and service type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CPT/HCPCS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Procedure/service code for billing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be current valid code; annual CPT update requires full CDM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 Amount (Price)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Dollar amount charged for the item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reflect reasonable relationship to cost; CMS transparency requirements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General Ledger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Maps charge to financial accounting structure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recognition, cost center reporting, departmental P&amp;L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Modifier Defaults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modifiers applied to the charge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Modifier logic for TC/26, bilateral, multiple procedures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Active/Inactive 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Whether item is currently in use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Inactive items should not be selectable in order entry; historical claims may reference inactive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Effective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item became active or was last updated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control for price changes and code updates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Department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department or cost center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attribution, departmental benchmarking</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6.2 CDM Maintenance &amp; Compliance</w:t>
      </w:r>
    </w:p>
    <w:p>
      <w:pPr>
        <w:pStyle w:val="Heading3"/>
        <w:spacing w:before="200" w:after="120"/>
      </w:pPr>
      <w:r>
        <w:rPr>
          <w:rFonts w:ascii="Arial" w:cs="Arial" w:eastAsia="Arial" w:hAnsi="Arial"/>
          <w:b/>
          <w:bCs/>
          <w:color w:val="1B3A5C"/>
          <w:sz w:val="22"/>
          <w:szCs w:val="22"/>
        </w:rPr>
        <w:t xml:space="preserve">6.2.1 Annual Update Process</w:t>
      </w:r>
    </w:p>
    <w:p>
      <w:pPr>
        <w:pStyle w:val="ListParagraph"/>
        <w:numPr>
          <w:ilvl w:val="0"/>
          <w:numId w:val="2"/>
        </w:numPr>
        <w:spacing w:after="80" w:line="276"/>
      </w:pPr>
      <w:r>
        <w:rPr>
          <w:rFonts w:ascii="Arial" w:cs="Arial" w:eastAsia="Arial" w:hAnsi="Arial"/>
          <w:b/>
          <w:bCs/>
          <w:color w:val="333333"/>
          <w:sz w:val="21"/>
          <w:szCs w:val="21"/>
        </w:rPr>
        <w:t xml:space="preserve">CPT/HCPCS Code Updates (Jan 1): </w:t>
      </w:r>
      <w:r>
        <w:rPr>
          <w:rFonts w:ascii="Arial" w:cs="Arial" w:eastAsia="Arial" w:hAnsi="Arial"/>
          <w:color w:val="333333"/>
          <w:sz w:val="21"/>
          <w:szCs w:val="21"/>
        </w:rPr>
        <w:t xml:space="preserve">Review all new, deleted, and revised CPT and HCPCS codes. Add new CDM items for new codes. Inactivate items with deleted codes. Update descriptions for revised codes.</w:t>
      </w:r>
    </w:p>
    <w:p>
      <w:pPr>
        <w:pStyle w:val="ListParagraph"/>
        <w:numPr>
          <w:ilvl w:val="0"/>
          <w:numId w:val="2"/>
        </w:numPr>
        <w:spacing w:after="80" w:line="276"/>
      </w:pPr>
      <w:r>
        <w:rPr>
          <w:rFonts w:ascii="Arial" w:cs="Arial" w:eastAsia="Arial" w:hAnsi="Arial"/>
          <w:b/>
          <w:bCs/>
          <w:color w:val="333333"/>
          <w:sz w:val="21"/>
          <w:szCs w:val="21"/>
        </w:rPr>
        <w:t xml:space="preserve">ICD-10 Code Updates (Oct 1): </w:t>
      </w:r>
      <w:r>
        <w:rPr>
          <w:rFonts w:ascii="Arial" w:cs="Arial" w:eastAsia="Arial" w:hAnsi="Arial"/>
          <w:color w:val="333333"/>
          <w:sz w:val="21"/>
          <w:szCs w:val="21"/>
        </w:rPr>
        <w:t xml:space="preserve">While ICD codes are not in the CDM directly, code updates may affect medical necessity edits, bundling rules, and DRG/APC assignments linked to CDM items.</w:t>
      </w:r>
    </w:p>
    <w:p>
      <w:pPr>
        <w:pStyle w:val="ListParagraph"/>
        <w:numPr>
          <w:ilvl w:val="0"/>
          <w:numId w:val="2"/>
        </w:numPr>
        <w:spacing w:after="80" w:line="276"/>
      </w:pPr>
      <w:r>
        <w:rPr>
          <w:rFonts w:ascii="Arial" w:cs="Arial" w:eastAsia="Arial" w:hAnsi="Arial"/>
          <w:b/>
          <w:bCs/>
          <w:color w:val="333333"/>
          <w:sz w:val="21"/>
          <w:szCs w:val="21"/>
        </w:rPr>
        <w:t xml:space="preserve">Revenue Code Validation: </w:t>
      </w:r>
      <w:r>
        <w:rPr>
          <w:rFonts w:ascii="Arial" w:cs="Arial" w:eastAsia="Arial" w:hAnsi="Arial"/>
          <w:color w:val="333333"/>
          <w:sz w:val="21"/>
          <w:szCs w:val="21"/>
        </w:rPr>
        <w:t xml:space="preserve">Ensure revenue codes align with current CMS requirements and correctly classify services.</w:t>
      </w:r>
    </w:p>
    <w:p>
      <w:pPr>
        <w:pStyle w:val="ListParagraph"/>
        <w:numPr>
          <w:ilvl w:val="0"/>
          <w:numId w:val="2"/>
        </w:numPr>
        <w:spacing w:after="80" w:line="276"/>
      </w:pPr>
      <w:r>
        <w:rPr>
          <w:rFonts w:ascii="Arial" w:cs="Arial" w:eastAsia="Arial" w:hAnsi="Arial"/>
          <w:b/>
          <w:bCs/>
          <w:color w:val="333333"/>
          <w:sz w:val="21"/>
          <w:szCs w:val="21"/>
        </w:rPr>
        <w:t xml:space="preserve">Price Review: </w:t>
      </w:r>
      <w:r>
        <w:rPr>
          <w:rFonts w:ascii="Arial" w:cs="Arial" w:eastAsia="Arial" w:hAnsi="Arial"/>
          <w:color w:val="333333"/>
          <w:sz w:val="21"/>
          <w:szCs w:val="21"/>
        </w:rPr>
        <w:t xml:space="preserve">Annual pricing review ensures charges are reasonable, consistent, and compliant. CMS Hospital Price Transparency Rule requires publication of standard charges.</w:t>
      </w:r>
    </w:p>
    <w:p>
      <w:pPr>
        <w:pStyle w:val="ListParagraph"/>
        <w:numPr>
          <w:ilvl w:val="0"/>
          <w:numId w:val="2"/>
        </w:numPr>
        <w:spacing w:after="80" w:line="276"/>
      </w:pPr>
      <w:r>
        <w:rPr>
          <w:rFonts w:ascii="Arial" w:cs="Arial" w:eastAsia="Arial" w:hAnsi="Arial"/>
          <w:b/>
          <w:bCs/>
          <w:color w:val="333333"/>
          <w:sz w:val="21"/>
          <w:szCs w:val="21"/>
        </w:rPr>
        <w:t xml:space="preserve">Compliance Audit: </w:t>
      </w:r>
      <w:r>
        <w:rPr>
          <w:rFonts w:ascii="Arial" w:cs="Arial" w:eastAsia="Arial" w:hAnsi="Arial"/>
          <w:color w:val="333333"/>
          <w:sz w:val="21"/>
          <w:szCs w:val="21"/>
        </w:rPr>
        <w:t xml:space="preserve">External CDM review by compliance consultants identifies unbundling risks, incorrect code assignments, pricing anomalies, and revenue leakage opportunities.</w:t>
      </w:r>
    </w:p>
    <w:p>
      <w:pPr>
        <w:pStyle w:val="Heading3"/>
        <w:spacing w:before="200" w:after="120"/>
      </w:pPr>
      <w:r>
        <w:rPr>
          <w:rFonts w:ascii="Arial" w:cs="Arial" w:eastAsia="Arial" w:hAnsi="Arial"/>
          <w:b/>
          <w:bCs/>
          <w:color w:val="1B3A5C"/>
          <w:sz w:val="22"/>
          <w:szCs w:val="22"/>
        </w:rPr>
        <w:t xml:space="preserve">6.2.2 CMS Price Transparency</w:t>
      </w:r>
    </w:p>
    <w:p>
      <w:pPr>
        <w:spacing w:after="160" w:line="276"/>
      </w:pPr>
      <w:r>
        <w:rPr>
          <w:rFonts w:ascii="Arial" w:cs="Arial" w:eastAsia="Arial" w:hAnsi="Arial"/>
          <w:color w:val="333333"/>
          <w:sz w:val="21"/>
          <w:szCs w:val="21"/>
        </w:rPr>
        <w:t xml:space="preserve">CMS requires hospitals to publish a machine-readable file of all standard charges (for all items and services) and a consumer-friendly list of 300 shoppable services. This data is derived directly from the CDM.</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IT systems must generate machine-readable price transparency files (JSON or CSV format per CMS specification), including CDM items mapped to gross charges, discounted cash prices, and payer-specific negotiated rates. Files must be updated annually and posted to the hospital website. Non-compliance penalties can reach $300+ per day per hospital.</w:t>
      </w:r>
    </w:p>
    <w:p>
      <w:pPr>
        <w:pStyle w:val="Heading2"/>
        <w:spacing w:before="280" w:after="160"/>
      </w:pPr>
      <w:r>
        <w:rPr>
          <w:rFonts w:ascii="Arial" w:cs="Arial" w:eastAsia="Arial" w:hAnsi="Arial"/>
          <w:b/>
          <w:bCs/>
          <w:color w:val="2E75B6"/>
          <w:sz w:val="26"/>
          <w:szCs w:val="26"/>
        </w:rPr>
        <w:t xml:space="preserve">6.3 CDM IT Architecture</w:t>
      </w:r>
    </w:p>
    <w:p>
      <w:pPr>
        <w:pStyle w:val="ListParagraph"/>
        <w:numPr>
          <w:ilvl w:val="0"/>
          <w:numId w:val="3"/>
        </w:numPr>
        <w:spacing w:after="80" w:line="276"/>
      </w:pPr>
      <w:r>
        <w:rPr>
          <w:rFonts w:ascii="Arial" w:cs="Arial" w:eastAsia="Arial" w:hAnsi="Arial"/>
          <w:b/>
          <w:bCs/>
          <w:color w:val="333333"/>
          <w:sz w:val="21"/>
          <w:szCs w:val="21"/>
        </w:rPr>
        <w:t xml:space="preserve">CDM as Master File: </w:t>
      </w:r>
      <w:r>
        <w:rPr>
          <w:rFonts w:ascii="Arial" w:cs="Arial" w:eastAsia="Arial" w:hAnsi="Arial"/>
          <w:color w:val="333333"/>
          <w:sz w:val="21"/>
          <w:szCs w:val="21"/>
        </w:rPr>
        <w:t xml:space="preserve">The CDM is typically maintained in the hospital’s billing system or EHR (Epic Resolute, Oracle Health RevElate) and serves as the master reference for all charge-generating systems.</w:t>
      </w:r>
    </w:p>
    <w:p>
      <w:pPr>
        <w:pStyle w:val="ListParagraph"/>
        <w:numPr>
          <w:ilvl w:val="0"/>
          <w:numId w:val="3"/>
        </w:numPr>
        <w:spacing w:after="80" w:line="276"/>
      </w:pPr>
      <w:r>
        <w:rPr>
          <w:rFonts w:ascii="Arial" w:cs="Arial" w:eastAsia="Arial" w:hAnsi="Arial"/>
          <w:b/>
          <w:bCs/>
          <w:color w:val="333333"/>
          <w:sz w:val="21"/>
          <w:szCs w:val="21"/>
        </w:rPr>
        <w:t xml:space="preserve">EHR Integration: </w:t>
      </w:r>
      <w:r>
        <w:rPr>
          <w:rFonts w:ascii="Arial" w:cs="Arial" w:eastAsia="Arial" w:hAnsi="Arial"/>
          <w:color w:val="333333"/>
          <w:sz w:val="21"/>
          <w:szCs w:val="21"/>
        </w:rPr>
        <w:t xml:space="preserve">CPOE orders reference CDM items to generate charges. Supply chain scanning systems reference CDM items for implant and supply charges. Pharmacy systems reference CDM items for medication charges.</w:t>
      </w:r>
    </w:p>
    <w:p>
      <w:pPr>
        <w:pStyle w:val="ListParagraph"/>
        <w:numPr>
          <w:ilvl w:val="0"/>
          <w:numId w:val="3"/>
        </w:numPr>
        <w:spacing w:after="80" w:line="276"/>
      </w:pPr>
      <w:r>
        <w:rPr>
          <w:rFonts w:ascii="Arial" w:cs="Arial" w:eastAsia="Arial" w:hAnsi="Arial"/>
          <w:b/>
          <w:bCs/>
          <w:color w:val="333333"/>
          <w:sz w:val="21"/>
          <w:szCs w:val="21"/>
        </w:rPr>
        <w:t xml:space="preserve">CDM Governance Committee: </w:t>
      </w:r>
      <w:r>
        <w:rPr>
          <w:rFonts w:ascii="Arial" w:cs="Arial" w:eastAsia="Arial" w:hAnsi="Arial"/>
          <w:color w:val="333333"/>
          <w:sz w:val="21"/>
          <w:szCs w:val="21"/>
        </w:rPr>
        <w:t xml:space="preserve">Cross-functional team (revenue integrity, HIM coding, compliance, finance, clinical departments) that governs CDM changes. IT systems must support change request workflows, approval routing, and audit trails for CDM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E67E22"/>
                <w:sz w:val="21"/>
                <w:szCs w:val="21"/>
              </w:rPr>
              <w:t xml:space="preserve">Common IT Pitfall</w:t>
            </w:r>
          </w:p>
          <w:p>
            <w:pPr>
              <w:spacing w:after="0" w:line="276"/>
            </w:pPr>
            <w:r>
              <w:rPr>
                <w:rFonts w:ascii="Arial" w:cs="Arial" w:eastAsia="Arial" w:hAnsi="Arial"/>
                <w:i/>
                <w:iCs/>
                <w:color w:val="333333"/>
                <w:sz w:val="20"/>
                <w:szCs w:val="20"/>
              </w:rPr>
              <w:t xml:space="preserve">CDM errors silently drain revenue or create compliance risk. A single CPT code mapped incorrectly in the CDM can affect thousands of claims before detection. For example, if a high-volume lab test is mapped to an incorrect CPT code that reimburses $10 less per test, a lab performing 50,000 tests/year loses $500,000 in revenue. Regular CDM audits and automated validation rules are essential.</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7. Patient Financial Responsibility</w:t>
      </w:r>
    </w:p>
    <w:p>
      <w:pPr>
        <w:spacing w:after="160" w:line="276"/>
      </w:pPr>
      <w:r>
        <w:rPr>
          <w:rFonts w:ascii="Arial" w:cs="Arial" w:eastAsia="Arial" w:hAnsi="Arial"/>
          <w:color w:val="333333"/>
          <w:sz w:val="21"/>
          <w:szCs w:val="21"/>
        </w:rPr>
        <w:t xml:space="preserve">Patient out-of-pocket costs have risen dramatically over the past two decades, making patient collections a critical component of revenue cycle management. Understanding patient financial responsibility structures is essential for IT professionals building billing, estimation, and payment systems.</w:t>
      </w:r>
    </w:p>
    <w:p>
      <w:pPr>
        <w:pStyle w:val="Heading2"/>
        <w:spacing w:before="280" w:after="160"/>
      </w:pPr>
      <w:r>
        <w:rPr>
          <w:rFonts w:ascii="Arial" w:cs="Arial" w:eastAsia="Arial" w:hAnsi="Arial"/>
          <w:b/>
          <w:bCs/>
          <w:color w:val="2E75B6"/>
          <w:sz w:val="26"/>
          <w:szCs w:val="26"/>
        </w:rPr>
        <w:t xml:space="preserve">7.1 Cost-Sharing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Requirements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payment for insurance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$500/month for family plan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collected by providers; managed by payer/employer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Deductible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Amount patient must pay before insurance begins paying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$2,000 annual deductible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Real-time deductible accumulator tracking (270/271); patient estimator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Fixed dollar amount per visit/service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office visit copay, $250 ED copay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Copay collection at check-in; copay schedule by plan type; copay waiver documentation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Coinsurance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Percentage of allowed amount patient pays after deductible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 coinsurance on surgery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Allowed amount calculation, coinsurance percentage by service category, accumulator 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Out-of-Pocket Maximum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cap on patient’s total cost-sharing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$8,550 individual OOP max (2024 ACA limit)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OOP accumulator tracking; when max reached, insurance pays 100%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Balance Billing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Billing patient for difference between charge and allowed amount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Prohibited for in-network; limited by No Surprises Act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Network status validation, balance billing prohibition enforcement</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7.2 Prior Authorization</w:t>
      </w:r>
    </w:p>
    <w:p>
      <w:pPr>
        <w:spacing w:after="160" w:line="276"/>
      </w:pPr>
      <w:r>
        <w:rPr>
          <w:rFonts w:ascii="Arial" w:cs="Arial" w:eastAsia="Arial" w:hAnsi="Arial"/>
          <w:color w:val="333333"/>
          <w:sz w:val="21"/>
          <w:szCs w:val="21"/>
        </w:rPr>
        <w:t xml:space="preserve">Prior authorization (prior auth / pre-certification) is the process of obtaining payer approval before delivering certain services. It is one of the most administratively burdensome processes in healthcare and a major source of claim denials.</w:t>
      </w:r>
    </w:p>
    <w:p>
      <w:pPr>
        <w:pStyle w:val="Heading3"/>
        <w:spacing w:before="200" w:after="120"/>
      </w:pPr>
      <w:r>
        <w:rPr>
          <w:rFonts w:ascii="Arial" w:cs="Arial" w:eastAsia="Arial" w:hAnsi="Arial"/>
          <w:b/>
          <w:bCs/>
          <w:color w:val="1B3A5C"/>
          <w:sz w:val="22"/>
          <w:szCs w:val="22"/>
        </w:rPr>
        <w:t xml:space="preserve">7.2.1 Services Commonly Requiring Prior Auth</w:t>
      </w:r>
    </w:p>
    <w:p>
      <w:pPr>
        <w:pStyle w:val="ListParagraph"/>
        <w:numPr>
          <w:ilvl w:val="0"/>
          <w:numId w:val="3"/>
        </w:numPr>
        <w:spacing w:after="80" w:line="276"/>
      </w:pPr>
      <w:r>
        <w:rPr>
          <w:rFonts w:ascii="Arial" w:cs="Arial" w:eastAsia="Arial" w:hAnsi="Arial"/>
          <w:color w:val="333333"/>
          <w:sz w:val="21"/>
          <w:szCs w:val="21"/>
        </w:rPr>
        <w:t xml:space="preserve">Advanced imaging (MRI, CT, PET)</w:t>
      </w:r>
    </w:p>
    <w:p>
      <w:pPr>
        <w:pStyle w:val="ListParagraph"/>
        <w:numPr>
          <w:ilvl w:val="0"/>
          <w:numId w:val="3"/>
        </w:numPr>
        <w:spacing w:after="80" w:line="276"/>
      </w:pPr>
      <w:r>
        <w:rPr>
          <w:rFonts w:ascii="Arial" w:cs="Arial" w:eastAsia="Arial" w:hAnsi="Arial"/>
          <w:color w:val="333333"/>
          <w:sz w:val="21"/>
          <w:szCs w:val="21"/>
        </w:rPr>
        <w:t xml:space="preserve">Surgical procedures (elective and many urgent)</w:t>
      </w:r>
    </w:p>
    <w:p>
      <w:pPr>
        <w:pStyle w:val="ListParagraph"/>
        <w:numPr>
          <w:ilvl w:val="0"/>
          <w:numId w:val="3"/>
        </w:numPr>
        <w:spacing w:after="80" w:line="276"/>
      </w:pPr>
      <w:r>
        <w:rPr>
          <w:rFonts w:ascii="Arial" w:cs="Arial" w:eastAsia="Arial" w:hAnsi="Arial"/>
          <w:color w:val="333333"/>
          <w:sz w:val="21"/>
          <w:szCs w:val="21"/>
        </w:rPr>
        <w:t xml:space="preserve">Specialty medications (biologics, oncology drugs, specialty pharmacy)</w:t>
      </w:r>
    </w:p>
    <w:p>
      <w:pPr>
        <w:pStyle w:val="ListParagraph"/>
        <w:numPr>
          <w:ilvl w:val="0"/>
          <w:numId w:val="3"/>
        </w:numPr>
        <w:spacing w:after="80" w:line="276"/>
      </w:pPr>
      <w:r>
        <w:rPr>
          <w:rFonts w:ascii="Arial" w:cs="Arial" w:eastAsia="Arial" w:hAnsi="Arial"/>
          <w:color w:val="333333"/>
          <w:sz w:val="21"/>
          <w:szCs w:val="21"/>
        </w:rPr>
        <w:t xml:space="preserve">Durable medical equipment (wheelchairs, CPAP, prosthetics)</w:t>
      </w:r>
    </w:p>
    <w:p>
      <w:pPr>
        <w:pStyle w:val="ListParagraph"/>
        <w:numPr>
          <w:ilvl w:val="0"/>
          <w:numId w:val="3"/>
        </w:numPr>
        <w:spacing w:after="80" w:line="276"/>
      </w:pPr>
      <w:r>
        <w:rPr>
          <w:rFonts w:ascii="Arial" w:cs="Arial" w:eastAsia="Arial" w:hAnsi="Arial"/>
          <w:color w:val="333333"/>
          <w:sz w:val="21"/>
          <w:szCs w:val="21"/>
        </w:rPr>
        <w:t xml:space="preserve">Inpatient admissions (retrospective review for emergency admissions)</w:t>
      </w:r>
    </w:p>
    <w:p>
      <w:pPr>
        <w:pStyle w:val="ListParagraph"/>
        <w:numPr>
          <w:ilvl w:val="0"/>
          <w:numId w:val="3"/>
        </w:numPr>
        <w:spacing w:after="80" w:line="276"/>
      </w:pPr>
      <w:r>
        <w:rPr>
          <w:rFonts w:ascii="Arial" w:cs="Arial" w:eastAsia="Arial" w:hAnsi="Arial"/>
          <w:color w:val="333333"/>
          <w:sz w:val="21"/>
          <w:szCs w:val="21"/>
        </w:rPr>
        <w:t xml:space="preserve">Behavioral health services (inpatient and residential)</w:t>
      </w:r>
    </w:p>
    <w:p>
      <w:pPr>
        <w:pStyle w:val="ListParagraph"/>
        <w:numPr>
          <w:ilvl w:val="0"/>
          <w:numId w:val="3"/>
        </w:numPr>
        <w:spacing w:after="80" w:line="276"/>
      </w:pPr>
      <w:r>
        <w:rPr>
          <w:rFonts w:ascii="Arial" w:cs="Arial" w:eastAsia="Arial" w:hAnsi="Arial"/>
          <w:color w:val="333333"/>
          <w:sz w:val="21"/>
          <w:szCs w:val="21"/>
        </w:rPr>
        <w:t xml:space="preserve">Home health and post-acute care services</w:t>
      </w:r>
    </w:p>
    <w:p>
      <w:pPr>
        <w:pStyle w:val="ListParagraph"/>
        <w:numPr>
          <w:ilvl w:val="0"/>
          <w:numId w:val="3"/>
        </w:numPr>
        <w:spacing w:after="80" w:line="276"/>
      </w:pPr>
      <w:r>
        <w:rPr>
          <w:rFonts w:ascii="Arial" w:cs="Arial" w:eastAsia="Arial" w:hAnsi="Arial"/>
          <w:color w:val="333333"/>
          <w:sz w:val="21"/>
          <w:szCs w:val="21"/>
        </w:rPr>
        <w:t xml:space="preserve">Genetic testing and advanced diagnostics</w:t>
      </w:r>
    </w:p>
    <w:p>
      <w:pPr>
        <w:pStyle w:val="Heading3"/>
        <w:spacing w:before="200" w:after="120"/>
      </w:pPr>
      <w:r>
        <w:rPr>
          <w:rFonts w:ascii="Arial" w:cs="Arial" w:eastAsia="Arial" w:hAnsi="Arial"/>
          <w:b/>
          <w:bCs/>
          <w:color w:val="1B3A5C"/>
          <w:sz w:val="22"/>
          <w:szCs w:val="22"/>
        </w:rPr>
        <w:t xml:space="preserve">7.2.2 Prior Auth IT Workflow</w:t>
      </w:r>
    </w:p>
    <w:p>
      <w:pPr>
        <w:pStyle w:val="ListParagraph"/>
        <w:numPr>
          <w:ilvl w:val="0"/>
          <w:numId w:val="2"/>
        </w:numPr>
        <w:spacing w:after="80" w:line="276"/>
      </w:pPr>
      <w:r>
        <w:rPr>
          <w:rFonts w:ascii="Arial" w:cs="Arial" w:eastAsia="Arial" w:hAnsi="Arial"/>
          <w:b/>
          <w:bCs/>
          <w:color w:val="333333"/>
          <w:sz w:val="21"/>
          <w:szCs w:val="21"/>
        </w:rPr>
        <w:t xml:space="preserve">Authorization Request: </w:t>
      </w:r>
      <w:r>
        <w:rPr>
          <w:rFonts w:ascii="Arial" w:cs="Arial" w:eastAsia="Arial" w:hAnsi="Arial"/>
          <w:color w:val="333333"/>
          <w:sz w:val="21"/>
          <w:szCs w:val="21"/>
        </w:rPr>
        <w:t xml:space="preserve">Clinical staff submits request with clinical documentation to payer. Methods: phone/fax (legacy), electronic 278 transaction, payer portal, or FHIR-based Prior Auth API (Da Vinci PAS Implementation Guide).</w:t>
      </w:r>
    </w:p>
    <w:p>
      <w:pPr>
        <w:pStyle w:val="ListParagraph"/>
        <w:numPr>
          <w:ilvl w:val="0"/>
          <w:numId w:val="2"/>
        </w:numPr>
        <w:spacing w:after="80" w:line="276"/>
      </w:pPr>
      <w:r>
        <w:rPr>
          <w:rFonts w:ascii="Arial" w:cs="Arial" w:eastAsia="Arial" w:hAnsi="Arial"/>
          <w:b/>
          <w:bCs/>
          <w:color w:val="333333"/>
          <w:sz w:val="21"/>
          <w:szCs w:val="21"/>
        </w:rPr>
        <w:t xml:space="preserve">Payer Review: </w:t>
      </w:r>
      <w:r>
        <w:rPr>
          <w:rFonts w:ascii="Arial" w:cs="Arial" w:eastAsia="Arial" w:hAnsi="Arial"/>
          <w:color w:val="333333"/>
          <w:sz w:val="21"/>
          <w:szCs w:val="21"/>
        </w:rPr>
        <w:t xml:space="preserve">Payer evaluates request against clinical criteria (InterQual, MCG/Milliman). Decision: approved, denied, pended for peer review, or modified.</w:t>
      </w:r>
    </w:p>
    <w:p>
      <w:pPr>
        <w:pStyle w:val="ListParagraph"/>
        <w:numPr>
          <w:ilvl w:val="0"/>
          <w:numId w:val="2"/>
        </w:numPr>
        <w:spacing w:after="80" w:line="276"/>
      </w:pPr>
      <w:r>
        <w:rPr>
          <w:rFonts w:ascii="Arial" w:cs="Arial" w:eastAsia="Arial" w:hAnsi="Arial"/>
          <w:b/>
          <w:bCs/>
          <w:color w:val="333333"/>
          <w:sz w:val="21"/>
          <w:szCs w:val="21"/>
        </w:rPr>
        <w:t xml:space="preserve">Authorization Tracking: </w:t>
      </w:r>
      <w:r>
        <w:rPr>
          <w:rFonts w:ascii="Arial" w:cs="Arial" w:eastAsia="Arial" w:hAnsi="Arial"/>
          <w:color w:val="333333"/>
          <w:sz w:val="21"/>
          <w:szCs w:val="21"/>
        </w:rPr>
        <w:t xml:space="preserve">Approved authorization captured in EHR with: auth number, approved services, approved units/visits, effective dates, and expiration date.</w:t>
      </w:r>
    </w:p>
    <w:p>
      <w:pPr>
        <w:pStyle w:val="ListParagraph"/>
        <w:numPr>
          <w:ilvl w:val="0"/>
          <w:numId w:val="2"/>
        </w:numPr>
        <w:spacing w:after="80" w:line="276"/>
      </w:pPr>
      <w:r>
        <w:rPr>
          <w:rFonts w:ascii="Arial" w:cs="Arial" w:eastAsia="Arial" w:hAnsi="Arial"/>
          <w:b/>
          <w:bCs/>
          <w:color w:val="333333"/>
          <w:sz w:val="21"/>
          <w:szCs w:val="21"/>
        </w:rPr>
        <w:t xml:space="preserve">Auth-to-Claim Linkage: </w:t>
      </w:r>
      <w:r>
        <w:rPr>
          <w:rFonts w:ascii="Arial" w:cs="Arial" w:eastAsia="Arial" w:hAnsi="Arial"/>
          <w:color w:val="333333"/>
          <w:sz w:val="21"/>
          <w:szCs w:val="21"/>
        </w:rPr>
        <w:t xml:space="preserve">Authorization number attached to claims. Claim scrubber validates that auth exists, covers the service billed, is within date range, and has remaining authorized units.</w:t>
      </w:r>
    </w:p>
    <w:p>
      <w:pPr>
        <w:pStyle w:val="ListParagraph"/>
        <w:numPr>
          <w:ilvl w:val="0"/>
          <w:numId w:val="2"/>
        </w:numPr>
        <w:spacing w:after="80" w:line="276"/>
      </w:pPr>
      <w:r>
        <w:rPr>
          <w:rFonts w:ascii="Arial" w:cs="Arial" w:eastAsia="Arial" w:hAnsi="Arial"/>
          <w:b/>
          <w:bCs/>
          <w:color w:val="333333"/>
          <w:sz w:val="21"/>
          <w:szCs w:val="21"/>
        </w:rPr>
        <w:t xml:space="preserve">Auth Expiration Monitoring: </w:t>
      </w:r>
      <w:r>
        <w:rPr>
          <w:rFonts w:ascii="Arial" w:cs="Arial" w:eastAsia="Arial" w:hAnsi="Arial"/>
          <w:color w:val="333333"/>
          <w:sz w:val="21"/>
          <w:szCs w:val="21"/>
        </w:rPr>
        <w:t xml:space="preserve">IT systems alert staff when authorizations are approaching expiration, requiring re-authorization for ongoing services.</w:t>
      </w:r>
    </w:p>
    <w:p>
      <w:pPr>
        <w:spacing w:after="160" w:line="276"/>
      </w:pPr>
      <w:r>
        <w:rPr>
          <w:rFonts w:ascii="Arial" w:cs="Arial" w:eastAsia="Arial" w:hAnsi="Arial"/>
          <w:b/>
          <w:bCs/>
          <w:color w:val="333333"/>
          <w:sz w:val="21"/>
          <w:szCs w:val="21"/>
        </w:rPr>
        <w:t xml:space="preserve">IT Innovation — FHIR Prior Auth: </w:t>
      </w:r>
      <w:r>
        <w:rPr>
          <w:rFonts w:ascii="Arial" w:cs="Arial" w:eastAsia="Arial" w:hAnsi="Arial"/>
          <w:color w:val="333333"/>
          <w:sz w:val="21"/>
          <w:szCs w:val="21"/>
        </w:rPr>
        <w:t xml:space="preserve">CMS finalized the CMS Interoperability and Prior Authorization Final Rule (CMS-0057-F) requiring payers to implement FHIR-based Prior Authorization APIs by 2026–2027. This will enable real-time electronic prior auth decision-making, reducing the current average 3–5 day turnaround to seconds. IT systems must support the Da Vinci Prior Authorization Support (PAS) and Documentation Templates &amp; Rules (DTR) Implementation Guides.</w:t>
      </w:r>
    </w:p>
    <w:p>
      <w:pPr>
        <w:pStyle w:val="Heading2"/>
        <w:spacing w:before="280" w:after="160"/>
      </w:pPr>
      <w:r>
        <w:rPr>
          <w:rFonts w:ascii="Arial" w:cs="Arial" w:eastAsia="Arial" w:hAnsi="Arial"/>
          <w:b/>
          <w:bCs/>
          <w:color w:val="2E75B6"/>
          <w:sz w:val="26"/>
          <w:szCs w:val="26"/>
        </w:rPr>
        <w:t xml:space="preserve">7.3 Patient Estimation &amp; Price Transparency</w:t>
      </w:r>
    </w:p>
    <w:p>
      <w:pPr>
        <w:spacing w:after="160" w:line="276"/>
      </w:pPr>
      <w:r>
        <w:rPr>
          <w:rFonts w:ascii="Arial" w:cs="Arial" w:eastAsia="Arial" w:hAnsi="Arial"/>
          <w:color w:val="333333"/>
          <w:sz w:val="21"/>
          <w:szCs w:val="21"/>
        </w:rPr>
        <w:t xml:space="preserve">Patients increasingly demand cost estimates before receiving care. Federal regulations (CMS Price Transparency Rule, No Surprises Act) and consumer expectations are driving significant IT investment in patient financial tools.</w:t>
      </w:r>
    </w:p>
    <w:p>
      <w:pPr>
        <w:pStyle w:val="ListParagraph"/>
        <w:numPr>
          <w:ilvl w:val="0"/>
          <w:numId w:val="3"/>
        </w:numPr>
        <w:spacing w:after="80" w:line="276"/>
      </w:pPr>
      <w:r>
        <w:rPr>
          <w:rFonts w:ascii="Arial" w:cs="Arial" w:eastAsia="Arial" w:hAnsi="Arial"/>
          <w:b/>
          <w:bCs/>
          <w:color w:val="333333"/>
          <w:sz w:val="21"/>
          <w:szCs w:val="21"/>
        </w:rPr>
        <w:t xml:space="preserve">Patient Estimator Tools: </w:t>
      </w:r>
      <w:r>
        <w:rPr>
          <w:rFonts w:ascii="Arial" w:cs="Arial" w:eastAsia="Arial" w:hAnsi="Arial"/>
          <w:color w:val="333333"/>
          <w:sz w:val="21"/>
          <w:szCs w:val="21"/>
        </w:rPr>
        <w:t xml:space="preserve">Calculate expected patient responsibility based on: verified insurance benefits (deductible status, copay/coinsurance), contracted rates with the specific payer, expected services (based on procedure codes), and physician fee schedules. Accuracy depends on real-time benefit verification and up-to-date contract data.</w:t>
      </w:r>
    </w:p>
    <w:p>
      <w:pPr>
        <w:pStyle w:val="ListParagraph"/>
        <w:numPr>
          <w:ilvl w:val="0"/>
          <w:numId w:val="3"/>
        </w:numPr>
        <w:spacing w:after="80" w:line="276"/>
      </w:pPr>
      <w:r>
        <w:rPr>
          <w:rFonts w:ascii="Arial" w:cs="Arial" w:eastAsia="Arial" w:hAnsi="Arial"/>
          <w:b/>
          <w:bCs/>
          <w:color w:val="333333"/>
          <w:sz w:val="21"/>
          <w:szCs w:val="21"/>
        </w:rPr>
        <w:t xml:space="preserve">Good Faith Estimate (GFE): </w:t>
      </w:r>
      <w:r>
        <w:rPr>
          <w:rFonts w:ascii="Arial" w:cs="Arial" w:eastAsia="Arial" w:hAnsi="Arial"/>
          <w:color w:val="333333"/>
          <w:sz w:val="21"/>
          <w:szCs w:val="21"/>
        </w:rPr>
        <w:t xml:space="preserve">The No Surprises Act requires providers to give uninsured or self-pay patients a GFE before scheduled services. IT systems must generate GFE documents meeting CMS-specified format and content requirements.</w:t>
      </w:r>
    </w:p>
    <w:p>
      <w:pPr>
        <w:pStyle w:val="ListParagraph"/>
        <w:numPr>
          <w:ilvl w:val="0"/>
          <w:numId w:val="3"/>
        </w:numPr>
        <w:spacing w:after="80" w:line="276"/>
      </w:pPr>
      <w:r>
        <w:rPr>
          <w:rFonts w:ascii="Arial" w:cs="Arial" w:eastAsia="Arial" w:hAnsi="Arial"/>
          <w:b/>
          <w:bCs/>
          <w:color w:val="333333"/>
          <w:sz w:val="21"/>
          <w:szCs w:val="21"/>
        </w:rPr>
        <w:t xml:space="preserve">Advanced EOB: </w:t>
      </w:r>
      <w:r>
        <w:rPr>
          <w:rFonts w:ascii="Arial" w:cs="Arial" w:eastAsia="Arial" w:hAnsi="Arial"/>
          <w:color w:val="333333"/>
          <w:sz w:val="21"/>
          <w:szCs w:val="21"/>
        </w:rPr>
        <w:t xml:space="preserve">CMS requires payers to provide Advanced EOBs that combine provider GFE data with member benefit information. FHIR-based exchange between providers and payers is enabling this.</w:t>
      </w:r>
    </w:p>
    <w:p>
      <w:pPr>
        <w:pStyle w:val="Heading2"/>
        <w:spacing w:before="280" w:after="160"/>
      </w:pPr>
      <w:r>
        <w:rPr>
          <w:rFonts w:ascii="Arial" w:cs="Arial" w:eastAsia="Arial" w:hAnsi="Arial"/>
          <w:b/>
          <w:bCs/>
          <w:color w:val="2E75B6"/>
          <w:sz w:val="26"/>
          <w:szCs w:val="26"/>
        </w:rPr>
        <w:t xml:space="preserve">7.4 Patient Payment &amp; Collections</w:t>
      </w:r>
    </w:p>
    <w:p>
      <w:pPr>
        <w:pStyle w:val="ListParagraph"/>
        <w:numPr>
          <w:ilvl w:val="0"/>
          <w:numId w:val="3"/>
        </w:numPr>
        <w:spacing w:after="80" w:line="276"/>
      </w:pPr>
      <w:r>
        <w:rPr>
          <w:rFonts w:ascii="Arial" w:cs="Arial" w:eastAsia="Arial" w:hAnsi="Arial"/>
          <w:b/>
          <w:bCs/>
          <w:color w:val="333333"/>
          <w:sz w:val="21"/>
          <w:szCs w:val="21"/>
        </w:rPr>
        <w:t xml:space="preserve">Point-of-Service Collection: </w:t>
      </w:r>
      <w:r>
        <w:rPr>
          <w:rFonts w:ascii="Arial" w:cs="Arial" w:eastAsia="Arial" w:hAnsi="Arial"/>
          <w:color w:val="333333"/>
          <w:sz w:val="21"/>
          <w:szCs w:val="21"/>
        </w:rPr>
        <w:t xml:space="preserve">Collecting copays and estimated patient responsibility at check-in. POS collection rates of 90%+ are best practice. Self-service kiosks and mobile check-in with integrated payment accelerate collections.</w:t>
      </w:r>
    </w:p>
    <w:p>
      <w:pPr>
        <w:pStyle w:val="ListParagraph"/>
        <w:numPr>
          <w:ilvl w:val="0"/>
          <w:numId w:val="3"/>
        </w:numPr>
        <w:spacing w:after="80" w:line="276"/>
      </w:pPr>
      <w:r>
        <w:rPr>
          <w:rFonts w:ascii="Arial" w:cs="Arial" w:eastAsia="Arial" w:hAnsi="Arial"/>
          <w:b/>
          <w:bCs/>
          <w:color w:val="333333"/>
          <w:sz w:val="21"/>
          <w:szCs w:val="21"/>
        </w:rPr>
        <w:t xml:space="preserve">Patient Statements: </w:t>
      </w:r>
      <w:r>
        <w:rPr>
          <w:rFonts w:ascii="Arial" w:cs="Arial" w:eastAsia="Arial" w:hAnsi="Arial"/>
          <w:color w:val="333333"/>
          <w:sz w:val="21"/>
          <w:szCs w:val="21"/>
        </w:rPr>
        <w:t xml:space="preserve">Post-adjudication patient balance statements. Best practice is a single, easy-to-understand statement consolidating all balances. Electronic statements via patient portal reduce cost.</w:t>
      </w:r>
    </w:p>
    <w:p>
      <w:pPr>
        <w:pStyle w:val="ListParagraph"/>
        <w:numPr>
          <w:ilvl w:val="0"/>
          <w:numId w:val="3"/>
        </w:numPr>
        <w:spacing w:after="80" w:line="276"/>
      </w:pPr>
      <w:r>
        <w:rPr>
          <w:rFonts w:ascii="Arial" w:cs="Arial" w:eastAsia="Arial" w:hAnsi="Arial"/>
          <w:b/>
          <w:bCs/>
          <w:color w:val="333333"/>
          <w:sz w:val="21"/>
          <w:szCs w:val="21"/>
        </w:rPr>
        <w:t xml:space="preserve">Payment Plans: </w:t>
      </w:r>
      <w:r>
        <w:rPr>
          <w:rFonts w:ascii="Arial" w:cs="Arial" w:eastAsia="Arial" w:hAnsi="Arial"/>
          <w:color w:val="333333"/>
          <w:sz w:val="21"/>
          <w:szCs w:val="21"/>
        </w:rPr>
        <w:t xml:space="preserve">Automated payment plan setup for balances exceeding a threshold. IT systems manage installment tracking, auto-payment processing, and plan compliance monitoring.</w:t>
      </w:r>
    </w:p>
    <w:p>
      <w:pPr>
        <w:pStyle w:val="ListParagraph"/>
        <w:numPr>
          <w:ilvl w:val="0"/>
          <w:numId w:val="3"/>
        </w:numPr>
        <w:spacing w:after="80" w:line="276"/>
      </w:pPr>
      <w:r>
        <w:rPr>
          <w:rFonts w:ascii="Arial" w:cs="Arial" w:eastAsia="Arial" w:hAnsi="Arial"/>
          <w:b/>
          <w:bCs/>
          <w:color w:val="333333"/>
          <w:sz w:val="21"/>
          <w:szCs w:val="21"/>
        </w:rPr>
        <w:t xml:space="preserve">Credit Card on File: </w:t>
      </w:r>
      <w:r>
        <w:rPr>
          <w:rFonts w:ascii="Arial" w:cs="Arial" w:eastAsia="Arial" w:hAnsi="Arial"/>
          <w:color w:val="333333"/>
          <w:sz w:val="21"/>
          <w:szCs w:val="21"/>
        </w:rPr>
        <w:t xml:space="preserve">Patients authorize charges to stored credit card for balances after insurance processing. Requires PCI-DSS compliance for card data storage.</w:t>
      </w:r>
    </w:p>
    <w:p>
      <w:pPr>
        <w:pStyle w:val="ListParagraph"/>
        <w:numPr>
          <w:ilvl w:val="0"/>
          <w:numId w:val="3"/>
        </w:numPr>
        <w:spacing w:after="80" w:line="276"/>
      </w:pPr>
      <w:r>
        <w:rPr>
          <w:rFonts w:ascii="Arial" w:cs="Arial" w:eastAsia="Arial" w:hAnsi="Arial"/>
          <w:b/>
          <w:bCs/>
          <w:color w:val="333333"/>
          <w:sz w:val="21"/>
          <w:szCs w:val="21"/>
        </w:rPr>
        <w:t xml:space="preserve">Financial Assistance / Charity Care: </w:t>
      </w:r>
      <w:r>
        <w:rPr>
          <w:rFonts w:ascii="Arial" w:cs="Arial" w:eastAsia="Arial" w:hAnsi="Arial"/>
          <w:color w:val="333333"/>
          <w:sz w:val="21"/>
          <w:szCs w:val="21"/>
        </w:rPr>
        <w:t xml:space="preserve">Screening patients for financial assistance eligibility based on Federal Poverty Level (FPL), applying discount or full write-off per organizational policy. IT systems automate FPL calculations and application processing. 501(r) compliance requires specific financial assistance policies and community benefit reporting for nonprofit hospitals.</w:t>
      </w:r>
    </w:p>
    <w:p>
      <w:r>
        <w:br w:type="page"/>
      </w:r>
    </w:p>
    <w:p>
      <w:pPr>
        <w:pStyle w:val="Heading1"/>
        <w:spacing w:before="360" w:after="200"/>
      </w:pPr>
      <w:r>
        <w:rPr>
          <w:rFonts w:ascii="Arial" w:cs="Arial" w:eastAsia="Arial" w:hAnsi="Arial"/>
          <w:b/>
          <w:bCs/>
          <w:color w:val="1B3A5C"/>
          <w:sz w:val="32"/>
          <w:szCs w:val="32"/>
        </w:rPr>
        <w:t xml:space="preserve">8. Financial Reporting in Healthcare</w:t>
      </w:r>
    </w:p>
    <w:p>
      <w:pPr>
        <w:spacing w:after="160" w:line="276"/>
      </w:pPr>
      <w:r>
        <w:rPr>
          <w:rFonts w:ascii="Arial" w:cs="Arial" w:eastAsia="Arial" w:hAnsi="Arial"/>
          <w:color w:val="333333"/>
          <w:sz w:val="21"/>
          <w:szCs w:val="21"/>
        </w:rPr>
        <w:t xml:space="preserve">Healthcare financial reporting has unique metrics not found in other industries. IT professionals building analytics, dashboards, and data warehouses must understand these metrics to deliver actionable financial intelligence.</w:t>
      </w:r>
    </w:p>
    <w:p>
      <w:pPr>
        <w:pStyle w:val="Heading2"/>
        <w:spacing w:before="280" w:after="160"/>
      </w:pPr>
      <w:r>
        <w:rPr>
          <w:rFonts w:ascii="Arial" w:cs="Arial" w:eastAsia="Arial" w:hAnsi="Arial"/>
          <w:b/>
          <w:bCs/>
          <w:color w:val="2E75B6"/>
          <w:sz w:val="26"/>
          <w:szCs w:val="26"/>
        </w:rPr>
        <w:t xml:space="preserve">8.1 Key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Benchmark / Target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Data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charges minus contractual adjustments, charity, and bad debt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 (organization-specific)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system, general ledger, contract modeling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Operating Margin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(Operating Revenue - Operating Expenses) / Operating Revenue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 for hospitals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 statements, cost accounting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in 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number of days between service date and payment receipt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30–40 days (industry goal)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 aging report from billing system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 Collection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Payments / (Charges - Contractual Adjustments) × 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&gt;95%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posting data, adjustment categorization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Claim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claims accepted by payer on first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Clearinghouse acceptance reports, rejection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Denial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of claims denied (initial denial)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&lt;5% (best practice); 10–15% (average)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835 remittance data, denial categorization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to Collect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RCM costs / Net patient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 of net 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RCM departmental costs, productivity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Case Mix Index (CMI)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Average MS-DRG weight of all discharges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Varies by facility (1.2–2.5 typical)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DRG data, coding system, discharge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Payer Mix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revenue by payer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 commercial typically highest margin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Registration data, claims data, financial reporting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Charity Care / Bad Debt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Uncompensated care as % of gross revenue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Varies; tracked for 501(r) compliance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 assistance applications, bad debt write-offs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Point-of-Service Collection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expected patient responsibility collected at time of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(best practice)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Registration system, payment collection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Discharged Not Final Billed (DNFB)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Dollar value of completed encounters not yet billed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&lt;3 days of revenue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Unbilled accounts report, coding workflow data</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8.2 Financial Dashboard Design for IT</w:t>
      </w:r>
    </w:p>
    <w:p>
      <w:pPr>
        <w:spacing w:after="160" w:line="276"/>
      </w:pPr>
      <w:r>
        <w:rPr>
          <w:rFonts w:ascii="Arial" w:cs="Arial" w:eastAsia="Arial" w:hAnsi="Arial"/>
          <w:color w:val="333333"/>
          <w:sz w:val="21"/>
          <w:szCs w:val="21"/>
        </w:rPr>
        <w:t xml:space="preserve">Revenue cycle dashboards are among the most requested analytics deliverables in healthcare. Effective dashboards present actionable data with appropriate drill-down capability.</w:t>
      </w:r>
    </w:p>
    <w:p>
      <w:pPr>
        <w:pStyle w:val="Heading3"/>
        <w:spacing w:before="200" w:after="120"/>
      </w:pPr>
      <w:r>
        <w:rPr>
          <w:rFonts w:ascii="Arial" w:cs="Arial" w:eastAsia="Arial" w:hAnsi="Arial"/>
          <w:b/>
          <w:bCs/>
          <w:color w:val="1B3A5C"/>
          <w:sz w:val="22"/>
          <w:szCs w:val="22"/>
        </w:rPr>
        <w:t xml:space="preserve">8.2.1 Executive Dashboard Components</w:t>
      </w:r>
    </w:p>
    <w:p>
      <w:pPr>
        <w:pStyle w:val="ListParagraph"/>
        <w:numPr>
          <w:ilvl w:val="0"/>
          <w:numId w:val="3"/>
        </w:numPr>
        <w:spacing w:after="80" w:line="276"/>
      </w:pPr>
      <w:r>
        <w:rPr>
          <w:rFonts w:ascii="Arial" w:cs="Arial" w:eastAsia="Arial" w:hAnsi="Arial"/>
          <w:b/>
          <w:bCs/>
          <w:color w:val="333333"/>
          <w:sz w:val="21"/>
          <w:szCs w:val="21"/>
        </w:rPr>
        <w:t xml:space="preserve">Revenue Performance: </w:t>
      </w:r>
      <w:r>
        <w:rPr>
          <w:rFonts w:ascii="Arial" w:cs="Arial" w:eastAsia="Arial" w:hAnsi="Arial"/>
          <w:color w:val="333333"/>
          <w:sz w:val="21"/>
          <w:szCs w:val="21"/>
        </w:rPr>
        <w:t xml:space="preserve">Net revenue vs. budget, revenue by payer class, revenue by service line, month-over-month and year-over-year trends.</w:t>
      </w:r>
    </w:p>
    <w:p>
      <w:pPr>
        <w:pStyle w:val="ListParagraph"/>
        <w:numPr>
          <w:ilvl w:val="0"/>
          <w:numId w:val="3"/>
        </w:numPr>
        <w:spacing w:after="80" w:line="276"/>
      </w:pPr>
      <w:r>
        <w:rPr>
          <w:rFonts w:ascii="Arial" w:cs="Arial" w:eastAsia="Arial" w:hAnsi="Arial"/>
          <w:b/>
          <w:bCs/>
          <w:color w:val="333333"/>
          <w:sz w:val="21"/>
          <w:szCs w:val="21"/>
        </w:rPr>
        <w:t xml:space="preserve">A/R Health: </w:t>
      </w:r>
      <w:r>
        <w:rPr>
          <w:rFonts w:ascii="Arial" w:cs="Arial" w:eastAsia="Arial" w:hAnsi="Arial"/>
          <w:color w:val="333333"/>
          <w:sz w:val="21"/>
          <w:szCs w:val="21"/>
        </w:rPr>
        <w:t xml:space="preserve">Total A/R balance, A/R aging buckets (0–30, 31–60, 61–90, 91–120, 120+), days in A/R trending, A/R by payer and age.</w:t>
      </w:r>
    </w:p>
    <w:p>
      <w:pPr>
        <w:pStyle w:val="ListParagraph"/>
        <w:numPr>
          <w:ilvl w:val="0"/>
          <w:numId w:val="3"/>
        </w:numPr>
        <w:spacing w:after="80" w:line="276"/>
      </w:pPr>
      <w:r>
        <w:rPr>
          <w:rFonts w:ascii="Arial" w:cs="Arial" w:eastAsia="Arial" w:hAnsi="Arial"/>
          <w:b/>
          <w:bCs/>
          <w:color w:val="333333"/>
          <w:sz w:val="21"/>
          <w:szCs w:val="21"/>
        </w:rPr>
        <w:t xml:space="preserve">Denial Metrics: </w:t>
      </w:r>
      <w:r>
        <w:rPr>
          <w:rFonts w:ascii="Arial" w:cs="Arial" w:eastAsia="Arial" w:hAnsi="Arial"/>
          <w:color w:val="333333"/>
          <w:sz w:val="21"/>
          <w:szCs w:val="21"/>
        </w:rPr>
        <w:t xml:space="preserve">Denial rate trending, denial dollars by category, denial root cause analysis, appeal success rate, prevention vs. recovery metrics.</w:t>
      </w:r>
    </w:p>
    <w:p>
      <w:pPr>
        <w:pStyle w:val="ListParagraph"/>
        <w:numPr>
          <w:ilvl w:val="0"/>
          <w:numId w:val="3"/>
        </w:numPr>
        <w:spacing w:after="80" w:line="276"/>
      </w:pPr>
      <w:r>
        <w:rPr>
          <w:rFonts w:ascii="Arial" w:cs="Arial" w:eastAsia="Arial" w:hAnsi="Arial"/>
          <w:b/>
          <w:bCs/>
          <w:color w:val="333333"/>
          <w:sz w:val="21"/>
          <w:szCs w:val="21"/>
        </w:rPr>
        <w:t xml:space="preserve">Cash Collections: </w:t>
      </w:r>
      <w:r>
        <w:rPr>
          <w:rFonts w:ascii="Arial" w:cs="Arial" w:eastAsia="Arial" w:hAnsi="Arial"/>
          <w:color w:val="333333"/>
          <w:sz w:val="21"/>
          <w:szCs w:val="21"/>
        </w:rPr>
        <w:t xml:space="preserve">Cash collected vs. target, payer cash realization rates, patient payment trending, POS collection rates.</w:t>
      </w:r>
    </w:p>
    <w:p>
      <w:pPr>
        <w:pStyle w:val="ListParagraph"/>
        <w:numPr>
          <w:ilvl w:val="0"/>
          <w:numId w:val="3"/>
        </w:numPr>
        <w:spacing w:after="80" w:line="276"/>
      </w:pPr>
      <w:r>
        <w:rPr>
          <w:rFonts w:ascii="Arial" w:cs="Arial" w:eastAsia="Arial" w:hAnsi="Arial"/>
          <w:b/>
          <w:bCs/>
          <w:color w:val="333333"/>
          <w:sz w:val="21"/>
          <w:szCs w:val="21"/>
        </w:rPr>
        <w:t xml:space="preserve">Productivity: </w:t>
      </w:r>
      <w:r>
        <w:rPr>
          <w:rFonts w:ascii="Arial" w:cs="Arial" w:eastAsia="Arial" w:hAnsi="Arial"/>
          <w:color w:val="333333"/>
          <w:sz w:val="21"/>
          <w:szCs w:val="21"/>
        </w:rPr>
        <w:t xml:space="preserve">Coding productivity (charts/day), registration accuracy rate, claim submission volume, denial rework volume.</w:t>
      </w:r>
    </w:p>
    <w:p>
      <w:pPr>
        <w:pStyle w:val="Heading3"/>
        <w:spacing w:before="200" w:after="120"/>
      </w:pPr>
      <w:r>
        <w:rPr>
          <w:rFonts w:ascii="Arial" w:cs="Arial" w:eastAsia="Arial" w:hAnsi="Arial"/>
          <w:b/>
          <w:bCs/>
          <w:color w:val="1B3A5C"/>
          <w:sz w:val="22"/>
          <w:szCs w:val="22"/>
        </w:rPr>
        <w:t xml:space="preserve">8.2.2 Operational Drill-Down</w:t>
      </w:r>
    </w:p>
    <w:p>
      <w:pPr>
        <w:pStyle w:val="ListParagraph"/>
        <w:numPr>
          <w:ilvl w:val="0"/>
          <w:numId w:val="3"/>
        </w:numPr>
        <w:spacing w:after="80" w:line="276"/>
      </w:pPr>
      <w:r>
        <w:rPr>
          <w:rFonts w:ascii="Arial" w:cs="Arial" w:eastAsia="Arial" w:hAnsi="Arial"/>
          <w:b/>
          <w:bCs/>
          <w:color w:val="333333"/>
          <w:sz w:val="21"/>
          <w:szCs w:val="21"/>
        </w:rPr>
        <w:t xml:space="preserve">By Payer: </w:t>
      </w:r>
      <w:r>
        <w:rPr>
          <w:rFonts w:ascii="Arial" w:cs="Arial" w:eastAsia="Arial" w:hAnsi="Arial"/>
          <w:color w:val="333333"/>
          <w:sz w:val="21"/>
          <w:szCs w:val="21"/>
        </w:rPr>
        <w:t xml:space="preserve">Performance metrics segmented by payer (Medicare, Medicaid, each commercial payer) reveals payer-specific issues.</w:t>
      </w:r>
    </w:p>
    <w:p>
      <w:pPr>
        <w:pStyle w:val="ListParagraph"/>
        <w:numPr>
          <w:ilvl w:val="0"/>
          <w:numId w:val="3"/>
        </w:numPr>
        <w:spacing w:after="80" w:line="276"/>
      </w:pPr>
      <w:r>
        <w:rPr>
          <w:rFonts w:ascii="Arial" w:cs="Arial" w:eastAsia="Arial" w:hAnsi="Arial"/>
          <w:b/>
          <w:bCs/>
          <w:color w:val="333333"/>
          <w:sz w:val="21"/>
          <w:szCs w:val="21"/>
        </w:rPr>
        <w:t xml:space="preserve">By Service Line: </w:t>
      </w:r>
      <w:r>
        <w:rPr>
          <w:rFonts w:ascii="Arial" w:cs="Arial" w:eastAsia="Arial" w:hAnsi="Arial"/>
          <w:color w:val="333333"/>
          <w:sz w:val="21"/>
          <w:szCs w:val="21"/>
        </w:rPr>
        <w:t xml:space="preserve">Revenue, denials, and margins by clinical service line (cardiac, orthopedic, oncology) enables service line management.</w:t>
      </w:r>
    </w:p>
    <w:p>
      <w:pPr>
        <w:pStyle w:val="ListParagraph"/>
        <w:numPr>
          <w:ilvl w:val="0"/>
          <w:numId w:val="3"/>
        </w:numPr>
        <w:spacing w:after="80" w:line="276"/>
      </w:pPr>
      <w:r>
        <w:rPr>
          <w:rFonts w:ascii="Arial" w:cs="Arial" w:eastAsia="Arial" w:hAnsi="Arial"/>
          <w:b/>
          <w:bCs/>
          <w:color w:val="333333"/>
          <w:sz w:val="21"/>
          <w:szCs w:val="21"/>
        </w:rPr>
        <w:t xml:space="preserve">By Provider: </w:t>
      </w:r>
      <w:r>
        <w:rPr>
          <w:rFonts w:ascii="Arial" w:cs="Arial" w:eastAsia="Arial" w:hAnsi="Arial"/>
          <w:color w:val="333333"/>
          <w:sz w:val="21"/>
          <w:szCs w:val="21"/>
        </w:rPr>
        <w:t xml:space="preserve">Coding accuracy, documentation quality, charge capture completeness, and denial rates by individual physician.</w:t>
      </w:r>
    </w:p>
    <w:p>
      <w:pPr>
        <w:pStyle w:val="ListParagraph"/>
        <w:numPr>
          <w:ilvl w:val="0"/>
          <w:numId w:val="3"/>
        </w:numPr>
        <w:spacing w:after="80" w:line="276"/>
      </w:pPr>
      <w:r>
        <w:rPr>
          <w:rFonts w:ascii="Arial" w:cs="Arial" w:eastAsia="Arial" w:hAnsi="Arial"/>
          <w:b/>
          <w:bCs/>
          <w:color w:val="333333"/>
          <w:sz w:val="21"/>
          <w:szCs w:val="21"/>
        </w:rPr>
        <w:t xml:space="preserve">By Department: </w:t>
      </w:r>
      <w:r>
        <w:rPr>
          <w:rFonts w:ascii="Arial" w:cs="Arial" w:eastAsia="Arial" w:hAnsi="Arial"/>
          <w:color w:val="333333"/>
          <w:sz w:val="21"/>
          <w:szCs w:val="21"/>
        </w:rPr>
        <w:t xml:space="preserve">Registration accuracy, charge capture rates, and coding turnaround by department.</w:t>
      </w:r>
    </w:p>
    <w:p>
      <w:pPr>
        <w:pStyle w:val="Heading2"/>
        <w:spacing w:before="280" w:after="160"/>
      </w:pPr>
      <w:r>
        <w:rPr>
          <w:rFonts w:ascii="Arial" w:cs="Arial" w:eastAsia="Arial" w:hAnsi="Arial"/>
          <w:b/>
          <w:bCs/>
          <w:color w:val="2E75B6"/>
          <w:sz w:val="26"/>
          <w:szCs w:val="26"/>
        </w:rPr>
        <w:t xml:space="preserve">8.3 Cost Accounting</w:t>
      </w:r>
    </w:p>
    <w:p>
      <w:pPr>
        <w:spacing w:after="160" w:line="276"/>
      </w:pPr>
      <w:r>
        <w:rPr>
          <w:rFonts w:ascii="Arial" w:cs="Arial" w:eastAsia="Arial" w:hAnsi="Arial"/>
          <w:color w:val="333333"/>
          <w:sz w:val="21"/>
          <w:szCs w:val="21"/>
        </w:rPr>
        <w:t xml:space="preserve">Cost accounting allocates the cost of delivering each clinical service, enabling profitability analysis by service line, procedure, payer, and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Costing Method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of Costs to Charges (RCC)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Simplest method: applies a department-level cost-to-charge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report data, departmental charge and cost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Relative Value Unit (RVU) Costing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Allocates costs based on RVU weights per service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RVU tables, cost per RVU by department, service-level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Activity-Based Costing (ABC)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accurate: assigns costs based on actual resource consumption per activity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Time-driven activity data, resource consumption tracking, detailed supply/labor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Costing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Predetermined cost per unit of service based on expected resource use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cost tables, variance analysis, budget vs. actual tracking</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Platforms: </w:t>
      </w:r>
      <w:r>
        <w:rPr>
          <w:rFonts w:ascii="Arial" w:cs="Arial" w:eastAsia="Arial" w:hAnsi="Arial"/>
          <w:color w:val="333333"/>
          <w:sz w:val="21"/>
          <w:szCs w:val="21"/>
        </w:rPr>
        <w:t xml:space="preserve">Dedicated cost accounting systems (Strata Decision Technology, Axiom/Kaufman Hall, EPSi) integrate with the general ledger, billing system, supply chain, and payroll to calculate cost per encounter, procedure, or DRG. These systems enable profitability analysis critical for strategic decisions about service line investment, payer negotiations, and operational improvement.</w:t>
      </w:r>
    </w:p>
    <w:p>
      <w:r>
        <w:br w:type="page"/>
      </w:r>
    </w:p>
    <w:p>
      <w:pPr>
        <w:pStyle w:val="Heading1"/>
        <w:spacing w:before="360" w:after="200"/>
      </w:pPr>
      <w:r>
        <w:rPr>
          <w:rFonts w:ascii="Arial" w:cs="Arial" w:eastAsia="Arial" w:hAnsi="Arial"/>
          <w:b/>
          <w:bCs/>
          <w:color w:val="1B3A5C"/>
          <w:sz w:val="32"/>
          <w:szCs w:val="32"/>
        </w:rPr>
        <w:t xml:space="preserve">9. IT Systems Supporting the Revenue Cycle</w:t>
      </w:r>
    </w:p>
    <w:p>
      <w:pPr>
        <w:spacing w:after="160" w:line="276"/>
      </w:pPr>
      <w:r>
        <w:rPr>
          <w:rFonts w:ascii="Arial" w:cs="Arial" w:eastAsia="Arial" w:hAnsi="Arial"/>
          <w:color w:val="333333"/>
          <w:sz w:val="21"/>
          <w:szCs w:val="21"/>
        </w:rPr>
        <w:t xml:space="preserve">The revenue cycle is supported by a complex ecosystem of IT systems that must work together seamlessly. Understanding this ecosystem — and the integration points between systems — is essential for health IT professionals.</w:t>
      </w:r>
    </w:p>
    <w:p>
      <w:pPr>
        <w:pStyle w:val="Heading2"/>
        <w:spacing w:before="280" w:after="160"/>
      </w:pPr>
      <w:r>
        <w:rPr>
          <w:rFonts w:ascii="Arial" w:cs="Arial" w:eastAsia="Arial" w:hAnsi="Arial"/>
          <w:b/>
          <w:bCs/>
          <w:color w:val="2E75B6"/>
          <w:sz w:val="26"/>
          <w:szCs w:val="26"/>
        </w:rPr>
        <w:t xml:space="preserve">9.1 Revenue Cycle IT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RC Phase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IT Systems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Vendors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 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&amp;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 Patient Portal, Online Scheduling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Epic Cadence, athenahealth, Phreesia, Kyruus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 eligibility, patient portal, CRM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Registration &amp; Eligibility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Registration/ADT, Eligibility Verification, Identity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Epic Prelude, Experian, LexisNexis, RTE vendors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ADT feeds to all downstream systems, MPI, financial clearance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 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Management, Utilization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Availity, Olive AI, Rhyme (acquired by SureScripts), payer portals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orders, claims, scheduling, payer interfaces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Documentation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Voice Recognition, Ambient AI Documentation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Epic, Oracle Health, Nuance DAX Copilot, Abridge, DeepScribe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CDI platform, coding workflow, charge capture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Documentation Improvement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3M 360 Encompass, Optum CDI, Iodine Software, Artifact Health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documentation, coding system, physician communication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Encoder, CAC, Autonomous Coding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3M, Optum, TruCode, AAPC, Fathom, Nym Health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documentation, DRG grouper, claim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 Capture &amp; CDM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CDM Management, Charge Capture, Revenue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EHR-native (Epic/Oracle), Craneware, nThrive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CPOE, supply chain, pharmacy, billing system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 Scrubbing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Claims Editor, Compliance Edits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Optum Claims Edit, Change Healthcare ClaimsXten, Quadax</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CDM, coding, billing, clearinghouse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Clearinghouse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Submission, ERA Processing, Eligibility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Healthcare, Availity, Waystar, Trizetto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system, payer connections, payment posting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&amp; 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Payment Posting, A/R Management, Denial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EHR-native, Waystar, R1 RCM, Parallon, Ensemble Health Partners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835 processing, banking, denial workflows, patient billing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Billing &amp; 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Statements, Payment Portal, Payment Plans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Epic MyChart, Cedar, Patientco, PaymentSafe, AccessOne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portal, banking/payment processing, financial assistance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 &amp; Reporting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Cycle Analytics, Financial Reporting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Strata, Axiom, EPSi, Tableau, Power BI, Epic Radar/Cogito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warehouse, all RC source systems, benchmarking</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9.2 Critical Integration Points</w:t>
      </w:r>
    </w:p>
    <w:p>
      <w:pPr>
        <w:spacing w:after="160" w:line="276"/>
      </w:pPr>
      <w:r>
        <w:rPr>
          <w:rFonts w:ascii="Arial" w:cs="Arial" w:eastAsia="Arial" w:hAnsi="Arial"/>
          <w:color w:val="333333"/>
          <w:sz w:val="21"/>
          <w:szCs w:val="21"/>
        </w:rPr>
        <w:t xml:space="preserve">Revenue cycle IT effectiveness depends on seamless integration between systems. The following integration points are mission-critical: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ADT → All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registration triggers downstream financial, clinical, and operational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HL7 v2.x ADT (A01, A02, A03, A04)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Wrong patient data cascades to claims, denials, and patient safety events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 Billing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documentation and orders generate charges and coded encounters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Charge messages, coded encounter data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Missed charges = lost revenue; incorrect codes = denials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 Clearinghouse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submitted for payer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X12 837P/837I via SFTP or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 failures delay revenue; format errors cause rejections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Clearinghouse → Billing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Remittance and payment data returned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X12 835, 277CA, 999</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Unprocessed remittances delay posting and patient 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Eligibility (270/271)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insurance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X12 270/271, FHIR Coverage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Unverified eligibility leads to 25–30% of denials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Prior Auth (278)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Authorization requests and responses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X12 278, FHIR PAS (Da Vinci)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Missing authorizations = preventable denials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 CDI Platform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data feeds CDI opportunity identification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HL7, FHIR, database integration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Missed CDI opportunities reduce CMI and revenue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DRG Grouper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Coded data processed for DRG assignment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DRG Grouper software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Incorrect DRG = incorrect payment; revenue forecasting errors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9.3 Revenue Cycle Automation &amp; AI</w:t>
      </w:r>
    </w:p>
    <w:p>
      <w:pPr>
        <w:spacing w:after="160" w:line="276"/>
      </w:pPr>
      <w:r>
        <w:rPr>
          <w:rFonts w:ascii="Arial" w:cs="Arial" w:eastAsia="Arial" w:hAnsi="Arial"/>
          <w:color w:val="333333"/>
          <w:sz w:val="21"/>
          <w:szCs w:val="21"/>
        </w:rPr>
        <w:t xml:space="preserve">Revenue cycle is one of the most active areas for AI and automation in healthcare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Maturity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Vendors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Robotic Process Automation (RPA)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Claims status checking, prior auth submission, payment posting, eligibility verification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Mature — widely deployed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UiPath, Automation Anywhere, Blue Prism, Olive AI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AI-Powered Coding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Autonomous medical coding from clinical documentation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Emerging — rapid adoption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Fathom, Nym Health, Aidoc, AGS 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Denial Prediction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 which claims will be denied before submission and recommend corrections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Emerging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Waystar, AKASA, Olive AI, R1 RCM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CDI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Identify CDI opportunities from clinical data without manual chart review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Growing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Iodine Software, Artifact Health, 3M M*Modal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Conversational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billing inquiries, payment plan setup, financial assistance screening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adoption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Cedar, Hyro, Notable Health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Predictive Analytics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forecasting, cash flow prediction, denial trending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Strata, Axiom, custom analytics solutions</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10. Revenue Cycle Compliance &amp; Regulatory Requirements</w:t>
      </w:r>
    </w:p>
    <w:p>
      <w:pPr>
        <w:spacing w:after="160" w:line="276"/>
      </w:pPr>
      <w:r>
        <w:rPr>
          <w:rFonts w:ascii="Arial" w:cs="Arial" w:eastAsia="Arial" w:hAnsi="Arial"/>
          <w:color w:val="333333"/>
          <w:sz w:val="21"/>
          <w:szCs w:val="21"/>
        </w:rPr>
        <w:t xml:space="preserve">Healthcare billing is subject to extensive federal and state regulations. Non-compliance can result in financial penalties, exclusion from federal healthcare programs, and criminal prosecution. IT systems must enforce compliance at every stage of the revenue cycle.</w:t>
      </w:r>
    </w:p>
    <w:p>
      <w:pPr>
        <w:pStyle w:val="Heading2"/>
        <w:spacing w:before="280" w:after="160"/>
      </w:pPr>
      <w:r>
        <w:rPr>
          <w:rFonts w:ascii="Arial" w:cs="Arial" w:eastAsia="Arial" w:hAnsi="Arial"/>
          <w:b/>
          <w:bCs/>
          <w:color w:val="2E75B6"/>
          <w:sz w:val="26"/>
          <w:szCs w:val="26"/>
        </w:rPr>
        <w:t xml:space="preserve">10.1 Key Regulatory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Compliance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 Claims Act (FCA)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Prohibits knowingly submitting false claims to government payers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accuracy validation, compliance edit rules, billing documentation audit trails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Anti-Kickback Statute (AKS)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Prohibits offering/receiving remuneration to induce referrals for federal healthcare programs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Referral tracking, physician compensation monitoring, arrangement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Stark Law (Physician Self-Referral)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Prohibits physician referrals to entities with which they have financial relationships (designated health services)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relationship tracking, referral pattern monitoring, exception documentation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HIPAA Transaction Standards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Mandates standard electronic formats for claims, remittances, eligibility, and other transactions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X12 format compliance (837, 835, 270/271, 278), transaction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Surprises 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Protects patients from surprise medical bills for out-of-network emergency and certain non-emergency services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 status verification, patient notification systems, Good Faith Estimate generation, IDR process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Price Transparency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Requires hospitals to publish standard charges in machine-readable format and consumer-friendly display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CDM data extraction, machine-readable file generation, payer-specific rate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501(r) Requirements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Tax-exempt hospital financial assistance, billing, and collection policies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assistance screening automation, community benefit reporting, billing policy enforcement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EMTALA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Emergency Medical Treatment and Labor Act — requires emergency screening and stabilization regardless of payment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MSE documentation, on-call physician tracking, transfer documentation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10.2 Compliance Monitoring IT</w:t>
      </w:r>
    </w:p>
    <w:p>
      <w:pPr>
        <w:pStyle w:val="ListParagraph"/>
        <w:numPr>
          <w:ilvl w:val="0"/>
          <w:numId w:val="3"/>
        </w:numPr>
        <w:spacing w:after="80" w:line="276"/>
      </w:pPr>
      <w:r>
        <w:rPr>
          <w:rFonts w:ascii="Arial" w:cs="Arial" w:eastAsia="Arial" w:hAnsi="Arial"/>
          <w:b/>
          <w:bCs/>
          <w:color w:val="333333"/>
          <w:sz w:val="21"/>
          <w:szCs w:val="21"/>
        </w:rPr>
        <w:t xml:space="preserve">Compliance Audit Tools: </w:t>
      </w:r>
      <w:r>
        <w:rPr>
          <w:rFonts w:ascii="Arial" w:cs="Arial" w:eastAsia="Arial" w:hAnsi="Arial"/>
          <w:color w:val="333333"/>
          <w:sz w:val="21"/>
          <w:szCs w:val="21"/>
        </w:rPr>
        <w:t xml:space="preserve">Automated claim auditing (internal and external) sampling claims for coding accuracy, documentation support, and billing appropriateness.</w:t>
      </w:r>
    </w:p>
    <w:p>
      <w:pPr>
        <w:pStyle w:val="ListParagraph"/>
        <w:numPr>
          <w:ilvl w:val="0"/>
          <w:numId w:val="3"/>
        </w:numPr>
        <w:spacing w:after="80" w:line="276"/>
      </w:pPr>
      <w:r>
        <w:rPr>
          <w:rFonts w:ascii="Arial" w:cs="Arial" w:eastAsia="Arial" w:hAnsi="Arial"/>
          <w:b/>
          <w:bCs/>
          <w:color w:val="333333"/>
          <w:sz w:val="21"/>
          <w:szCs w:val="21"/>
        </w:rPr>
        <w:t xml:space="preserve">OIG Work Plan Monitoring: </w:t>
      </w:r>
      <w:r>
        <w:rPr>
          <w:rFonts w:ascii="Arial" w:cs="Arial" w:eastAsia="Arial" w:hAnsi="Arial"/>
          <w:color w:val="333333"/>
          <w:sz w:val="21"/>
          <w:szCs w:val="21"/>
        </w:rPr>
        <w:t xml:space="preserve">The Office of Inspector General publishes annual work plan priorities. IT systems should flag claims matching OIG focus areas for proactive review.</w:t>
      </w:r>
    </w:p>
    <w:p>
      <w:pPr>
        <w:pStyle w:val="ListParagraph"/>
        <w:numPr>
          <w:ilvl w:val="0"/>
          <w:numId w:val="3"/>
        </w:numPr>
        <w:spacing w:after="80" w:line="276"/>
      </w:pPr>
      <w:r>
        <w:rPr>
          <w:rFonts w:ascii="Arial" w:cs="Arial" w:eastAsia="Arial" w:hAnsi="Arial"/>
          <w:b/>
          <w:bCs/>
          <w:color w:val="333333"/>
          <w:sz w:val="21"/>
          <w:szCs w:val="21"/>
        </w:rPr>
        <w:t xml:space="preserve">Billing Compliance Dashboards: </w:t>
      </w:r>
      <w:r>
        <w:rPr>
          <w:rFonts w:ascii="Arial" w:cs="Arial" w:eastAsia="Arial" w:hAnsi="Arial"/>
          <w:color w:val="333333"/>
          <w:sz w:val="21"/>
          <w:szCs w:val="21"/>
        </w:rPr>
        <w:t xml:space="preserve">Real-time monitoring of billing patterns, modifier usage, E/M level distribution, and outlier detection. Statistical anomaly detection identifies potential compliance issues before external audit.</w:t>
      </w:r>
    </w:p>
    <w:p>
      <w:r>
        <w:br w:type="page"/>
      </w:r>
    </w:p>
    <w:p>
      <w:pPr>
        <w:pStyle w:val="Heading1"/>
        <w:spacing w:before="360" w:after="200"/>
      </w:pPr>
      <w:r>
        <w:rPr>
          <w:rFonts w:ascii="Arial" w:cs="Arial" w:eastAsia="Arial" w:hAnsi="Arial"/>
          <w:b/>
          <w:bCs/>
          <w:color w:val="1B3A5C"/>
          <w:sz w:val="32"/>
          <w:szCs w:val="32"/>
        </w:rPr>
        <w:t xml:space="preserve">11. Summary &amp; Key Takeaways</w:t>
      </w:r>
    </w:p>
    <w:p>
      <w:pPr>
        <w:spacing w:after="160" w:line="276"/>
      </w:pPr>
      <w:r>
        <w:rPr>
          <w:rFonts w:ascii="Arial" w:cs="Arial" w:eastAsia="Arial" w:hAnsi="Arial"/>
          <w:color w:val="333333"/>
          <w:sz w:val="21"/>
          <w:szCs w:val="21"/>
        </w:rPr>
        <w:t xml:space="preserve">Healthcare finance and revenue cycle management represent the economic engine of healthcare delivery. For IT professionals, understanding this domain is essential because every clinical IT system ultimately generates or supports financial transactions.</w:t>
      </w:r>
    </w:p>
    <w:p>
      <w:pPr>
        <w:pStyle w:val="ListParagraph"/>
        <w:numPr>
          <w:ilvl w:val="0"/>
          <w:numId w:val="2"/>
        </w:numPr>
        <w:spacing w:after="80" w:line="276"/>
      </w:pPr>
      <w:r>
        <w:rPr>
          <w:rFonts w:ascii="Arial" w:cs="Arial" w:eastAsia="Arial" w:hAnsi="Arial"/>
          <w:b/>
          <w:bCs/>
          <w:color w:val="333333"/>
          <w:sz w:val="21"/>
          <w:szCs w:val="21"/>
        </w:rPr>
        <w:t xml:space="preserve">The revenue cycle is end-to-end: </w:t>
      </w:r>
      <w:r>
        <w:rPr>
          <w:rFonts w:ascii="Arial" w:cs="Arial" w:eastAsia="Arial" w:hAnsi="Arial"/>
          <w:color w:val="333333"/>
          <w:sz w:val="21"/>
          <w:szCs w:val="21"/>
        </w:rPr>
        <w:t xml:space="preserve">From scheduling through final payment, every step depends on IT systems working correctly and working together. A single broken interface or misconfigured rule can cascade into millions in lost revenue.</w:t>
      </w:r>
    </w:p>
    <w:p>
      <w:pPr>
        <w:pStyle w:val="ListParagraph"/>
        <w:numPr>
          <w:ilvl w:val="0"/>
          <w:numId w:val="2"/>
        </w:numPr>
        <w:spacing w:after="80" w:line="276"/>
      </w:pPr>
      <w:r>
        <w:rPr>
          <w:rFonts w:ascii="Arial" w:cs="Arial" w:eastAsia="Arial" w:hAnsi="Arial"/>
          <w:b/>
          <w:bCs/>
          <w:color w:val="333333"/>
          <w:sz w:val="21"/>
          <w:szCs w:val="21"/>
        </w:rPr>
        <w:t xml:space="preserve">Insurance complexity drives IT complexity: </w:t>
      </w:r>
      <w:r>
        <w:rPr>
          <w:rFonts w:ascii="Arial" w:cs="Arial" w:eastAsia="Arial" w:hAnsi="Arial"/>
          <w:color w:val="333333"/>
          <w:sz w:val="21"/>
          <w:szCs w:val="21"/>
        </w:rPr>
        <w:t xml:space="preserve">Dozens of payer types, each with unique rules, benefit designs, and processing requirements, create enormous configuration and rules management challenges for IT systems.</w:t>
      </w:r>
    </w:p>
    <w:p>
      <w:pPr>
        <w:pStyle w:val="ListParagraph"/>
        <w:numPr>
          <w:ilvl w:val="0"/>
          <w:numId w:val="2"/>
        </w:numPr>
        <w:spacing w:after="80" w:line="276"/>
      </w:pPr>
      <w:r>
        <w:rPr>
          <w:rFonts w:ascii="Arial" w:cs="Arial" w:eastAsia="Arial" w:hAnsi="Arial"/>
          <w:b/>
          <w:bCs/>
          <w:color w:val="333333"/>
          <w:sz w:val="21"/>
          <w:szCs w:val="21"/>
        </w:rPr>
        <w:t xml:space="preserve">The claims lifecycle is entirely electronic: </w:t>
      </w:r>
      <w:r>
        <w:rPr>
          <w:rFonts w:ascii="Arial" w:cs="Arial" w:eastAsia="Arial" w:hAnsi="Arial"/>
          <w:color w:val="333333"/>
          <w:sz w:val="21"/>
          <w:szCs w:val="21"/>
        </w:rPr>
        <w:t xml:space="preserve">837 claims, 835 remittances, 270/271 eligibility, and 278 authorizations are all electronic transactions with strict format and content requirements. IT professionals must understand these standards.</w:t>
      </w:r>
    </w:p>
    <w:p>
      <w:pPr>
        <w:pStyle w:val="ListParagraph"/>
        <w:numPr>
          <w:ilvl w:val="0"/>
          <w:numId w:val="2"/>
        </w:numPr>
        <w:spacing w:after="80" w:line="276"/>
      </w:pPr>
      <w:r>
        <w:rPr>
          <w:rFonts w:ascii="Arial" w:cs="Arial" w:eastAsia="Arial" w:hAnsi="Arial"/>
          <w:b/>
          <w:bCs/>
          <w:color w:val="333333"/>
          <w:sz w:val="21"/>
          <w:szCs w:val="21"/>
        </w:rPr>
        <w:t xml:space="preserve">Reimbursement is shifting from volume to value: </w:t>
      </w:r>
      <w:r>
        <w:rPr>
          <w:rFonts w:ascii="Arial" w:cs="Arial" w:eastAsia="Arial" w:hAnsi="Arial"/>
          <w:color w:val="333333"/>
          <w:sz w:val="21"/>
          <w:szCs w:val="21"/>
        </w:rPr>
        <w:t xml:space="preserve">FFS and VBC models must be supported simultaneously. IT systems must capture charges for FFS while also supporting population health analytics, quality measurement, and risk adjustment for VBC.</w:t>
      </w:r>
    </w:p>
    <w:p>
      <w:pPr>
        <w:pStyle w:val="ListParagraph"/>
        <w:numPr>
          <w:ilvl w:val="0"/>
          <w:numId w:val="2"/>
        </w:numPr>
        <w:spacing w:after="80" w:line="276"/>
      </w:pPr>
      <w:r>
        <w:rPr>
          <w:rFonts w:ascii="Arial" w:cs="Arial" w:eastAsia="Arial" w:hAnsi="Arial"/>
          <w:b/>
          <w:bCs/>
          <w:color w:val="333333"/>
          <w:sz w:val="21"/>
          <w:szCs w:val="21"/>
        </w:rPr>
        <w:t xml:space="preserve">The Chargemaster is a revenue-critical master file: </w:t>
      </w:r>
      <w:r>
        <w:rPr>
          <w:rFonts w:ascii="Arial" w:cs="Arial" w:eastAsia="Arial" w:hAnsi="Arial"/>
          <w:color w:val="333333"/>
          <w:sz w:val="21"/>
          <w:szCs w:val="21"/>
        </w:rPr>
        <w:t xml:space="preserve">CDM accuracy directly impacts revenue, compliance, and price transparency. Annual code updates, pricing reviews, and compliance audits are essential IT-supported functions.</w:t>
      </w:r>
    </w:p>
    <w:p>
      <w:pPr>
        <w:pStyle w:val="ListParagraph"/>
        <w:numPr>
          <w:ilvl w:val="0"/>
          <w:numId w:val="2"/>
        </w:numPr>
        <w:spacing w:after="80" w:line="276"/>
      </w:pPr>
      <w:r>
        <w:rPr>
          <w:rFonts w:ascii="Arial" w:cs="Arial" w:eastAsia="Arial" w:hAnsi="Arial"/>
          <w:b/>
          <w:bCs/>
          <w:color w:val="333333"/>
          <w:sz w:val="21"/>
          <w:szCs w:val="21"/>
        </w:rPr>
        <w:t xml:space="preserve">Patient financial responsibility is growing: </w:t>
      </w:r>
      <w:r>
        <w:rPr>
          <w:rFonts w:ascii="Arial" w:cs="Arial" w:eastAsia="Arial" w:hAnsi="Arial"/>
          <w:color w:val="333333"/>
          <w:sz w:val="21"/>
          <w:szCs w:val="21"/>
        </w:rPr>
        <w:t xml:space="preserve">High-deductible plans and rising out-of-pocket costs require IT investment in patient estimation, price transparency, digital payment, and financial assistance screening.</w:t>
      </w:r>
    </w:p>
    <w:p>
      <w:pPr>
        <w:pStyle w:val="ListParagraph"/>
        <w:numPr>
          <w:ilvl w:val="0"/>
          <w:numId w:val="2"/>
        </w:numPr>
        <w:spacing w:after="80" w:line="276"/>
      </w:pPr>
      <w:r>
        <w:rPr>
          <w:rFonts w:ascii="Arial" w:cs="Arial" w:eastAsia="Arial" w:hAnsi="Arial"/>
          <w:b/>
          <w:bCs/>
          <w:color w:val="333333"/>
          <w:sz w:val="21"/>
          <w:szCs w:val="21"/>
        </w:rPr>
        <w:t xml:space="preserve">Denials are preventable with IT: </w:t>
      </w:r>
      <w:r>
        <w:rPr>
          <w:rFonts w:ascii="Arial" w:cs="Arial" w:eastAsia="Arial" w:hAnsi="Arial"/>
          <w:color w:val="333333"/>
          <w:sz w:val="21"/>
          <w:szCs w:val="21"/>
        </w:rPr>
        <w:t xml:space="preserve">The majority of claim denials stem from registration errors, missing authorizations, and coding mistakes — all addressable through IT system improvements, real-time eligibility verification, CDS rules, and claim scrubbing edits.</w:t>
      </w:r>
    </w:p>
    <w:p>
      <w:pPr>
        <w:pStyle w:val="ListParagraph"/>
        <w:numPr>
          <w:ilvl w:val="0"/>
          <w:numId w:val="2"/>
        </w:numPr>
        <w:spacing w:after="80" w:line="276"/>
      </w:pPr>
      <w:r>
        <w:rPr>
          <w:rFonts w:ascii="Arial" w:cs="Arial" w:eastAsia="Arial" w:hAnsi="Arial"/>
          <w:b/>
          <w:bCs/>
          <w:color w:val="333333"/>
          <w:sz w:val="21"/>
          <w:szCs w:val="21"/>
        </w:rPr>
        <w:t xml:space="preserve">Financial metrics are healthcare-specific: </w:t>
      </w:r>
      <w:r>
        <w:rPr>
          <w:rFonts w:ascii="Arial" w:cs="Arial" w:eastAsia="Arial" w:hAnsi="Arial"/>
          <w:color w:val="333333"/>
          <w:sz w:val="21"/>
          <w:szCs w:val="21"/>
        </w:rPr>
        <w:t xml:space="preserve">Days in A/R, clean claim rate, CMI, denial rate, and net collection rate are the financial vital signs of a healthcare organization. IT systems must calculate and present these metrics accurately.</w:t>
      </w:r>
    </w:p>
    <w:p>
      <w:pPr>
        <w:pStyle w:val="ListParagraph"/>
        <w:numPr>
          <w:ilvl w:val="0"/>
          <w:numId w:val="2"/>
        </w:numPr>
        <w:spacing w:after="80" w:line="276"/>
      </w:pPr>
      <w:r>
        <w:rPr>
          <w:rFonts w:ascii="Arial" w:cs="Arial" w:eastAsia="Arial" w:hAnsi="Arial"/>
          <w:b/>
          <w:bCs/>
          <w:color w:val="333333"/>
          <w:sz w:val="21"/>
          <w:szCs w:val="21"/>
        </w:rPr>
        <w:t xml:space="preserve">Compliance is non-negotiable: </w:t>
      </w:r>
      <w:r>
        <w:rPr>
          <w:rFonts w:ascii="Arial" w:cs="Arial" w:eastAsia="Arial" w:hAnsi="Arial"/>
          <w:color w:val="333333"/>
          <w:sz w:val="21"/>
          <w:szCs w:val="21"/>
        </w:rPr>
        <w:t xml:space="preserve">False Claims Act, Anti-Kickback Statute, Stark Law, No Surprises Act, and price transparency requirements create legal exposure. IT systems must enforce compliance at every stage.</w:t>
      </w:r>
    </w:p>
    <w:p>
      <w:pPr>
        <w:pStyle w:val="ListParagraph"/>
        <w:numPr>
          <w:ilvl w:val="0"/>
          <w:numId w:val="2"/>
        </w:numPr>
        <w:spacing w:after="80" w:line="276"/>
      </w:pPr>
      <w:r>
        <w:rPr>
          <w:rFonts w:ascii="Arial" w:cs="Arial" w:eastAsia="Arial" w:hAnsi="Arial"/>
          <w:b/>
          <w:bCs/>
          <w:color w:val="333333"/>
          <w:sz w:val="21"/>
          <w:szCs w:val="21"/>
        </w:rPr>
        <w:t xml:space="preserve">AI is transforming revenue cycle: </w:t>
      </w:r>
      <w:r>
        <w:rPr>
          <w:rFonts w:ascii="Arial" w:cs="Arial" w:eastAsia="Arial" w:hAnsi="Arial"/>
          <w:color w:val="333333"/>
          <w:sz w:val="21"/>
          <w:szCs w:val="21"/>
        </w:rPr>
        <w:t xml:space="preserve">Autonomous coding, denial prediction, RPA for administrative tasks, and AI-powered CDI are rapidly changing how revenue cycle operations work. IT professionals must lead this transformation.</w:t>
      </w:r>
    </w:p>
    <w:p>
      <w:pPr>
        <w:pBdr>
          <w:bottom w:val="single" w:color="2E75B6" w:sz="6" w:space="1"/>
        </w:pBdr>
        <w:spacing w:before="200" w:after="200"/>
      </w:pPr>
    </w:p>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Final Thought</w:t>
            </w:r>
          </w:p>
          <w:p>
            <w:pPr>
              <w:spacing w:after="0" w:line="276"/>
            </w:pPr>
            <w:r>
              <w:rPr>
                <w:rFonts w:ascii="Arial" w:cs="Arial" w:eastAsia="Arial" w:hAnsi="Arial"/>
                <w:i/>
                <w:iCs/>
                <w:color w:val="333333"/>
                <w:sz w:val="20"/>
                <w:szCs w:val="20"/>
              </w:rPr>
              <w:t xml:space="preserve">In healthcare, clinical excellence and financial sustainability are inseparable. The best clinical care in the world cannot continue if the organization cannot capture, bill, and collect the revenue needed to fund operations. IT professionals who understand healthcare finance build systems that keep hospitals open, fund innovation, and ultimately serve patients. The revenue cycle is not just about money — it is about sustaining the mission of healthcare.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Healthcare Finance &amp; Revenue Cycle</w:t>
    </w:r>
    <w:r>
      <w:rPr>
        <w:rFonts w:ascii="Arial" w:cs="Arial" w:eastAsia="Arial" w:hAnsi="Arial"/>
        <w:i/>
        <w:iCs/>
        <w:color w:val="666666"/>
        <w:sz w:val="18"/>
        <w:szCs w:val="18"/>
      </w:rPr>
      <w:t xml:space="preserve">	Section 1.4 — Healthcare Domain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2026-02-27T00:58:41.284Z</dcterms:created>
  <dcterms:modified xsi:type="dcterms:W3CDTF">2026-02-27T00:58:41.285Z</dcterms:modified>
</cp:coreProperties>
</file>

<file path=docProps/custom.xml><?xml version="1.0" encoding="utf-8"?>
<Properties xmlns="http://schemas.openxmlformats.org/officeDocument/2006/custom-properties" xmlns:vt="http://schemas.openxmlformats.org/officeDocument/2006/docPropsVTypes"/>
</file>