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HEALTHCARE REGULATORY</w:t>
      </w:r>
    </w:p>
    <w:p>
      <w:pPr>
        <w:spacing w:after="100"/>
        <w:jc w:val="center"/>
      </w:pPr>
      <w:r>
        <w:rPr>
          <w:rFonts w:ascii="Arial" w:cs="Arial" w:eastAsia="Arial" w:hAnsi="Arial"/>
          <w:b/>
          <w:bCs/>
          <w:color w:val="1B3A5C"/>
          <w:sz w:val="52"/>
          <w:szCs w:val="52"/>
        </w:rPr>
        <w:t xml:space="preserve">&amp; COMPLIANCE FRAMEWORK</w:t>
      </w:r>
    </w:p>
    <w:p>
      <w:pPr>
        <w:pBdr>
          <w:bottom w:val="single" w:color="2E75B6" w:sz="8" w:space="1"/>
        </w:pBdr>
        <w:spacing w:after="400"/>
        <w:jc w:val="center"/>
      </w:pPr>
    </w:p>
    <w:p>
      <w:pPr>
        <w:spacing w:after="120"/>
        <w:jc w:val="center"/>
      </w:pPr>
      <w:r>
        <w:rPr>
          <w:rFonts w:ascii="Arial" w:cs="Arial" w:eastAsia="Arial" w:hAnsi="Arial"/>
          <w:i/>
          <w:iCs/>
          <w:color w:val="2E75B6"/>
          <w:sz w:val="28"/>
          <w:szCs w:val="28"/>
        </w:rPr>
        <w:t xml:space="preserve">A Comprehensive Technical Reference for Healthcare IT Professionals</w:t>
      </w:r>
    </w:p>
    <w:p>
      <w:pPr>
        <w:spacing w:after="120"/>
        <w:jc w:val="center"/>
      </w:pPr>
      <w:r>
        <w:rPr>
          <w:rFonts w:ascii="Arial" w:cs="Arial" w:eastAsia="Arial" w:hAnsi="Arial"/>
          <w:color w:val="666666"/>
          <w:sz w:val="22"/>
          <w:szCs w:val="22"/>
        </w:rPr>
        <w:t xml:space="preserve">Section 1.5 — Healthcare Domain Mastery Learning Path</w:t>
      </w:r>
    </w:p>
    <w:p>
      <w:pPr>
        <w:spacing w:after="2000"/>
        <w:jc w:val="center"/>
      </w:pPr>
      <w:r>
        <w:rPr>
          <w:rFonts w:ascii="Arial" w:cs="Arial" w:eastAsia="Arial" w:hAnsi="Arial"/>
          <w:color w:val="666666"/>
          <w:sz w:val="20"/>
          <w:szCs w:val="20"/>
        </w:rPr>
        <w:t xml:space="preserve">Covering HIPAA, HITECH, 21st Century Cures Act, CMS Conditions of Participation, Joint Commission Standards, FDA Health IT Regulation, State-Level Regulations, Anti-Kickback &amp; Stark Law, ONC &amp; CEHRT Requirements, and CMS Quality Programs</w:t>
      </w:r>
    </w:p>
    <w:p>
      <w:pPr>
        <w:spacing w:after="200"/>
        <w:jc w:val="center"/>
      </w:pPr>
      <w:r>
        <w:rPr>
          <w:rFonts w:ascii="Arial" w:cs="Arial" w:eastAsia="Arial" w:hAnsi="Arial"/>
          <w:color w:val="666666"/>
          <w:sz w:val="22"/>
          <w:szCs w:val="22"/>
        </w:rPr>
        <w:t xml:space="preserve">February 2026</w:t>
      </w:r>
    </w:p>
    <w:p>
      <w:r>
        <w:br w:type="page"/>
      </w: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Introduction</w:t>
      </w:r>
    </w:p>
    <w:p>
      <w:pPr>
        <w:spacing w:after="160" w:line="276"/>
      </w:pPr>
      <w:r>
        <w:rPr>
          <w:rFonts w:ascii="Arial" w:cs="Arial" w:eastAsia="Arial" w:hAnsi="Arial"/>
          <w:color w:val="333333"/>
          <w:sz w:val="21"/>
          <w:szCs w:val="21"/>
        </w:rPr>
        <w:t xml:space="preserve">Healthcare is one of the most heavily regulated industries in the world. In the United States, a complex web of federal and state laws, regulations, accreditation standards, and government programs governs virtually every aspect of healthcare delivery — and every IT system that supports it. For health IT professionals, regulatory compliance is not a peripheral concern; it is woven into every system design decision, every configuration choice, every interface specification, and every data governance policy.</w:t>
      </w:r>
    </w:p>
    <w:p>
      <w:pPr>
        <w:spacing w:after="160" w:line="276"/>
      </w:pPr>
      <w:r>
        <w:rPr>
          <w:rFonts w:ascii="Arial" w:cs="Arial" w:eastAsia="Arial" w:hAnsi="Arial"/>
          <w:color w:val="333333"/>
          <w:sz w:val="21"/>
          <w:szCs w:val="21"/>
        </w:rPr>
        <w:t xml:space="preserve">This document provides an exhaustive technical reference covering every major regulatory and compliance framework that shapes healthcare IT. It is organized to give IT professionals both the conceptual understanding and the practical, implementation-level detail needed to build, configure, and maintain compliant healthcare technology systems.</w:t>
      </w:r>
    </w:p>
    <w:p>
      <w:pPr>
        <w:spacing w:after="160" w:line="276"/>
      </w:pPr>
      <w:r>
        <w:rPr>
          <w:rFonts w:ascii="Arial" w:cs="Arial" w:eastAsia="Arial" w:hAnsi="Arial"/>
          <w:color w:val="333333"/>
          <w:sz w:val="21"/>
          <w:szCs w:val="21"/>
        </w:rPr>
        <w:t xml:space="preserve">Every section explicitly connects regulatory requirements to IT system design, configuration, and operations — because in healthcare, compliance is not something you bolt on after the fact. It must be engineered into the foundation of every system from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DEC" w:val="clear"/>
            <w:tcMar>
              <w:top w:type="dxa" w:w="120"/>
              <w:left w:type="dxa" w:w="200"/>
              <w:bottom w:type="dxa" w:w="120"/>
              <w:right w:type="dxa" w:w="200"/>
            </w:tcMar>
          </w:tcPr>
          <w:p>
            <w:pPr>
              <w:spacing w:after="80"/>
            </w:pPr>
            <w:r>
              <w:rPr>
                <w:rFonts w:ascii="Arial" w:cs="Arial" w:eastAsia="Arial" w:hAnsi="Arial"/>
                <w:b/>
                <w:bCs/>
                <w:color w:val="C0392B"/>
                <w:sz w:val="21"/>
                <w:szCs w:val="21"/>
              </w:rPr>
              <w:t xml:space="preserve">Critical Understanding</w:t>
            </w:r>
          </w:p>
          <w:p>
            <w:pPr>
              <w:spacing w:after="0" w:line="276"/>
            </w:pPr>
            <w:r>
              <w:rPr>
                <w:rFonts w:ascii="Arial" w:cs="Arial" w:eastAsia="Arial" w:hAnsi="Arial"/>
                <w:i/>
                <w:iCs/>
                <w:color w:val="333333"/>
                <w:sz w:val="20"/>
                <w:szCs w:val="20"/>
              </w:rPr>
              <w:t xml:space="preserve">Non-compliance in healthcare IT is not merely a business risk — it is a patient safety risk, a legal risk, and an existential organizational risk. HIPAA violations can cost up to $2.1 million per violation category per year. False Claims Act violations can result in treble damages plus $11,000–$23,000 per false claim. A single data breach can cost an organization $10+ million in fines, legal costs, and remediation. IT professionals must understand that compliance is a core requirement, not an optional feature.</w:t>
            </w:r>
          </w:p>
        </w:tc>
      </w:tr>
    </w:tbl>
    <w:p>
      <w:pPr>
        <w:spacing w:after="160" w:line="276"/>
      </w:pPr>
      <w:r>
        <w:rPr>
          <w:rFonts w:ascii="Arial" w:cs="Arial" w:eastAsia="Arial" w:hAnsi="Arial"/>
          <w:color w:val="333333"/>
          <w:sz w:val="21"/>
          <w:szCs w:val="21"/>
        </w:rPr>
        <w:t xml:space="preserve"/>
      </w:r>
    </w:p>
    <w:p>
      <w:r>
        <w:br w:type="page"/>
      </w:r>
    </w:p>
    <w:p>
      <w:pPr>
        <w:pStyle w:val="Heading1"/>
        <w:spacing w:before="360" w:after="200"/>
      </w:pPr>
      <w:r>
        <w:rPr>
          <w:rFonts w:ascii="Arial" w:cs="Arial" w:eastAsia="Arial" w:hAnsi="Arial"/>
          <w:b/>
          <w:bCs/>
          <w:color w:val="1B3A5C"/>
          <w:sz w:val="32"/>
          <w:szCs w:val="32"/>
        </w:rPr>
        <w:t xml:space="preserve">2. HIPAA: Health Insurance Portability and Accountability Act</w:t>
      </w:r>
    </w:p>
    <w:p>
      <w:pPr>
        <w:spacing w:after="160" w:line="276"/>
      </w:pPr>
      <w:r>
        <w:rPr>
          <w:rFonts w:ascii="Arial" w:cs="Arial" w:eastAsia="Arial" w:hAnsi="Arial"/>
          <w:color w:val="333333"/>
          <w:sz w:val="21"/>
          <w:szCs w:val="21"/>
        </w:rPr>
        <w:t xml:space="preserve">HIPAA, enacted in 1996 and substantially expanded by the HITECH Act in 2009, is the foundational federal law governing health information privacy, security, and electronic transaction standards. Every healthcare IT professional must have a deep, working knowledge of HIPAA because it affects every system that creates, receives, maintains, or transmits Protected Health Information (PHI).</w:t>
      </w:r>
    </w:p>
    <w:p>
      <w:pPr>
        <w:pStyle w:val="Heading2"/>
        <w:spacing w:before="280" w:after="160"/>
      </w:pPr>
      <w:r>
        <w:rPr>
          <w:rFonts w:ascii="Arial" w:cs="Arial" w:eastAsia="Arial" w:hAnsi="Arial"/>
          <w:b/>
          <w:bCs/>
          <w:color w:val="2E75B6"/>
          <w:sz w:val="26"/>
          <w:szCs w:val="26"/>
        </w:rPr>
        <w:t xml:space="preserve">2.1 HIPAA Overview &amp; Scope</w:t>
      </w:r>
    </w:p>
    <w:p>
      <w:pPr>
        <w:pStyle w:val="Heading3"/>
        <w:spacing w:before="200" w:after="120"/>
      </w:pPr>
      <w:r>
        <w:rPr>
          <w:rFonts w:ascii="Arial" w:cs="Arial" w:eastAsia="Arial" w:hAnsi="Arial"/>
          <w:b/>
          <w:bCs/>
          <w:color w:val="1B3A5C"/>
          <w:sz w:val="22"/>
          <w:szCs w:val="22"/>
        </w:rPr>
        <w:t xml:space="preserve">2.1.1 Covered Entities &amp; Business Associates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29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HIPAA Obligations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Covered Entity (CE)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Organization that electronically transmits health information in connection with HIPAA-covered transactions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Hospitals, physician practices, health plans, clearinghouses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comply with all HIPAA rules; responsible for PHI protection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Business Associate (BA)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Person or entity that performs functions involving PHI on behalf of a covered entity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EHR vendors, cloud hosting providers, billing services, IT consultants, HIEs, analytics companies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sign Business Associate Agreement (BAA); directly liable for HIPAA compliance since HITECH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Subcontractor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Entity that creates, receives, maintains, or transmits PHI on behalf of a business associate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 subprocessors (e.g., AWS hosting an EHR vendor’s platform), offshore coding companies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Must sign BA agreement with the business associate; chain of liability extends to all subcontractors</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2.1.2 Protected Health Information (PHI)</w:t>
      </w:r>
    </w:p>
    <w:p>
      <w:pPr>
        <w:spacing w:after="160" w:line="276"/>
      </w:pPr>
      <w:r>
        <w:rPr>
          <w:rFonts w:ascii="Arial" w:cs="Arial" w:eastAsia="Arial" w:hAnsi="Arial"/>
          <w:color w:val="333333"/>
          <w:sz w:val="21"/>
          <w:szCs w:val="21"/>
        </w:rPr>
        <w:t xml:space="preserve">PHI is individually identifiable health information held or transmitted by a covered entity or business associate. Understanding what constitutes PHI is essential for IT system design, data classification, and access control.</w:t>
      </w:r>
    </w:p>
    <w:p>
      <w:pPr>
        <w:spacing w:after="160" w:line="276"/>
      </w:pPr>
      <w:r>
        <w:rPr>
          <w:rFonts w:ascii="Arial" w:cs="Arial" w:eastAsia="Arial" w:hAnsi="Arial"/>
          <w:b/>
          <w:bCs/>
          <w:color w:val="333333"/>
          <w:sz w:val="21"/>
          <w:szCs w:val="21"/>
        </w:rPr>
        <w:t xml:space="preserve">The 18 HIPAA Identifiers: </w:t>
      </w:r>
      <w:r>
        <w:rPr>
          <w:rFonts w:ascii="Arial" w:cs="Arial" w:eastAsia="Arial" w:hAnsi="Arial"/>
          <w:color w:val="333333"/>
          <w:sz w:val="21"/>
          <w:szCs w:val="21"/>
        </w:rPr>
        <w:t xml:space="preserve">Names; geographic data smaller than state; dates (except year) related to an individual; phone numbers; fax numbers; email addresses; Social Security numbers; medical record numbers; health plan beneficiary numbers; account numbers; certificate/license numbers; vehicle identifiers; device identifiers and serial numbers; web URLs; IP addresses; biometric identifiers; full-face photographs; any other unique identifying number, characteristic, or code.</w:t>
      </w:r>
    </w:p>
    <w:p>
      <w:pPr>
        <w:spacing w:after="160" w:line="276"/>
      </w:pPr>
      <w:r>
        <w:rPr>
          <w:rFonts w:ascii="Arial" w:cs="Arial" w:eastAsia="Arial" w:hAnsi="Arial"/>
          <w:b/>
          <w:bCs/>
          <w:color w:val="333333"/>
          <w:sz w:val="21"/>
          <w:szCs w:val="21"/>
        </w:rPr>
        <w:t xml:space="preserve">Electronic PHI (ePHI): </w:t>
      </w:r>
      <w:r>
        <w:rPr>
          <w:rFonts w:ascii="Arial" w:cs="Arial" w:eastAsia="Arial" w:hAnsi="Arial"/>
          <w:color w:val="333333"/>
          <w:sz w:val="21"/>
          <w:szCs w:val="21"/>
        </w:rPr>
        <w:t xml:space="preserve">PHI in electronic form — the primary focus of the HIPAA Security Rule. This includes ePHI in EHR databases, HL7 messages, FHIR resources, email, cloud storage, mobile devices, backup media, and any other electronic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IT Design Principle</w:t>
            </w:r>
          </w:p>
          <w:p>
            <w:pPr>
              <w:spacing w:after="0" w:line="276"/>
            </w:pPr>
            <w:r>
              <w:rPr>
                <w:rFonts w:ascii="Arial" w:cs="Arial" w:eastAsia="Arial" w:hAnsi="Arial"/>
                <w:i/>
                <w:iCs/>
                <w:color w:val="333333"/>
                <w:sz w:val="20"/>
                <w:szCs w:val="20"/>
              </w:rPr>
              <w:t xml:space="preserve">Every IT system must be classified based on whether it creates, receives, maintains, or transmits PHI. Systems handling PHI require the full complement of HIPAA security controls. Systems that can be designed to avoid PHI (using de-identified or limited data sets) reduce compliance scope and risk.</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2.2 HIPAA Privacy Rule</w:t>
      </w:r>
    </w:p>
    <w:p>
      <w:pPr>
        <w:spacing w:after="160" w:line="276"/>
      </w:pPr>
      <w:r>
        <w:rPr>
          <w:rFonts w:ascii="Arial" w:cs="Arial" w:eastAsia="Arial" w:hAnsi="Arial"/>
          <w:color w:val="333333"/>
          <w:sz w:val="21"/>
          <w:szCs w:val="21"/>
        </w:rPr>
        <w:t xml:space="preserve">The Privacy Rule establishes national standards for the protection of PHI and defines patients’ rights over their health information. It governs how PHI may be used and disclosed by covered entities and business associates.</w:t>
      </w:r>
    </w:p>
    <w:p>
      <w:pPr>
        <w:pStyle w:val="Heading3"/>
        <w:spacing w:before="200" w:after="120"/>
      </w:pPr>
      <w:r>
        <w:rPr>
          <w:rFonts w:ascii="Arial" w:cs="Arial" w:eastAsia="Arial" w:hAnsi="Arial"/>
          <w:b/>
          <w:bCs/>
          <w:color w:val="1B3A5C"/>
          <w:sz w:val="22"/>
          <w:szCs w:val="22"/>
        </w:rPr>
        <w:t xml:space="preserve">2.2.1 Permitted Uses &amp; Disclosures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System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Treatment, Payment, Operations (TPO)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PHI may be used/disclosed for treatment, payment, and healthcare operations without patient authorization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Role-based access controls aligned with job function; audit logging of all access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Authorization Required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Uses beyond TPO (marketing, sale of PHI, most research, psychotherapy notes) require signed patient authorization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Authorization management workflow, consent tracking, expiration date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Necessary Standard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 the minimum PHI needed to accomplish the purpose should be accessed/disclosed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RBAC/ABAC limiting data visibility by role; data segmentation; field-level access controls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Rights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Access, amendment, accounting of disclosures, restriction requests, confidential communications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portal access to records, amendment request workflow, disclosure tracking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De-Identification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stripped of all 18 identifiers (Safe Harbor) or certified by expert (Expert Determination) is not PHI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De-identification algorithms, data masking tools, re-identification risk assessment</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2.2.2 Patient Rights Under the Privacy Rule</w:t>
      </w:r>
    </w:p>
    <w:p>
      <w:pPr>
        <w:pStyle w:val="ListParagraph"/>
        <w:numPr>
          <w:ilvl w:val="0"/>
          <w:numId w:val="2"/>
        </w:numPr>
        <w:spacing w:after="80" w:line="276"/>
      </w:pPr>
      <w:r>
        <w:rPr>
          <w:rFonts w:ascii="Arial" w:cs="Arial" w:eastAsia="Arial" w:hAnsi="Arial"/>
          <w:b/>
          <w:bCs/>
          <w:color w:val="333333"/>
          <w:sz w:val="21"/>
          <w:szCs w:val="21"/>
        </w:rPr>
        <w:t xml:space="preserve">Right of Access: </w:t>
      </w:r>
      <w:r>
        <w:rPr>
          <w:rFonts w:ascii="Arial" w:cs="Arial" w:eastAsia="Arial" w:hAnsi="Arial"/>
          <w:color w:val="333333"/>
          <w:sz w:val="21"/>
          <w:szCs w:val="21"/>
        </w:rPr>
        <w:t xml:space="preserve">Patients have the right to access and obtain copies of their PHI. The 21st Century Cures Act strengthened this right and prohibits information blocking. IT systems must support patient record requests, portal access, and electronic delivery of health information within 30 days.</w:t>
      </w:r>
    </w:p>
    <w:p>
      <w:pPr>
        <w:pStyle w:val="ListParagraph"/>
        <w:numPr>
          <w:ilvl w:val="0"/>
          <w:numId w:val="2"/>
        </w:numPr>
        <w:spacing w:after="80" w:line="276"/>
      </w:pPr>
      <w:r>
        <w:rPr>
          <w:rFonts w:ascii="Arial" w:cs="Arial" w:eastAsia="Arial" w:hAnsi="Arial"/>
          <w:b/>
          <w:bCs/>
          <w:color w:val="333333"/>
          <w:sz w:val="21"/>
          <w:szCs w:val="21"/>
        </w:rPr>
        <w:t xml:space="preserve">Right to Amendment: </w:t>
      </w:r>
      <w:r>
        <w:rPr>
          <w:rFonts w:ascii="Arial" w:cs="Arial" w:eastAsia="Arial" w:hAnsi="Arial"/>
          <w:color w:val="333333"/>
          <w:sz w:val="21"/>
          <w:szCs w:val="21"/>
        </w:rPr>
        <w:t xml:space="preserve">Patients can request amendments to their PHI. IT systems must support amendment request workflows with acceptance/denial tracking and documentation appended to the record.</w:t>
      </w:r>
    </w:p>
    <w:p>
      <w:pPr>
        <w:pStyle w:val="ListParagraph"/>
        <w:numPr>
          <w:ilvl w:val="0"/>
          <w:numId w:val="2"/>
        </w:numPr>
        <w:spacing w:after="80" w:line="276"/>
      </w:pPr>
      <w:r>
        <w:rPr>
          <w:rFonts w:ascii="Arial" w:cs="Arial" w:eastAsia="Arial" w:hAnsi="Arial"/>
          <w:b/>
          <w:bCs/>
          <w:color w:val="333333"/>
          <w:sz w:val="21"/>
          <w:szCs w:val="21"/>
        </w:rPr>
        <w:t xml:space="preserve">Right to Accounting of Disclosures: </w:t>
      </w:r>
      <w:r>
        <w:rPr>
          <w:rFonts w:ascii="Arial" w:cs="Arial" w:eastAsia="Arial" w:hAnsi="Arial"/>
          <w:color w:val="333333"/>
          <w:sz w:val="21"/>
          <w:szCs w:val="21"/>
        </w:rPr>
        <w:t xml:space="preserve">Patients can request a list of disclosures of their PHI made by the covered entity. IT systems must log all disclosures (except for TPO, to the individual, and certain other exceptions) with date, recipient, and purpose.</w:t>
      </w:r>
    </w:p>
    <w:p>
      <w:pPr>
        <w:pStyle w:val="ListParagraph"/>
        <w:numPr>
          <w:ilvl w:val="0"/>
          <w:numId w:val="2"/>
        </w:numPr>
        <w:spacing w:after="80" w:line="276"/>
      </w:pPr>
      <w:r>
        <w:rPr>
          <w:rFonts w:ascii="Arial" w:cs="Arial" w:eastAsia="Arial" w:hAnsi="Arial"/>
          <w:b/>
          <w:bCs/>
          <w:color w:val="333333"/>
          <w:sz w:val="21"/>
          <w:szCs w:val="21"/>
        </w:rPr>
        <w:t xml:space="preserve">Right to Request Restrictions: </w:t>
      </w:r>
      <w:r>
        <w:rPr>
          <w:rFonts w:ascii="Arial" w:cs="Arial" w:eastAsia="Arial" w:hAnsi="Arial"/>
          <w:color w:val="333333"/>
          <w:sz w:val="21"/>
          <w:szCs w:val="21"/>
        </w:rPr>
        <w:t xml:space="preserve">Patients can request restrictions on certain uses/disclosures. If a patient pays out-of-pocket in full, the provider must restrict disclosure to the health plan for that service. IT systems must support restriction flags and payment-method-based disclosure rules.</w:t>
      </w:r>
    </w:p>
    <w:p>
      <w:pPr>
        <w:pStyle w:val="ListParagraph"/>
        <w:numPr>
          <w:ilvl w:val="0"/>
          <w:numId w:val="2"/>
        </w:numPr>
        <w:spacing w:after="80" w:line="276"/>
      </w:pPr>
      <w:r>
        <w:rPr>
          <w:rFonts w:ascii="Arial" w:cs="Arial" w:eastAsia="Arial" w:hAnsi="Arial"/>
          <w:b/>
          <w:bCs/>
          <w:color w:val="333333"/>
          <w:sz w:val="21"/>
          <w:szCs w:val="21"/>
        </w:rPr>
        <w:t xml:space="preserve">Right to Confidential Communications: </w:t>
      </w:r>
      <w:r>
        <w:rPr>
          <w:rFonts w:ascii="Arial" w:cs="Arial" w:eastAsia="Arial" w:hAnsi="Arial"/>
          <w:color w:val="333333"/>
          <w:sz w:val="21"/>
          <w:szCs w:val="21"/>
        </w:rPr>
        <w:t xml:space="preserve">Patients can request communications via alternative means/locations. IT systems must support communication preference management.</w:t>
      </w:r>
    </w:p>
    <w:p>
      <w:pPr>
        <w:pStyle w:val="Heading2"/>
        <w:spacing w:before="280" w:after="160"/>
      </w:pPr>
      <w:r>
        <w:rPr>
          <w:rFonts w:ascii="Arial" w:cs="Arial" w:eastAsia="Arial" w:hAnsi="Arial"/>
          <w:b/>
          <w:bCs/>
          <w:color w:val="2E75B6"/>
          <w:sz w:val="26"/>
          <w:szCs w:val="26"/>
        </w:rPr>
        <w:t xml:space="preserve">2.3 HIPAA Security Rule</w:t>
      </w:r>
    </w:p>
    <w:p>
      <w:pPr>
        <w:spacing w:after="160" w:line="276"/>
      </w:pPr>
      <w:r>
        <w:rPr>
          <w:rFonts w:ascii="Arial" w:cs="Arial" w:eastAsia="Arial" w:hAnsi="Arial"/>
          <w:color w:val="333333"/>
          <w:sz w:val="21"/>
          <w:szCs w:val="21"/>
        </w:rPr>
        <w:t xml:space="preserve">The Security Rule establishes national standards for protecting ePHI. It requires covered entities and business associates to implement administrative, physical, and technical safeguards to ensure the confidentiality, integrity, and availability of ePHI. This is the rule most directly relevant to IT professionals.</w:t>
      </w:r>
    </w:p>
    <w:p>
      <w:pPr>
        <w:pStyle w:val="Heading3"/>
        <w:spacing w:before="200" w:after="120"/>
      </w:pPr>
      <w:r>
        <w:rPr>
          <w:rFonts w:ascii="Arial" w:cs="Arial" w:eastAsia="Arial" w:hAnsi="Arial"/>
          <w:b/>
          <w:bCs/>
          <w:color w:val="1B3A5C"/>
          <w:sz w:val="22"/>
          <w:szCs w:val="22"/>
        </w:rPr>
        <w:t xml:space="preserve">2.3.1 Administrative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Management Process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 analysis, risk management, sanction policy, IS activity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security risk assessment (SRA), vulnerability scanning, penetration testing, SIEM log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Assigned Security Responsibility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Designated security official responsible for HIPAA security policies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CISO/Security Officer role, security governance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Workforce Security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Authorization/supervision, workforce clearance, termination procedures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 checks, access provisioning/deprovisioning, HR-IT integration for termination workflows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Information Access Management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Access authorization, access establishment/modification policies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IAM system, RBAC/ABAC, access request workflows, periodic access reviews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Awareness &amp; Training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reminders, protection from malicious software, login monitoring, password management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HIPAA training, phishing simulation, security awareness program, LMS tracking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Security Incident Procedures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Response and reporting procedures for security incidents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Incident response plan, security event detection (SIEM/SOAR), forensic investigation 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Contingency Plan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backup, disaster recovery, emergency mode operations, testing, application criticality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Backup systems, DR plan with RPO/RTO targets, annual DR testing, BIA for clinical systems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Evaluation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Periodic technical and non-technical evaluation of security controls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Annual security assessments, HITRUST certification, penetration testing, compliance audits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Associate Contracts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Written BAA with all business associates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BAA management system, vendor inventory, contract tracking</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2.3.2 Physical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Facility Access Controls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Contingency operations, facility security plan, access control/validation, maintenance records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Badge access systems, visitor management, data center access controls, security cameras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Workstation Use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Policies for workstation use in clinical and non-clinical areas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Screen lock policies, privacy screens, clean desk policy, workstation placement guidelines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Workstation Security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Physical safeguards for workstations accessing ePHI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Cable locks, secured rooms, VDI/thin clients in public areas, auto-lock timeouts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Device and Media Controls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Disposal, media re-use, accountability, data backup and storage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Certified media destruction, NIST 800-88 sanitization, encrypted portable media, asset tracking</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2.3.3 Technical Safeguards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Implementation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user identification, emergency access, automatic logoff, encryption/decryption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user IDs (no shared accounts), break-glass emergency access procedures, session timeouts (15-min clinical standard), AES-256 encryption at rest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Audit Controls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Hardware, software, and procedural mechanisms to record and examine access to ePHI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Comprehensive audit logging, SIEM integration, user access reports, anomaly detection, log retention (6+ years)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Mechanism to authenticate ePHI and protect against improper alteration or destruction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integrity controls, checksums, database transaction logging, backup verification, change detection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Person or Entity Authentication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Verify identity of person or entity seeking access to ePHI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Multi-factor authentication (MFA), SSO with strong authentication, certificate-based authentication, biometric options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Transmission 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Integrity controls and encryption for ePHI in transit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TLS 1.2+ for all data in transit, VPN for remote access, encrypted email for PHI, SFTP for file transfers</w:t>
            </w:r>
          </w:p>
        </w:tc>
      </w:tr>
    </w:tbl>
    <w:p>
      <w:pPr>
        <w:spacing w:after="160" w:line="276"/>
      </w:pPr>
      <w:r>
        <w:rPr>
          <w:rFonts w:ascii="Arial" w:cs="Arial" w:eastAsia="Arial" w:hAnsi="Arial"/>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2"/>
              <w:bottom w:val="single" w:color="E67E22" w:sz="1"/>
              <w:right w:val="single" w:color="E67E22" w:sz="1"/>
            </w:tcBorders>
            <w:shd w:fill="FEF5E7" w:val="clear"/>
            <w:tcMar>
              <w:top w:type="dxa" w:w="120"/>
              <w:left w:type="dxa" w:w="200"/>
              <w:bottom w:type="dxa" w:w="120"/>
              <w:right w:type="dxa" w:w="200"/>
            </w:tcMar>
          </w:tcPr>
          <w:p>
            <w:pPr>
              <w:spacing w:after="80"/>
            </w:pPr>
            <w:r>
              <w:rPr>
                <w:rFonts w:ascii="Arial" w:cs="Arial" w:eastAsia="Arial" w:hAnsi="Arial"/>
                <w:b/>
                <w:bCs/>
                <w:color w:val="E67E22"/>
                <w:sz w:val="21"/>
                <w:szCs w:val="21"/>
              </w:rPr>
              <w:t xml:space="preserve">Required vs. Addressable</w:t>
            </w:r>
          </w:p>
          <w:p>
            <w:pPr>
              <w:spacing w:after="0" w:line="276"/>
            </w:pPr>
            <w:r>
              <w:rPr>
                <w:rFonts w:ascii="Arial" w:cs="Arial" w:eastAsia="Arial" w:hAnsi="Arial"/>
                <w:i/>
                <w:iCs/>
                <w:color w:val="333333"/>
                <w:sz w:val="20"/>
                <w:szCs w:val="20"/>
              </w:rPr>
              <w:t xml:space="preserve">HIPAA Security Rule specifications are designated as ‘Required’ (must implement) or ‘Addressable’ (must assess and implement if reasonable/appropriate, or implement equivalent alternative and document rationale). Addressable does NOT mean optional. IT professionals must document the decision-making process for every addressable specification.</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2.4 HIPAA Breach Notification Rule</w:t>
      </w:r>
    </w:p>
    <w:p>
      <w:pPr>
        <w:spacing w:after="160" w:line="276"/>
      </w:pPr>
      <w:r>
        <w:rPr>
          <w:rFonts w:ascii="Arial" w:cs="Arial" w:eastAsia="Arial" w:hAnsi="Arial"/>
          <w:color w:val="333333"/>
          <w:sz w:val="21"/>
          <w:szCs w:val="21"/>
        </w:rPr>
        <w:t xml:space="preserve">The Breach Notification Rule requires covered entities and business associates to notify affected individuals, HHS (via the OCR breach portal), and in some cases the media, following a breach of unsecured PHI.</w:t>
      </w:r>
    </w:p>
    <w:p>
      <w:pPr>
        <w:pStyle w:val="Heading3"/>
        <w:spacing w:before="200" w:after="120"/>
      </w:pPr>
      <w:r>
        <w:rPr>
          <w:rFonts w:ascii="Arial" w:cs="Arial" w:eastAsia="Arial" w:hAnsi="Arial"/>
          <w:b/>
          <w:bCs/>
          <w:color w:val="1B3A5C"/>
          <w:sz w:val="22"/>
          <w:szCs w:val="22"/>
        </w:rPr>
        <w:t xml:space="preserve">2.4.1 Breach Definition &amp; Risk Assessment</w:t>
      </w:r>
    </w:p>
    <w:p>
      <w:pPr>
        <w:spacing w:after="160" w:line="276"/>
      </w:pPr>
      <w:r>
        <w:rPr>
          <w:rFonts w:ascii="Arial" w:cs="Arial" w:eastAsia="Arial" w:hAnsi="Arial"/>
          <w:color w:val="333333"/>
          <w:sz w:val="21"/>
          <w:szCs w:val="21"/>
        </w:rPr>
        <w:t xml:space="preserve">A breach is an impermissible use or disclosure of PHI that compromises the security or privacy of the PHI. Following discovery of a potential breach, a four-factor risk assessment determines whether notification is required:</w:t>
      </w:r>
    </w:p>
    <w:p>
      <w:pPr>
        <w:pStyle w:val="ListParagraph"/>
        <w:numPr>
          <w:ilvl w:val="0"/>
          <w:numId w:val="3"/>
        </w:numPr>
        <w:spacing w:after="80" w:line="276"/>
      </w:pPr>
      <w:r>
        <w:rPr>
          <w:rFonts w:ascii="Arial" w:cs="Arial" w:eastAsia="Arial" w:hAnsi="Arial"/>
          <w:b/>
          <w:bCs/>
          <w:color w:val="333333"/>
          <w:sz w:val="21"/>
          <w:szCs w:val="21"/>
        </w:rPr>
        <w:t xml:space="preserve">Nature and extent of PHI involved: </w:t>
      </w:r>
      <w:r>
        <w:rPr>
          <w:rFonts w:ascii="Arial" w:cs="Arial" w:eastAsia="Arial" w:hAnsi="Arial"/>
          <w:color w:val="333333"/>
          <w:sz w:val="21"/>
          <w:szCs w:val="21"/>
        </w:rPr>
        <w:t xml:space="preserve">Types of identifiers and likelihood of re-identification.</w:t>
      </w:r>
    </w:p>
    <w:p>
      <w:pPr>
        <w:pStyle w:val="ListParagraph"/>
        <w:numPr>
          <w:ilvl w:val="0"/>
          <w:numId w:val="3"/>
        </w:numPr>
        <w:spacing w:after="80" w:line="276"/>
      </w:pPr>
      <w:r>
        <w:rPr>
          <w:rFonts w:ascii="Arial" w:cs="Arial" w:eastAsia="Arial" w:hAnsi="Arial"/>
          <w:b/>
          <w:bCs/>
          <w:color w:val="333333"/>
          <w:sz w:val="21"/>
          <w:szCs w:val="21"/>
        </w:rPr>
        <w:t xml:space="preserve">Unauthorized person who used/received the PHI: </w:t>
      </w:r>
      <w:r>
        <w:rPr>
          <w:rFonts w:ascii="Arial" w:cs="Arial" w:eastAsia="Arial" w:hAnsi="Arial"/>
          <w:color w:val="333333"/>
          <w:sz w:val="21"/>
          <w:szCs w:val="21"/>
        </w:rPr>
        <w:t xml:space="preserve">Whether the recipient is also a covered entity/BA or an unauthorized individual.</w:t>
      </w:r>
    </w:p>
    <w:p>
      <w:pPr>
        <w:pStyle w:val="ListParagraph"/>
        <w:numPr>
          <w:ilvl w:val="0"/>
          <w:numId w:val="3"/>
        </w:numPr>
        <w:spacing w:after="80" w:line="276"/>
      </w:pPr>
      <w:r>
        <w:rPr>
          <w:rFonts w:ascii="Arial" w:cs="Arial" w:eastAsia="Arial" w:hAnsi="Arial"/>
          <w:b/>
          <w:bCs/>
          <w:color w:val="333333"/>
          <w:sz w:val="21"/>
          <w:szCs w:val="21"/>
        </w:rPr>
        <w:t xml:space="preserve">Whether PHI was actually acquired or viewed: </w:t>
      </w:r>
      <w:r>
        <w:rPr>
          <w:rFonts w:ascii="Arial" w:cs="Arial" w:eastAsia="Arial" w:hAnsi="Arial"/>
          <w:color w:val="333333"/>
          <w:sz w:val="21"/>
          <w:szCs w:val="21"/>
        </w:rPr>
        <w:t xml:space="preserve">Evidence of actual access vs. theoretical exposure.</w:t>
      </w:r>
    </w:p>
    <w:p>
      <w:pPr>
        <w:pStyle w:val="ListParagraph"/>
        <w:numPr>
          <w:ilvl w:val="0"/>
          <w:numId w:val="3"/>
        </w:numPr>
        <w:spacing w:after="80" w:line="276"/>
      </w:pPr>
      <w:r>
        <w:rPr>
          <w:rFonts w:ascii="Arial" w:cs="Arial" w:eastAsia="Arial" w:hAnsi="Arial"/>
          <w:b/>
          <w:bCs/>
          <w:color w:val="333333"/>
          <w:sz w:val="21"/>
          <w:szCs w:val="21"/>
        </w:rPr>
        <w:t xml:space="preserve">Extent of mitigation: </w:t>
      </w:r>
      <w:r>
        <w:rPr>
          <w:rFonts w:ascii="Arial" w:cs="Arial" w:eastAsia="Arial" w:hAnsi="Arial"/>
          <w:color w:val="333333"/>
          <w:sz w:val="21"/>
          <w:szCs w:val="21"/>
        </w:rPr>
        <w:t xml:space="preserve">Steps taken to mitigate the breach and reduce risk of harm.</w:t>
      </w:r>
    </w:p>
    <w:p>
      <w:pPr>
        <w:pStyle w:val="Heading3"/>
        <w:spacing w:before="200" w:after="120"/>
      </w:pPr>
      <w:r>
        <w:rPr>
          <w:rFonts w:ascii="Arial" w:cs="Arial" w:eastAsia="Arial" w:hAnsi="Arial"/>
          <w:b/>
          <w:bCs/>
          <w:color w:val="1B3A5C"/>
          <w:sz w:val="22"/>
          <w:szCs w:val="22"/>
        </w:rPr>
        <w:t xml:space="preserve">2.4.2 Notification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Notification Timeline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Notification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Breach affecting &lt;500 individuals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Within 60 days of discovery; annual log to HHS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Written notice to individuals; HHS log submitted annually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Breach affecting 500+ individuals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Within 60 days of discovery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Written notice to individuals, HHS notification, prominent media notice in affected state/jurisdiction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Business associate breach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 notifies covered entity within terms of BAA (often 30–60 days)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 notifies CE; CE is responsible for individual notification</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IT systems must support breach detection (SIEM/DLP/anomaly detection), breach investigation (forensic tools, audit log analysis), breach risk assessment documentation, notification management (affected individual identification, letter generation, tracking), and OCR breach portal reporting. The HHS “Wall of Shame” publicly lists all breaches affecting 500+ individuals.</w:t>
      </w:r>
    </w:p>
    <w:p>
      <w:pPr>
        <w:pStyle w:val="Heading2"/>
        <w:spacing w:before="280" w:after="160"/>
      </w:pPr>
      <w:r>
        <w:rPr>
          <w:rFonts w:ascii="Arial" w:cs="Arial" w:eastAsia="Arial" w:hAnsi="Arial"/>
          <w:b/>
          <w:bCs/>
          <w:color w:val="2E75B6"/>
          <w:sz w:val="26"/>
          <w:szCs w:val="26"/>
        </w:rPr>
        <w:t xml:space="preserve">2.5 HIPAA Transaction Standards</w:t>
      </w:r>
    </w:p>
    <w:p>
      <w:pPr>
        <w:spacing w:after="160" w:line="276"/>
      </w:pPr>
      <w:r>
        <w:rPr>
          <w:rFonts w:ascii="Arial" w:cs="Arial" w:eastAsia="Arial" w:hAnsi="Arial"/>
          <w:color w:val="333333"/>
          <w:sz w:val="21"/>
          <w:szCs w:val="21"/>
        </w:rPr>
        <w:t xml:space="preserve">HIPAA mandates standard electronic formats for healthcare transactions. These are the X12 EDI standards that IT professionals encounter in claims processing, eligibility verification, and payment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Transaction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X12 Standard</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Care Claim (Professional)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837P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Professional/physician claim submission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Health Care Claim (Institutional)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837I</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Hospital/facility claim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Care Claim (Dental)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837D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Dental claim submission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Eligibility Inquiry/Response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270/271</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Insurance eligibility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 Status Inquiry/Response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276/277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claim processing status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Health Care Payment/Remittance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835</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Electronic remittance advice / payment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Referral Authorization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278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 authorization request and response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Enrollment/Disenrollment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834</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Health plan enrollment and maintenance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 Payment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insurance premium payments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2.6 HIPAA Enforcement &amp;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31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Violation Level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Penalty Per Violation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Annual Maximum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Did not know and would not have known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$137–$68,928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$2,067,418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Tier 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Reasonable cause, not willful neglect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$1,379–$68,928</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$2,067,418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Willful neglect, corrected within 30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$13,785–$68,928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$2,067,418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Tier 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Willful neglect, not corrected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$68,928 minimum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$2,067,418</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color w:val="333333"/>
          <w:sz w:val="21"/>
          <w:szCs w:val="21"/>
        </w:rPr>
        <w:t xml:space="preserve">Criminal penalties under HIPAA can include fines up to $250,000 and imprisonment up to 10 years for knowingly obtaining or disclosing PHI. State Attorneys General can also bring civil actions for HIPAA violations on behalf of state residents.</w:t>
      </w:r>
    </w:p>
    <w:p>
      <w:r>
        <w:br w:type="page"/>
      </w:r>
    </w:p>
    <w:p>
      <w:pPr>
        <w:pStyle w:val="Heading1"/>
        <w:spacing w:before="360" w:after="200"/>
      </w:pPr>
      <w:r>
        <w:rPr>
          <w:rFonts w:ascii="Arial" w:cs="Arial" w:eastAsia="Arial" w:hAnsi="Arial"/>
          <w:b/>
          <w:bCs/>
          <w:color w:val="1B3A5C"/>
          <w:sz w:val="32"/>
          <w:szCs w:val="32"/>
        </w:rPr>
        <w:t xml:space="preserve">3. HITECH Act &amp; EHR Incentive Programs</w:t>
      </w:r>
    </w:p>
    <w:p>
      <w:pPr>
        <w:spacing w:after="160" w:line="276"/>
      </w:pPr>
      <w:r>
        <w:rPr>
          <w:rFonts w:ascii="Arial" w:cs="Arial" w:eastAsia="Arial" w:hAnsi="Arial"/>
          <w:color w:val="333333"/>
          <w:sz w:val="21"/>
          <w:szCs w:val="21"/>
        </w:rPr>
        <w:t xml:space="preserve">The Health Information Technology for Economic and Clinical Health (HITECH) Act, enacted in 2009 as part of the American Recovery and Reinvestment Act (ARRA), was the most significant federal investment in health IT in US history. It allocated approximately $35 billion to accelerate EHR adoption and strengthened HIPAA enforcement.</w:t>
      </w:r>
    </w:p>
    <w:p>
      <w:pPr>
        <w:pStyle w:val="Heading2"/>
        <w:spacing w:before="280" w:after="160"/>
      </w:pPr>
      <w:r>
        <w:rPr>
          <w:rFonts w:ascii="Arial" w:cs="Arial" w:eastAsia="Arial" w:hAnsi="Arial"/>
          <w:b/>
          <w:bCs/>
          <w:color w:val="2E75B6"/>
          <w:sz w:val="26"/>
          <w:szCs w:val="26"/>
        </w:rPr>
        <w:t xml:space="preserve">3.1 HITECH Key Provisions</w:t>
      </w:r>
    </w:p>
    <w:p>
      <w:pPr>
        <w:pStyle w:val="ListParagraph"/>
        <w:numPr>
          <w:ilvl w:val="0"/>
          <w:numId w:val="2"/>
        </w:numPr>
        <w:spacing w:after="80" w:line="276"/>
      </w:pPr>
      <w:r>
        <w:rPr>
          <w:rFonts w:ascii="Arial" w:cs="Arial" w:eastAsia="Arial" w:hAnsi="Arial"/>
          <w:b/>
          <w:bCs/>
          <w:color w:val="333333"/>
          <w:sz w:val="21"/>
          <w:szCs w:val="21"/>
        </w:rPr>
        <w:t xml:space="preserve">EHR Incentive Programs: </w:t>
      </w:r>
      <w:r>
        <w:rPr>
          <w:rFonts w:ascii="Arial" w:cs="Arial" w:eastAsia="Arial" w:hAnsi="Arial"/>
          <w:color w:val="333333"/>
          <w:sz w:val="21"/>
          <w:szCs w:val="21"/>
        </w:rPr>
        <w:t xml:space="preserve">Established Medicare and Medicaid EHR incentive programs (initially “Meaningful Use”) providing up to $44,000 (Medicare) or $63,750 (Medicaid) per eligible professional for demonstrating meaningful use of certified EHR technology.</w:t>
      </w:r>
    </w:p>
    <w:p>
      <w:pPr>
        <w:pStyle w:val="ListParagraph"/>
        <w:numPr>
          <w:ilvl w:val="0"/>
          <w:numId w:val="2"/>
        </w:numPr>
        <w:spacing w:after="80" w:line="276"/>
      </w:pPr>
      <w:r>
        <w:rPr>
          <w:rFonts w:ascii="Arial" w:cs="Arial" w:eastAsia="Arial" w:hAnsi="Arial"/>
          <w:b/>
          <w:bCs/>
          <w:color w:val="333333"/>
          <w:sz w:val="21"/>
          <w:szCs w:val="21"/>
        </w:rPr>
        <w:t xml:space="preserve">Business Associate Liability: </w:t>
      </w:r>
      <w:r>
        <w:rPr>
          <w:rFonts w:ascii="Arial" w:cs="Arial" w:eastAsia="Arial" w:hAnsi="Arial"/>
          <w:color w:val="333333"/>
          <w:sz w:val="21"/>
          <w:szCs w:val="21"/>
        </w:rPr>
        <w:t xml:space="preserve">Extended HIPAA Security Rule requirements directly to business associates, making them independently liable for compliance (previously only contractually obligated via BAAs).</w:t>
      </w:r>
    </w:p>
    <w:p>
      <w:pPr>
        <w:pStyle w:val="ListParagraph"/>
        <w:numPr>
          <w:ilvl w:val="0"/>
          <w:numId w:val="2"/>
        </w:numPr>
        <w:spacing w:after="80" w:line="276"/>
      </w:pPr>
      <w:r>
        <w:rPr>
          <w:rFonts w:ascii="Arial" w:cs="Arial" w:eastAsia="Arial" w:hAnsi="Arial"/>
          <w:b/>
          <w:bCs/>
          <w:color w:val="333333"/>
          <w:sz w:val="21"/>
          <w:szCs w:val="21"/>
        </w:rPr>
        <w:t xml:space="preserve">Breach Notification: </w:t>
      </w:r>
      <w:r>
        <w:rPr>
          <w:rFonts w:ascii="Arial" w:cs="Arial" w:eastAsia="Arial" w:hAnsi="Arial"/>
          <w:color w:val="333333"/>
          <w:sz w:val="21"/>
          <w:szCs w:val="21"/>
        </w:rPr>
        <w:t xml:space="preserve">Established the HIPAA Breach Notification Rule and the presumption that any impermissible use/disclosure is a breach unless a risk assessment demonstrates low probability of compromise.</w:t>
      </w:r>
    </w:p>
    <w:p>
      <w:pPr>
        <w:pStyle w:val="ListParagraph"/>
        <w:numPr>
          <w:ilvl w:val="0"/>
          <w:numId w:val="2"/>
        </w:numPr>
        <w:spacing w:after="80" w:line="276"/>
      </w:pPr>
      <w:r>
        <w:rPr>
          <w:rFonts w:ascii="Arial" w:cs="Arial" w:eastAsia="Arial" w:hAnsi="Arial"/>
          <w:b/>
          <w:bCs/>
          <w:color w:val="333333"/>
          <w:sz w:val="21"/>
          <w:szCs w:val="21"/>
        </w:rPr>
        <w:t xml:space="preserve">Increased Penalties: </w:t>
      </w:r>
      <w:r>
        <w:rPr>
          <w:rFonts w:ascii="Arial" w:cs="Arial" w:eastAsia="Arial" w:hAnsi="Arial"/>
          <w:color w:val="333333"/>
          <w:sz w:val="21"/>
          <w:szCs w:val="21"/>
        </w:rPr>
        <w:t xml:space="preserve">Substantially increased civil and criminal penalties for HIPAA violations and gave state AGs enforcement authority.</w:t>
      </w:r>
    </w:p>
    <w:p>
      <w:pPr>
        <w:pStyle w:val="ListParagraph"/>
        <w:numPr>
          <w:ilvl w:val="0"/>
          <w:numId w:val="2"/>
        </w:numPr>
        <w:spacing w:after="80" w:line="276"/>
      </w:pPr>
      <w:r>
        <w:rPr>
          <w:rFonts w:ascii="Arial" w:cs="Arial" w:eastAsia="Arial" w:hAnsi="Arial"/>
          <w:b/>
          <w:bCs/>
          <w:color w:val="333333"/>
          <w:sz w:val="21"/>
          <w:szCs w:val="21"/>
        </w:rPr>
        <w:t xml:space="preserve">ONC Authority: </w:t>
      </w:r>
      <w:r>
        <w:rPr>
          <w:rFonts w:ascii="Arial" w:cs="Arial" w:eastAsia="Arial" w:hAnsi="Arial"/>
          <w:color w:val="333333"/>
          <w:sz w:val="21"/>
          <w:szCs w:val="21"/>
        </w:rPr>
        <w:t xml:space="preserve">Established the Office of the National Coordinator for Health IT (ONC) as a federal authority for health IT standards, certification, and policy.</w:t>
      </w:r>
    </w:p>
    <w:p>
      <w:pPr>
        <w:pStyle w:val="Heading2"/>
        <w:spacing w:before="280" w:after="160"/>
      </w:pPr>
      <w:r>
        <w:rPr>
          <w:rFonts w:ascii="Arial" w:cs="Arial" w:eastAsia="Arial" w:hAnsi="Arial"/>
          <w:b/>
          <w:bCs/>
          <w:color w:val="2E75B6"/>
          <w:sz w:val="26"/>
          <w:szCs w:val="26"/>
        </w:rPr>
        <w:t xml:space="preserve">3.2 Meaningful Use to Promoting Interoperability</w:t>
      </w:r>
    </w:p>
    <w:p>
      <w:pPr>
        <w:spacing w:after="160" w:line="276"/>
      </w:pPr>
      <w:r>
        <w:rPr>
          <w:rFonts w:ascii="Arial" w:cs="Arial" w:eastAsia="Arial" w:hAnsi="Arial"/>
          <w:color w:val="333333"/>
          <w:sz w:val="21"/>
          <w:szCs w:val="21"/>
        </w:rPr>
        <w:t xml:space="preserve">The EHR incentive program evolved through three stages before being renamed and integrated into the Merit-based Incentive Payment System (MIPS).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Meaningful Use Stage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2011–2013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capture and sharing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Computerized order entry, e-prescribing, clinical quality measures, patient portal, security risk assessment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Meaningful Use Stage 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2014–2016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Advanced clinical processes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Health information exchange, structured lab results, patient electronic access, clinical summaries, immunization reporting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Meaningful Use Stage 3 / Modified Stage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2017–2018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Improved outcomes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electronic access, secure messaging, patient-generated health data, public health reporting, CDS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Promoting Interoperability (PI)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2019–present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Interoperability and patient access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FHIR-based patient access APIs, electronic prescribing (including EPCS for controlled substances), health information exchange, public health reporting, security risk assessment</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b/>
          <w:bCs/>
          <w:color w:val="333333"/>
          <w:sz w:val="21"/>
          <w:szCs w:val="21"/>
        </w:rPr>
        <w:t xml:space="preserve">Current IT Requirements (Promoting Interoperability under MIPS): </w:t>
      </w:r>
      <w:r>
        <w:rPr>
          <w:rFonts w:ascii="Arial" w:cs="Arial" w:eastAsia="Arial" w:hAnsi="Arial"/>
          <w:color w:val="333333"/>
          <w:sz w:val="21"/>
          <w:szCs w:val="21"/>
        </w:rPr>
        <w:t xml:space="preserve">Eligible clinicians must report on measures including: e-prescribing (including EPCS for opioids), health information exchange (support electronic referral loops), provider-to-patient exchange (provide patients electronic access via patient portal), public health reporting (immunization, syndromic surveillance, electronic case reporting, electronic lab reporting), and security risk analysis (annual SRA completion attestation).</w:t>
      </w:r>
    </w:p>
    <w:p>
      <w:pPr>
        <w:pStyle w:val="Heading2"/>
        <w:spacing w:before="280" w:after="160"/>
      </w:pPr>
      <w:r>
        <w:rPr>
          <w:rFonts w:ascii="Arial" w:cs="Arial" w:eastAsia="Arial" w:hAnsi="Arial"/>
          <w:b/>
          <w:bCs/>
          <w:color w:val="2E75B6"/>
          <w:sz w:val="26"/>
          <w:szCs w:val="26"/>
        </w:rPr>
        <w:t xml:space="preserve">3.3 EHR Incentive to Penalty Phase</w:t>
      </w:r>
    </w:p>
    <w:p>
      <w:pPr>
        <w:spacing w:after="160" w:line="276"/>
      </w:pPr>
      <w:r>
        <w:rPr>
          <w:rFonts w:ascii="Arial" w:cs="Arial" w:eastAsia="Arial" w:hAnsi="Arial"/>
          <w:color w:val="333333"/>
          <w:sz w:val="21"/>
          <w:szCs w:val="21"/>
        </w:rPr>
        <w:t xml:space="preserve">The incentive phase has transitioned to a penalty phase. Eligible professionals who do not demonstrate Promoting Interoperability face Medicare payment adjustments (currently up to -7% through MIPS). Hospitals face separate Promoting Interoperability penalties under the Hospital Inpatient Quality Reporting (IQR) program.</w:t>
      </w:r>
    </w:p>
    <w:p>
      <w:pPr>
        <w:spacing w:after="160" w:line="276"/>
      </w:pPr>
      <w:r>
        <w:rPr>
          <w:rFonts w:ascii="Arial" w:cs="Arial" w:eastAsia="Arial" w:hAnsi="Arial"/>
          <w:b/>
          <w:bCs/>
          <w:color w:val="333333"/>
          <w:sz w:val="21"/>
          <w:szCs w:val="21"/>
        </w:rPr>
        <w:t xml:space="preserve">IT Implication: </w:t>
      </w:r>
      <w:r>
        <w:rPr>
          <w:rFonts w:ascii="Arial" w:cs="Arial" w:eastAsia="Arial" w:hAnsi="Arial"/>
          <w:color w:val="333333"/>
          <w:sz w:val="21"/>
          <w:szCs w:val="21"/>
        </w:rPr>
        <w:t xml:space="preserve">IT teams must ensure systems are configured to capture and report all PI measures accurately. Failure to report results in direct revenue reduction through Medicare payment adjustments. Dashboard monitoring of PI measure compliance throughout the reporting year is essential.</w:t>
      </w:r>
    </w:p>
    <w:p>
      <w:r>
        <w:br w:type="page"/>
      </w:r>
    </w:p>
    <w:p>
      <w:pPr>
        <w:pStyle w:val="Heading1"/>
        <w:spacing w:before="360" w:after="200"/>
      </w:pPr>
      <w:r>
        <w:rPr>
          <w:rFonts w:ascii="Arial" w:cs="Arial" w:eastAsia="Arial" w:hAnsi="Arial"/>
          <w:b/>
          <w:bCs/>
          <w:color w:val="1B3A5C"/>
          <w:sz w:val="32"/>
          <w:szCs w:val="32"/>
        </w:rPr>
        <w:t xml:space="preserve">4. 21st Century Cures Act</w:t>
      </w:r>
    </w:p>
    <w:p>
      <w:pPr>
        <w:spacing w:after="160" w:line="276"/>
      </w:pPr>
      <w:r>
        <w:rPr>
          <w:rFonts w:ascii="Arial" w:cs="Arial" w:eastAsia="Arial" w:hAnsi="Arial"/>
          <w:color w:val="333333"/>
          <w:sz w:val="21"/>
          <w:szCs w:val="21"/>
        </w:rPr>
        <w:t xml:space="preserve">The 21st Century Cures Act, signed into law in December 2016, is arguably the most transformative health IT legislation since HITECH. Its provisions on information blocking, patient access, interoperability, and standardized data classes are reshaping the entire health IT landscape.</w:t>
      </w:r>
    </w:p>
    <w:p>
      <w:pPr>
        <w:pStyle w:val="Heading2"/>
        <w:spacing w:before="280" w:after="160"/>
      </w:pPr>
      <w:r>
        <w:rPr>
          <w:rFonts w:ascii="Arial" w:cs="Arial" w:eastAsia="Arial" w:hAnsi="Arial"/>
          <w:b/>
          <w:bCs/>
          <w:color w:val="2E75B6"/>
          <w:sz w:val="26"/>
          <w:szCs w:val="26"/>
        </w:rPr>
        <w:t xml:space="preserve">4.1 Information Blocking</w:t>
      </w:r>
    </w:p>
    <w:p>
      <w:pPr>
        <w:spacing w:after="160" w:line="276"/>
      </w:pPr>
      <w:r>
        <w:rPr>
          <w:rFonts w:ascii="Arial" w:cs="Arial" w:eastAsia="Arial" w:hAnsi="Arial"/>
          <w:color w:val="333333"/>
          <w:sz w:val="21"/>
          <w:szCs w:val="21"/>
        </w:rPr>
        <w:t xml:space="preserve">The Cures Act’s information blocking provisions prohibit healthcare actors from engaging in practices that are likely to interfere with the access, exchange, or use of electronic health information (EHI).</w:t>
      </w:r>
    </w:p>
    <w:p>
      <w:pPr>
        <w:pStyle w:val="Heading3"/>
        <w:spacing w:before="200" w:after="120"/>
      </w:pPr>
      <w:r>
        <w:rPr>
          <w:rFonts w:ascii="Arial" w:cs="Arial" w:eastAsia="Arial" w:hAnsi="Arial"/>
          <w:b/>
          <w:bCs/>
          <w:color w:val="1B3A5C"/>
          <w:sz w:val="22"/>
          <w:szCs w:val="22"/>
        </w:rPr>
        <w:t xml:space="preserve">4.1.1 Who Is Subject to Information Blocking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37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Actor Type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Enforcement Authority</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Potential Penalties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IT Developers of Certified Health 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vendors (Epic, Oracle Health, MEDITECH,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$1 million per violation; disincentives; conditions/maintenance of certification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Health Information Exchanges (HIEs)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State HIEs, Carequality, CommonWell participants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ONC</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 to $1 million per violation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Information Networks (HINs)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Networks facilitating exchange (e.g., Surescripts, Carequality framework participants)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$1 million per violation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Healthcare Providers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Hospitals, physician practices, health systems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OIG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Appropriate disincentives (under development — may include CMP)</w:t>
            </w:r>
          </w:p>
        </w:tc>
      </w:tr>
    </w:tbl>
    <w:p>
      <w:pPr>
        <w:spacing w:after="160" w:line="276"/>
      </w:pPr>
      <w:r>
        <w:rPr>
          <w:rFonts w:ascii="Arial" w:cs="Arial" w:eastAsia="Arial" w:hAnsi="Arial"/>
          <w:color w:val="333333"/>
          <w:sz w:val="21"/>
          <w:szCs w:val="21"/>
        </w:rPr>
        <w:t xml:space="preserve"/>
      </w:r>
    </w:p>
    <w:p>
      <w:pPr>
        <w:pStyle w:val="Heading3"/>
        <w:spacing w:before="200" w:after="120"/>
      </w:pPr>
      <w:r>
        <w:rPr>
          <w:rFonts w:ascii="Arial" w:cs="Arial" w:eastAsia="Arial" w:hAnsi="Arial"/>
          <w:b/>
          <w:bCs/>
          <w:color w:val="1B3A5C"/>
          <w:sz w:val="22"/>
          <w:szCs w:val="22"/>
        </w:rPr>
        <w:t xml:space="preserve">4.1.2 The Eight Exceptions</w:t>
      </w:r>
    </w:p>
    <w:p>
      <w:pPr>
        <w:spacing w:after="160" w:line="276"/>
      </w:pPr>
      <w:r>
        <w:rPr>
          <w:rFonts w:ascii="Arial" w:cs="Arial" w:eastAsia="Arial" w:hAnsi="Arial"/>
          <w:color w:val="333333"/>
          <w:sz w:val="21"/>
          <w:szCs w:val="21"/>
        </w:rPr>
        <w:t xml:space="preserve">Not all restrictions on EHI access constitute information blocking. ONC defined eight regulatory exceptions that, when satisfied, provide a safe harbor: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Summary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Relevance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Preventing Harm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Reasonably necessary to prevent harm to a patient or another person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CDS logic for data suppression must be based on individualized clinical assessment, not blanket policies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Necessary to protect patient privacy under applicable law</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Consent management systems, 42 CFR Part 2 compliance, state law data segmentation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Directly related to safeguarding ePHI (organizational security practices)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Security controls that limit access must be reasonable and applied consistently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Infeasibility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Technically infeasible due to segmentation, format, or manner requested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demonstrate genuine technical barriers; cannot use infeasibility to avoid investment in interoperability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IT Performance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Necessary for system maintenance, upgrades, or performance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Planned downtime procedures must be reasonable in frequency/duration; unplanned must be resolved promptly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Content and Manner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Fulfilling request through alternative means within a reasonable timeframe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offer USCDI via certified API; can use alternative format if requested format is unsupported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Charging reasonable fees for data access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Fees must be reasonable, non-discriminatory, and based on objective criteria; cannot charge fees to deter access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Licensing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Reasonable licensing terms for interoperability elements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Must offer licenses on RAND (Reasonable and Non-Discriminatory) terms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4.2 USCDI (United States Core Data for Interoperability)</w:t>
      </w:r>
    </w:p>
    <w:p>
      <w:pPr>
        <w:spacing w:after="160" w:line="276"/>
      </w:pPr>
      <w:r>
        <w:rPr>
          <w:rFonts w:ascii="Arial" w:cs="Arial" w:eastAsia="Arial" w:hAnsi="Arial"/>
          <w:color w:val="333333"/>
          <w:sz w:val="21"/>
          <w:szCs w:val="21"/>
        </w:rPr>
        <w:t xml:space="preserve">USCDI defines the standardized set of health data classes and elements that must be supported for nationwide interoperability. It is the minimum data set that Certified EHR Technology must exchange via standard APIs.</w:t>
      </w:r>
    </w:p>
    <w:p>
      <w:pPr>
        <w:pStyle w:val="Heading3"/>
        <w:spacing w:before="200" w:after="120"/>
      </w:pPr>
      <w:r>
        <w:rPr>
          <w:rFonts w:ascii="Arial" w:cs="Arial" w:eastAsia="Arial" w:hAnsi="Arial"/>
          <w:b/>
          <w:bCs/>
          <w:color w:val="1B3A5C"/>
          <w:sz w:val="22"/>
          <w:szCs w:val="22"/>
        </w:rPr>
        <w:t xml:space="preserve">4.2.1 USCDI Data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Class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Data Elements</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Standards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Demographics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date of birth, sex, race, ethnicity, address, phone, email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Patient resource, USCDI value sets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Allergies and Intolerances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Substance, reaction, severity, status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AllergyIntolerance, SNOMED CT (substance), RxNorm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Assessment and Plan of Treatment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Assessment, plan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CarePlan, LOINC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Notes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Consultation, Discharge Summary, H&amp;P, Progress Note, Procedures, etc.</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DocumentReference, LOINC document type 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Concerns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concerns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Condition, SNOMED 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Immunizations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Vaccine administered, date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Immunization, CVX 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Laboratory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 tests and values/results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Observation, LOINC (test), UCUM (units)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Medications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Current medications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MedicationRequest, RxNorm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Problems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Diagnoses and conditions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Condition, SNOMED CT, ICD-10-CM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Procedures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Procedures performed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Procedure, SNOMED CT, CPT, ICD-10-PCS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Provenance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Author, timestamp, organization of data origin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Provenance resource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Vital Signs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BP, heart rate, temperature, respiratory rate, SpO2, height, weight, BMI</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Observation, LOINC vital sign codes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Goals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health goals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Goal, SNOMED 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SDOH Assessment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Social determinants screening results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Observation, SDOH-specific LOINC codes (Gravity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Diagnostic Imaging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Imaging reports and studies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DiagnosticReport, ImagingStudy, LOINC, DICOM</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b/>
          <w:bCs/>
          <w:color w:val="333333"/>
          <w:sz w:val="21"/>
          <w:szCs w:val="21"/>
        </w:rPr>
        <w:t xml:space="preserve">IT Implication: </w:t>
      </w:r>
      <w:r>
        <w:rPr>
          <w:rFonts w:ascii="Arial" w:cs="Arial" w:eastAsia="Arial" w:hAnsi="Arial"/>
          <w:color w:val="333333"/>
          <w:sz w:val="21"/>
          <w:szCs w:val="21"/>
        </w:rPr>
        <w:t xml:space="preserve">USCDI is updated annually with new data classes and elements (USCDI v1 → v2 → v3 → v4+). Each update expands the required data for interoperability. IT systems must track USCDI version requirements tied to their EHR certification edition and implement support for new data classes as they become required.</w:t>
      </w:r>
    </w:p>
    <w:p>
      <w:pPr>
        <w:pStyle w:val="Heading2"/>
        <w:spacing w:before="280" w:after="160"/>
      </w:pPr>
      <w:r>
        <w:rPr>
          <w:rFonts w:ascii="Arial" w:cs="Arial" w:eastAsia="Arial" w:hAnsi="Arial"/>
          <w:b/>
          <w:bCs/>
          <w:color w:val="2E75B6"/>
          <w:sz w:val="26"/>
          <w:szCs w:val="26"/>
        </w:rPr>
        <w:t xml:space="preserve">4.3 Certified API Requirements (FHIR)</w:t>
      </w:r>
    </w:p>
    <w:p>
      <w:pPr>
        <w:spacing w:after="160" w:line="276"/>
      </w:pPr>
      <w:r>
        <w:rPr>
          <w:rFonts w:ascii="Arial" w:cs="Arial" w:eastAsia="Arial" w:hAnsi="Arial"/>
          <w:color w:val="333333"/>
          <w:sz w:val="21"/>
          <w:szCs w:val="21"/>
        </w:rPr>
        <w:t xml:space="preserve">The Cures Act requires certified health IT to support standardized FHIR-based APIs (specifically HL7 FHIR R4) for patient and population-level data access.</w:t>
      </w:r>
    </w:p>
    <w:p>
      <w:pPr>
        <w:pStyle w:val="ListParagraph"/>
        <w:numPr>
          <w:ilvl w:val="0"/>
          <w:numId w:val="2"/>
        </w:numPr>
        <w:spacing w:after="80" w:line="276"/>
      </w:pPr>
      <w:r>
        <w:rPr>
          <w:rFonts w:ascii="Arial" w:cs="Arial" w:eastAsia="Arial" w:hAnsi="Arial"/>
          <w:b/>
          <w:bCs/>
          <w:color w:val="333333"/>
          <w:sz w:val="21"/>
          <w:szCs w:val="21"/>
        </w:rPr>
        <w:t xml:space="preserve">Patient Access API: </w:t>
      </w:r>
      <w:r>
        <w:rPr>
          <w:rFonts w:ascii="Arial" w:cs="Arial" w:eastAsia="Arial" w:hAnsi="Arial"/>
          <w:color w:val="333333"/>
          <w:sz w:val="21"/>
          <w:szCs w:val="21"/>
        </w:rPr>
        <w:t xml:space="preserve">SMART on FHIR API allowing patients (via third-party apps) to access their USCDI data from their EHR. Providers must allow patients to authorize apps to access their data without information blocking.</w:t>
      </w:r>
    </w:p>
    <w:p>
      <w:pPr>
        <w:pStyle w:val="ListParagraph"/>
        <w:numPr>
          <w:ilvl w:val="0"/>
          <w:numId w:val="2"/>
        </w:numPr>
        <w:spacing w:after="80" w:line="276"/>
      </w:pPr>
      <w:r>
        <w:rPr>
          <w:rFonts w:ascii="Arial" w:cs="Arial" w:eastAsia="Arial" w:hAnsi="Arial"/>
          <w:b/>
          <w:bCs/>
          <w:color w:val="333333"/>
          <w:sz w:val="21"/>
          <w:szCs w:val="21"/>
        </w:rPr>
        <w:t xml:space="preserve">Provider Access API: </w:t>
      </w:r>
      <w:r>
        <w:rPr>
          <w:rFonts w:ascii="Arial" w:cs="Arial" w:eastAsia="Arial" w:hAnsi="Arial"/>
          <w:color w:val="333333"/>
          <w:sz w:val="21"/>
          <w:szCs w:val="21"/>
        </w:rPr>
        <w:t xml:space="preserve">Facilitates payer-to-payer and payer-to-provider data exchange via FHIR APIs per CMS Interoperability Rules.</w:t>
      </w:r>
    </w:p>
    <w:p>
      <w:pPr>
        <w:pStyle w:val="ListParagraph"/>
        <w:numPr>
          <w:ilvl w:val="0"/>
          <w:numId w:val="2"/>
        </w:numPr>
        <w:spacing w:after="80" w:line="276"/>
      </w:pPr>
      <w:r>
        <w:rPr>
          <w:rFonts w:ascii="Arial" w:cs="Arial" w:eastAsia="Arial" w:hAnsi="Arial"/>
          <w:b/>
          <w:bCs/>
          <w:color w:val="333333"/>
          <w:sz w:val="21"/>
          <w:szCs w:val="21"/>
        </w:rPr>
        <w:t xml:space="preserve">Bulk FHIR Data Access: </w:t>
      </w:r>
      <w:r>
        <w:rPr>
          <w:rFonts w:ascii="Arial" w:cs="Arial" w:eastAsia="Arial" w:hAnsi="Arial"/>
          <w:color w:val="333333"/>
          <w:sz w:val="21"/>
          <w:szCs w:val="21"/>
        </w:rPr>
        <w:t xml:space="preserve">Enables population-level data export for analytics, research, and payer operations using the FHIR Bulk Data Access specification.</w:t>
      </w:r>
    </w:p>
    <w:p>
      <w:pPr>
        <w:pStyle w:val="ListParagraph"/>
        <w:numPr>
          <w:ilvl w:val="0"/>
          <w:numId w:val="2"/>
        </w:numPr>
        <w:spacing w:after="80" w:line="276"/>
      </w:pPr>
      <w:r>
        <w:rPr>
          <w:rFonts w:ascii="Arial" w:cs="Arial" w:eastAsia="Arial" w:hAnsi="Arial"/>
          <w:b/>
          <w:bCs/>
          <w:color w:val="333333"/>
          <w:sz w:val="21"/>
          <w:szCs w:val="21"/>
        </w:rPr>
        <w:t xml:space="preserve">App Registration: </w:t>
      </w:r>
      <w:r>
        <w:rPr>
          <w:rFonts w:ascii="Arial" w:cs="Arial" w:eastAsia="Arial" w:hAnsi="Arial"/>
          <w:color w:val="333333"/>
          <w:sz w:val="21"/>
          <w:szCs w:val="21"/>
        </w:rPr>
        <w:t xml:space="preserve">Health IT developers must allow third-party app registration and must not unreasonably restrict app access through terms, fees, or technical barriers.</w:t>
      </w:r>
    </w:p>
    <w:p>
      <w:r>
        <w:br w:type="page"/>
      </w:r>
    </w:p>
    <w:p>
      <w:pPr>
        <w:pStyle w:val="Heading1"/>
        <w:spacing w:before="360" w:after="200"/>
      </w:pPr>
      <w:r>
        <w:rPr>
          <w:rFonts w:ascii="Arial" w:cs="Arial" w:eastAsia="Arial" w:hAnsi="Arial"/>
          <w:b/>
          <w:bCs/>
          <w:color w:val="1B3A5C"/>
          <w:sz w:val="32"/>
          <w:szCs w:val="32"/>
        </w:rPr>
        <w:t xml:space="preserve">5. CMS Conditions of Participation (CoPs)</w:t>
      </w:r>
    </w:p>
    <w:p>
      <w:pPr>
        <w:spacing w:after="160" w:line="276"/>
      </w:pPr>
      <w:r>
        <w:rPr>
          <w:rFonts w:ascii="Arial" w:cs="Arial" w:eastAsia="Arial" w:hAnsi="Arial"/>
          <w:color w:val="333333"/>
          <w:sz w:val="21"/>
          <w:szCs w:val="21"/>
        </w:rPr>
        <w:t xml:space="preserve">Conditions of Participation are the health and safety standards that healthcare organizations must meet to participate in Medicare and Medicaid programs. They are enforced by CMS through state survey agencies and accreditation organizations. CoPs cover clinical care, governance, staffing, patient rights, and increasingly, information management.</w:t>
      </w:r>
    </w:p>
    <w:p>
      <w:pPr>
        <w:pStyle w:val="Heading2"/>
        <w:spacing w:before="280" w:after="160"/>
      </w:pPr>
      <w:r>
        <w:rPr>
          <w:rFonts w:ascii="Arial" w:cs="Arial" w:eastAsia="Arial" w:hAnsi="Arial"/>
          <w:b/>
          <w:bCs/>
          <w:color w:val="2E75B6"/>
          <w:sz w:val="26"/>
          <w:szCs w:val="26"/>
        </w:rPr>
        <w:t xml:space="preserve">5.1 IT-Relevant CoP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CoP Area</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System Implications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Medical Records (42 CFR 482.24)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Accurately written, promptly completed, properly filed, retained, and accessible medical records for all patients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availability (99.99%+), record retention policies (state-specific, typically 7–10+ years), record accessibility during system downtime, documentation completion monitoring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Rights (42 CFR 482.13)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Right to access medical records, privacy of PHI, informed consent, advance directives, grievance process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Patient portal access, consent management, advance directive documentation, privacy controls, grievance tracking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QAPI (42 CFR 482.21)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 Assessment and Performance Improvement program with measurable indicators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 measure extraction, clinical quality dashboards, performance improvement tracking, data analytics infrastructure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Infection Control (42 CFR 482.42)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Active surveillance, prevention, and control of infections and communicable diseases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HAI surveillance systems, antibiogram reporting, infection control dashboards, NHSN reporting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Nursing Services (42 CFR 482.23)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Adequate nursing staff, medication administration by qualified personnel, medication error documentation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Nurse staffing systems, BCMA enforcement, medication error reporting, nurse competency tracking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Pharmaceutical Services (42 CFR 482.25)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Accurate drug administration, medication order review, adverse drug reaction reporting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CPOE, pharmacy verification workflows, ADR reporting system, formulary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Laboratory Services (42 CFR 482.27)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CLIA-compliant laboratory operations, accurate and timely results, critical value reporting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 integration, QC monitoring, critical value alerting system, POCT management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Emergency Services (42 CFR 482.55)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EMTALA compliance — medical screening exam and stabilization for all emergency patients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ED tracking system, MSE documentation templates, on-call physician scheduling, transfer documentation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Discharge Planning (42 CFR 482.43)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Effective transition planning for all patients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Discharge planning module, post-acute referral management, ADT notification to post-acute providers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5.2 CMS Electronic Notifications (eNotification) Requirement</w:t>
      </w:r>
    </w:p>
    <w:p>
      <w:pPr>
        <w:spacing w:after="160" w:line="276"/>
      </w:pPr>
      <w:r>
        <w:rPr>
          <w:rFonts w:ascii="Arial" w:cs="Arial" w:eastAsia="Arial" w:hAnsi="Arial"/>
          <w:color w:val="333333"/>
          <w:sz w:val="21"/>
          <w:szCs w:val="21"/>
        </w:rPr>
        <w:t xml:space="preserve">Effective May 1, 2021, CMS requires hospitals to send electronic patient event notifications to the patient’s established primary care practitioner, group practice, or other care team members when a patient is admitted, discharged, or transferred. This requirement specifically mandates IT system capability.</w:t>
      </w:r>
    </w:p>
    <w:p>
      <w:pPr>
        <w:spacing w:after="160" w:line="276"/>
      </w:pPr>
      <w:r>
        <w:rPr>
          <w:rFonts w:ascii="Arial" w:cs="Arial" w:eastAsia="Arial" w:hAnsi="Arial"/>
          <w:b/>
          <w:bCs/>
          <w:color w:val="333333"/>
          <w:sz w:val="21"/>
          <w:szCs w:val="21"/>
        </w:rPr>
        <w:t xml:space="preserve">IT Requirements: </w:t>
      </w:r>
      <w:r>
        <w:rPr>
          <w:rFonts w:ascii="Arial" w:cs="Arial" w:eastAsia="Arial" w:hAnsi="Arial"/>
          <w:color w:val="333333"/>
          <w:sz w:val="21"/>
          <w:szCs w:val="21"/>
        </w:rPr>
        <w:t xml:space="preserve">ADT-based event notification system sending HL7 ADT messages (A01 admit, A02 transfer, A03 discharge) to attributed providers, post-acute care providers, and care coordination entities. Integration with provider directories and patient attribution data is required. Many organizations leverage ADT notification services from HIEs, CMS-certified ADT notification vendors, or Carequality/CommonWell networks.</w:t>
      </w:r>
    </w:p>
    <w:p>
      <w:r>
        <w:br w:type="page"/>
      </w:r>
    </w:p>
    <w:p>
      <w:pPr>
        <w:pStyle w:val="Heading1"/>
        <w:spacing w:before="360" w:after="200"/>
      </w:pPr>
      <w:r>
        <w:rPr>
          <w:rFonts w:ascii="Arial" w:cs="Arial" w:eastAsia="Arial" w:hAnsi="Arial"/>
          <w:b/>
          <w:bCs/>
          <w:color w:val="1B3A5C"/>
          <w:sz w:val="32"/>
          <w:szCs w:val="32"/>
        </w:rPr>
        <w:t xml:space="preserve">6. The Joint Commission (TJC) Accreditation Standards</w:t>
      </w:r>
    </w:p>
    <w:p>
      <w:pPr>
        <w:spacing w:after="160" w:line="276"/>
      </w:pPr>
      <w:r>
        <w:rPr>
          <w:rFonts w:ascii="Arial" w:cs="Arial" w:eastAsia="Arial" w:hAnsi="Arial"/>
          <w:color w:val="333333"/>
          <w:sz w:val="21"/>
          <w:szCs w:val="21"/>
        </w:rPr>
        <w:t xml:space="preserve">The Joint Commission is the primary accreditation body for US hospitals and health systems. TJC accreditation is voluntary but is accepted by CMS as equivalent to meeting CMS Conditions of Participation (“deemed status”). Over 80% of US hospitals are TJC-accredited. TJC standards have significant IT implications.</w:t>
      </w:r>
    </w:p>
    <w:p>
      <w:pPr>
        <w:pStyle w:val="Heading2"/>
        <w:spacing w:before="280" w:after="160"/>
      </w:pPr>
      <w:r>
        <w:rPr>
          <w:rFonts w:ascii="Arial" w:cs="Arial" w:eastAsia="Arial" w:hAnsi="Arial"/>
          <w:b/>
          <w:bCs/>
          <w:color w:val="2E75B6"/>
          <w:sz w:val="26"/>
          <w:szCs w:val="26"/>
        </w:rPr>
        <w:t xml:space="preserve">6.1 IT-Relevant TJC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Standard Area</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Implications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National Patient Safety Goals (NPSGs)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goals targeting critical safety areas: patient identification, medication safety, alarm management, infection prevention, communication improvement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Two-patient-identifier verification in all IT systems, BCMA enforcement, alarm management systems, hand hygiene monitoring technology, SBAR handoff tools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Information Management (IM)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Protect patient information, ensure data integrity, provide timely access to clinical information, plan for information system disruptions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EHR uptime standards, downtime procedures and documentation, data integrity controls, information security program, business continuity planning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Medication Management (MM)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Safe medication storage, ordering, dispensing, administration, and monitoring across the medication use process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CPOE with CDS, pharmacy verification, BCMA, ADC management, high-alert medication safeguards, look-alike/sound-alike (LASA) alerts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Record of Care (RC)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 accurate, timely, and legible medical records; authentication of entries; verbal order management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EHR documentation templates, verbal order read-back workflows, provider authentication, auto-authentication policies, chart completion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 Improvement (PI)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Systematic approach to improving clinical outcomes and patient safety through data-driven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 dashboards, outcome measurement, sentinel event tracking, root cause analysis documentation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Emergency Management (EM)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Comprehensive emergency operations plan including IT disaster recovery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IT DR plan, clinical system failover, communication systems redundancy, downtime documentation kits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6.2 TJC Survey &amp; IT Preparedness</w:t>
      </w:r>
    </w:p>
    <w:p>
      <w:pPr>
        <w:pStyle w:val="ListParagraph"/>
        <w:numPr>
          <w:ilvl w:val="0"/>
          <w:numId w:val="2"/>
        </w:numPr>
        <w:spacing w:after="80" w:line="276"/>
      </w:pPr>
      <w:r>
        <w:rPr>
          <w:rFonts w:ascii="Arial" w:cs="Arial" w:eastAsia="Arial" w:hAnsi="Arial"/>
          <w:b/>
          <w:bCs/>
          <w:color w:val="333333"/>
          <w:sz w:val="21"/>
          <w:szCs w:val="21"/>
        </w:rPr>
        <w:t xml:space="preserve">Unannounced Surveys: </w:t>
      </w:r>
      <w:r>
        <w:rPr>
          <w:rFonts w:ascii="Arial" w:cs="Arial" w:eastAsia="Arial" w:hAnsi="Arial"/>
          <w:color w:val="333333"/>
          <w:sz w:val="21"/>
          <w:szCs w:val="21"/>
        </w:rPr>
        <w:t xml:space="preserve">TJC surveys are unannounced (within an 18-month window). IT systems must always be survey-ready with current compliance documentation, functioning safety systems, and accessible audit data.</w:t>
      </w:r>
    </w:p>
    <w:p>
      <w:pPr>
        <w:pStyle w:val="ListParagraph"/>
        <w:numPr>
          <w:ilvl w:val="0"/>
          <w:numId w:val="2"/>
        </w:numPr>
        <w:spacing w:after="80" w:line="276"/>
      </w:pPr>
      <w:r>
        <w:rPr>
          <w:rFonts w:ascii="Arial" w:cs="Arial" w:eastAsia="Arial" w:hAnsi="Arial"/>
          <w:b/>
          <w:bCs/>
          <w:color w:val="333333"/>
          <w:sz w:val="21"/>
          <w:szCs w:val="21"/>
        </w:rPr>
        <w:t xml:space="preserve">Tracer Methodology: </w:t>
      </w:r>
      <w:r>
        <w:rPr>
          <w:rFonts w:ascii="Arial" w:cs="Arial" w:eastAsia="Arial" w:hAnsi="Arial"/>
          <w:color w:val="333333"/>
          <w:sz w:val="21"/>
          <w:szCs w:val="21"/>
        </w:rPr>
        <w:t xml:space="preserve">Surveyors follow individual patient cases through the system, evaluating every touchpoint. IT must ensure that the patient’s electronic record tells a complete, accurate story across all departments and care transitions.</w:t>
      </w:r>
    </w:p>
    <w:p>
      <w:pPr>
        <w:pStyle w:val="ListParagraph"/>
        <w:numPr>
          <w:ilvl w:val="0"/>
          <w:numId w:val="2"/>
        </w:numPr>
        <w:spacing w:after="80" w:line="276"/>
      </w:pPr>
      <w:r>
        <w:rPr>
          <w:rFonts w:ascii="Arial" w:cs="Arial" w:eastAsia="Arial" w:hAnsi="Arial"/>
          <w:b/>
          <w:bCs/>
          <w:color w:val="333333"/>
          <w:sz w:val="21"/>
          <w:szCs w:val="21"/>
        </w:rPr>
        <w:t xml:space="preserve">Sentinel Event Tracking: </w:t>
      </w:r>
      <w:r>
        <w:rPr>
          <w:rFonts w:ascii="Arial" w:cs="Arial" w:eastAsia="Arial" w:hAnsi="Arial"/>
          <w:color w:val="333333"/>
          <w:sz w:val="21"/>
          <w:szCs w:val="21"/>
        </w:rPr>
        <w:t xml:space="preserve">TJC requires reporting and root cause analysis of sentinel events (unexpected occurrences involving death or serious harm). IT must support event reporting systems, investigation workflows, and corrective action tracking.</w:t>
      </w:r>
    </w:p>
    <w:p>
      <w:r>
        <w:br w:type="page"/>
      </w:r>
    </w:p>
    <w:p>
      <w:pPr>
        <w:pStyle w:val="Heading1"/>
        <w:spacing w:before="360" w:after="200"/>
      </w:pPr>
      <w:r>
        <w:rPr>
          <w:rFonts w:ascii="Arial" w:cs="Arial" w:eastAsia="Arial" w:hAnsi="Arial"/>
          <w:b/>
          <w:bCs/>
          <w:color w:val="1B3A5C"/>
          <w:sz w:val="32"/>
          <w:szCs w:val="32"/>
        </w:rPr>
        <w:t xml:space="preserve">7. FDA Regulation of Health IT</w:t>
      </w:r>
    </w:p>
    <w:p>
      <w:pPr>
        <w:spacing w:after="160" w:line="276"/>
      </w:pPr>
      <w:r>
        <w:rPr>
          <w:rFonts w:ascii="Arial" w:cs="Arial" w:eastAsia="Arial" w:hAnsi="Arial"/>
          <w:color w:val="333333"/>
          <w:sz w:val="21"/>
          <w:szCs w:val="21"/>
        </w:rPr>
        <w:t xml:space="preserve">The FDA’s regulatory authority over health IT has expanded significantly as software increasingly makes or supports clinical decisions. Understanding the FDA’s framework is essential for IT professionals involved in clinical decision support, AI/ML development, digital health products, and medical device integration.</w:t>
      </w:r>
    </w:p>
    <w:p>
      <w:pPr>
        <w:pStyle w:val="Heading2"/>
        <w:spacing w:before="280" w:after="160"/>
      </w:pPr>
      <w:r>
        <w:rPr>
          <w:rFonts w:ascii="Arial" w:cs="Arial" w:eastAsia="Arial" w:hAnsi="Arial"/>
          <w:b/>
          <w:bCs/>
          <w:color w:val="2E75B6"/>
          <w:sz w:val="26"/>
          <w:szCs w:val="26"/>
        </w:rPr>
        <w:t xml:space="preserve">7.1 Software as a Medical Device (SaMD)</w:t>
      </w:r>
    </w:p>
    <w:p>
      <w:pPr>
        <w:spacing w:after="160" w:line="276"/>
      </w:pPr>
      <w:r>
        <w:rPr>
          <w:rFonts w:ascii="Arial" w:cs="Arial" w:eastAsia="Arial" w:hAnsi="Arial"/>
          <w:color w:val="333333"/>
          <w:sz w:val="21"/>
          <w:szCs w:val="21"/>
        </w:rPr>
        <w:t xml:space="preserve">SaMD is software intended to be used for medical purposes without being part of a hardware medical device. The FDA regulates SaMD based on the risk level of the clinical decision it informs.</w:t>
      </w:r>
    </w:p>
    <w:p>
      <w:pPr>
        <w:pStyle w:val="Heading3"/>
        <w:spacing w:before="200" w:after="120"/>
      </w:pPr>
      <w:r>
        <w:rPr>
          <w:rFonts w:ascii="Arial" w:cs="Arial" w:eastAsia="Arial" w:hAnsi="Arial"/>
          <w:b/>
          <w:bCs/>
          <w:color w:val="1B3A5C"/>
          <w:sz w:val="22"/>
          <w:szCs w:val="22"/>
        </w:rPr>
        <w:t xml:space="preserve">7.1.1 SaMD Risk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Category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Situation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FDA Regulatory Pathway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SaMD IV (Highest)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Treats or diagnoses critical conditions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that independently diagnoses life-threatening conditions, autonomous diagnostic imaging AI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PMA (Pre-Market Approval) — most stringent review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SaMD III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Treats/diagnoses serious conditions OR drives clinical management for critical conditions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 sepsis prediction driving treatment decisions, cardiac arrhythmia detection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510(k) or De Novo classification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SaMD 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Treats/diagnoses non-serious conditions OR informs clinical management for serious conditions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Diabetic retinopathy screening, dermatology image analysis for non-critical conditions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510(k) or De Novo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SaMD I (Lowest)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Informs clinical management for non-serious conditions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Wellness tracking apps, calorie counters with health claims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May be exempt or require registration only</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7.2 Clinical Decision Support (CDS) Exemption</w:t>
      </w:r>
    </w:p>
    <w:p>
      <w:pPr>
        <w:spacing w:after="160" w:line="276"/>
      </w:pPr>
      <w:r>
        <w:rPr>
          <w:rFonts w:ascii="Arial" w:cs="Arial" w:eastAsia="Arial" w:hAnsi="Arial"/>
          <w:color w:val="333333"/>
          <w:sz w:val="21"/>
          <w:szCs w:val="21"/>
        </w:rPr>
        <w:t xml:space="preserve">The 21st Century Cures Act carved out certain clinical decision support functions from FDA regulation. CDS software is exempt from FDA oversight if it meets ALL four criteria:</w:t>
      </w:r>
    </w:p>
    <w:p>
      <w:pPr>
        <w:pStyle w:val="ListParagraph"/>
        <w:numPr>
          <w:ilvl w:val="0"/>
          <w:numId w:val="3"/>
        </w:numPr>
        <w:spacing w:after="80" w:line="276"/>
      </w:pPr>
      <w:r>
        <w:rPr>
          <w:rFonts w:ascii="Arial" w:cs="Arial" w:eastAsia="Arial" w:hAnsi="Arial"/>
          <w:b/>
          <w:bCs/>
          <w:color w:val="333333"/>
          <w:sz w:val="21"/>
          <w:szCs w:val="21"/>
        </w:rPr>
        <w:t xml:space="preserve">Not intended to acquire, process, or analyze a medical image, signal, or pattern: </w:t>
      </w:r>
      <w:r>
        <w:rPr>
          <w:rFonts w:ascii="Arial" w:cs="Arial" w:eastAsia="Arial" w:hAnsi="Arial"/>
          <w:color w:val="333333"/>
          <w:sz w:val="21"/>
          <w:szCs w:val="21"/>
        </w:rPr>
        <w:t xml:space="preserve">The CDS does not interpret imaging, ECG, or similar data.</w:t>
      </w:r>
    </w:p>
    <w:p>
      <w:pPr>
        <w:pStyle w:val="ListParagraph"/>
        <w:numPr>
          <w:ilvl w:val="0"/>
          <w:numId w:val="3"/>
        </w:numPr>
        <w:spacing w:after="80" w:line="276"/>
      </w:pPr>
      <w:r>
        <w:rPr>
          <w:rFonts w:ascii="Arial" w:cs="Arial" w:eastAsia="Arial" w:hAnsi="Arial"/>
          <w:b/>
          <w:bCs/>
          <w:color w:val="333333"/>
          <w:sz w:val="21"/>
          <w:szCs w:val="21"/>
        </w:rPr>
        <w:t xml:space="preserve">Intended for displaying, analyzing, or printing medical information: </w:t>
      </w:r>
      <w:r>
        <w:rPr>
          <w:rFonts w:ascii="Arial" w:cs="Arial" w:eastAsia="Arial" w:hAnsi="Arial"/>
          <w:color w:val="333333"/>
          <w:sz w:val="21"/>
          <w:szCs w:val="21"/>
        </w:rPr>
        <w:t xml:space="preserve">The CDS presents information to the clinician.</w:t>
      </w:r>
    </w:p>
    <w:p>
      <w:pPr>
        <w:pStyle w:val="ListParagraph"/>
        <w:numPr>
          <w:ilvl w:val="0"/>
          <w:numId w:val="3"/>
        </w:numPr>
        <w:spacing w:after="80" w:line="276"/>
      </w:pPr>
      <w:r>
        <w:rPr>
          <w:rFonts w:ascii="Arial" w:cs="Arial" w:eastAsia="Arial" w:hAnsi="Arial"/>
          <w:b/>
          <w:bCs/>
          <w:color w:val="333333"/>
          <w:sz w:val="21"/>
          <w:szCs w:val="21"/>
        </w:rPr>
        <w:t xml:space="preserve">Intended for use by a healthcare professional: </w:t>
      </w:r>
      <w:r>
        <w:rPr>
          <w:rFonts w:ascii="Arial" w:cs="Arial" w:eastAsia="Arial" w:hAnsi="Arial"/>
          <w:color w:val="333333"/>
          <w:sz w:val="21"/>
          <w:szCs w:val="21"/>
        </w:rPr>
        <w:t xml:space="preserve">Not patient-facing for diagnostic purposes.</w:t>
      </w:r>
    </w:p>
    <w:p>
      <w:pPr>
        <w:pStyle w:val="ListParagraph"/>
        <w:numPr>
          <w:ilvl w:val="0"/>
          <w:numId w:val="3"/>
        </w:numPr>
        <w:spacing w:after="80" w:line="276"/>
      </w:pPr>
      <w:r>
        <w:rPr>
          <w:rFonts w:ascii="Arial" w:cs="Arial" w:eastAsia="Arial" w:hAnsi="Arial"/>
          <w:b/>
          <w:bCs/>
          <w:color w:val="333333"/>
          <w:sz w:val="21"/>
          <w:szCs w:val="21"/>
        </w:rPr>
        <w:t xml:space="preserve">Does not replace clinical judgment: </w:t>
      </w:r>
      <w:r>
        <w:rPr>
          <w:rFonts w:ascii="Arial" w:cs="Arial" w:eastAsia="Arial" w:hAnsi="Arial"/>
          <w:color w:val="333333"/>
          <w:sz w:val="21"/>
          <w:szCs w:val="21"/>
        </w:rPr>
        <w:t xml:space="preserve">The CDS provides recommendations, but the clinician makes the final decision. The basis for the recommendation must be transparent enough for independent review.</w:t>
      </w:r>
    </w:p>
    <w:p>
      <w:pPr>
        <w:spacing w:after="160" w:line="276"/>
      </w:pPr>
      <w:r>
        <w:rPr>
          <w:rFonts w:ascii="Arial" w:cs="Arial" w:eastAsia="Arial" w:hAnsi="Arial"/>
          <w:b/>
          <w:bCs/>
          <w:color w:val="333333"/>
          <w:sz w:val="21"/>
          <w:szCs w:val="21"/>
        </w:rPr>
        <w:t xml:space="preserve">IT Implication: </w:t>
      </w:r>
      <w:r>
        <w:rPr>
          <w:rFonts w:ascii="Arial" w:cs="Arial" w:eastAsia="Arial" w:hAnsi="Arial"/>
          <w:color w:val="333333"/>
          <w:sz w:val="21"/>
          <w:szCs w:val="21"/>
        </w:rPr>
        <w:t xml:space="preserve">CDS tools that meet all four Cures Act criteria are exempt from FDA regulation. However, CDS that autonomously makes clinical decisions (e.g., automatically adjusting insulin dosing, or independently diagnosing a condition from imaging) falls under FDA jurisdiction as SaMD. IT professionals must work with regulatory affairs to classify each CDS tool before deployment.</w:t>
      </w:r>
    </w:p>
    <w:p>
      <w:pPr>
        <w:pStyle w:val="Heading2"/>
        <w:spacing w:before="280" w:after="160"/>
      </w:pPr>
      <w:r>
        <w:rPr>
          <w:rFonts w:ascii="Arial" w:cs="Arial" w:eastAsia="Arial" w:hAnsi="Arial"/>
          <w:b/>
          <w:bCs/>
          <w:color w:val="2E75B6"/>
          <w:sz w:val="26"/>
          <w:szCs w:val="26"/>
        </w:rPr>
        <w:t xml:space="preserve">7.3 AI/ML-Based Medical Devices</w:t>
      </w:r>
    </w:p>
    <w:p>
      <w:pPr>
        <w:spacing w:after="160" w:line="276"/>
      </w:pPr>
      <w:r>
        <w:rPr>
          <w:rFonts w:ascii="Arial" w:cs="Arial" w:eastAsia="Arial" w:hAnsi="Arial"/>
          <w:color w:val="333333"/>
          <w:sz w:val="21"/>
          <w:szCs w:val="21"/>
        </w:rPr>
        <w:t xml:space="preserve">The FDA has developed a specific framework for AI/ML-based Software as a Medical Device that accounts for the unique characteristics of algorithms that learn and change over time.</w:t>
      </w:r>
    </w:p>
    <w:p>
      <w:pPr>
        <w:pStyle w:val="ListParagraph"/>
        <w:numPr>
          <w:ilvl w:val="0"/>
          <w:numId w:val="2"/>
        </w:numPr>
        <w:spacing w:after="80" w:line="276"/>
      </w:pPr>
      <w:r>
        <w:rPr>
          <w:rFonts w:ascii="Arial" w:cs="Arial" w:eastAsia="Arial" w:hAnsi="Arial"/>
          <w:b/>
          <w:bCs/>
          <w:color w:val="333333"/>
          <w:sz w:val="21"/>
          <w:szCs w:val="21"/>
        </w:rPr>
        <w:t xml:space="preserve">Predetermined Change Control Plan (PCCP): </w:t>
      </w:r>
      <w:r>
        <w:rPr>
          <w:rFonts w:ascii="Arial" w:cs="Arial" w:eastAsia="Arial" w:hAnsi="Arial"/>
          <w:color w:val="333333"/>
          <w:sz w:val="21"/>
          <w:szCs w:val="21"/>
        </w:rPr>
        <w:t xml:space="preserve">FDA guidance allows manufacturers to pre-specify types of changes that an AI/ML model might undergo through learning, along with a validation protocol. This enables models to improve without requiring a new submission for each update.</w:t>
      </w:r>
    </w:p>
    <w:p>
      <w:pPr>
        <w:pStyle w:val="ListParagraph"/>
        <w:numPr>
          <w:ilvl w:val="0"/>
          <w:numId w:val="2"/>
        </w:numPr>
        <w:spacing w:after="80" w:line="276"/>
      </w:pPr>
      <w:r>
        <w:rPr>
          <w:rFonts w:ascii="Arial" w:cs="Arial" w:eastAsia="Arial" w:hAnsi="Arial"/>
          <w:b/>
          <w:bCs/>
          <w:color w:val="333333"/>
          <w:sz w:val="21"/>
          <w:szCs w:val="21"/>
        </w:rPr>
        <w:t xml:space="preserve">Total Product Lifecycle (TPLC) Approach: </w:t>
      </w:r>
      <w:r>
        <w:rPr>
          <w:rFonts w:ascii="Arial" w:cs="Arial" w:eastAsia="Arial" w:hAnsi="Arial"/>
          <w:color w:val="333333"/>
          <w:sz w:val="21"/>
          <w:szCs w:val="21"/>
        </w:rPr>
        <w:t xml:space="preserve">Continuous monitoring and improvement of AI/ML devices throughout their lifecycle, including real-world performance monitoring, bias detection, and transparency requirements.</w:t>
      </w:r>
    </w:p>
    <w:p>
      <w:pPr>
        <w:pStyle w:val="ListParagraph"/>
        <w:numPr>
          <w:ilvl w:val="0"/>
          <w:numId w:val="2"/>
        </w:numPr>
        <w:spacing w:after="80" w:line="276"/>
      </w:pPr>
      <w:r>
        <w:rPr>
          <w:rFonts w:ascii="Arial" w:cs="Arial" w:eastAsia="Arial" w:hAnsi="Arial"/>
          <w:b/>
          <w:bCs/>
          <w:color w:val="333333"/>
          <w:sz w:val="21"/>
          <w:szCs w:val="21"/>
        </w:rPr>
        <w:t xml:space="preserve">Good Machine Learning Practice (GMLP): </w:t>
      </w:r>
      <w:r>
        <w:rPr>
          <w:rFonts w:ascii="Arial" w:cs="Arial" w:eastAsia="Arial" w:hAnsi="Arial"/>
          <w:color w:val="333333"/>
          <w:sz w:val="21"/>
          <w:szCs w:val="21"/>
        </w:rPr>
        <w:t xml:space="preserve">FDA, Health Canada, and UK MHRA jointly published guiding principles for GMLP including multi-disciplinary expertise, representative training data, independent datasets, reference standards, model transparency, and ongoing monitoring.</w:t>
      </w:r>
    </w:p>
    <w:p>
      <w:r>
        <w:br w:type="page"/>
      </w:r>
    </w:p>
    <w:p>
      <w:pPr>
        <w:pStyle w:val="Heading1"/>
        <w:spacing w:before="360" w:after="200"/>
      </w:pPr>
      <w:r>
        <w:rPr>
          <w:rFonts w:ascii="Arial" w:cs="Arial" w:eastAsia="Arial" w:hAnsi="Arial"/>
          <w:b/>
          <w:bCs/>
          <w:color w:val="1B3A5C"/>
          <w:sz w:val="32"/>
          <w:szCs w:val="32"/>
        </w:rPr>
        <w:t xml:space="preserve">8. State-Level Regulations</w:t>
      </w:r>
    </w:p>
    <w:p>
      <w:pPr>
        <w:spacing w:after="160" w:line="276"/>
      </w:pPr>
      <w:r>
        <w:rPr>
          <w:rFonts w:ascii="Arial" w:cs="Arial" w:eastAsia="Arial" w:hAnsi="Arial"/>
          <w:color w:val="333333"/>
          <w:sz w:val="21"/>
          <w:szCs w:val="21"/>
        </w:rPr>
        <w:t xml:space="preserve">In addition to federal regulations, every state has its own healthcare privacy, consent, licensure, and reporting laws that IT systems must accommodate. State laws often exceed federal protections, creating a complex patchwork of requirements for multi-state health systems.</w:t>
      </w:r>
    </w:p>
    <w:p>
      <w:pPr>
        <w:pStyle w:val="Heading2"/>
        <w:spacing w:before="280" w:after="160"/>
      </w:pPr>
      <w:r>
        <w:rPr>
          <w:rFonts w:ascii="Arial" w:cs="Arial" w:eastAsia="Arial" w:hAnsi="Arial"/>
          <w:b/>
          <w:bCs/>
          <w:color w:val="2E75B6"/>
          <w:sz w:val="26"/>
          <w:szCs w:val="26"/>
        </w:rPr>
        <w:t xml:space="preserve">8.1 Consent Management</w:t>
      </w:r>
    </w:p>
    <w:p>
      <w:pPr>
        <w:pStyle w:val="ListParagraph"/>
        <w:numPr>
          <w:ilvl w:val="0"/>
          <w:numId w:val="2"/>
        </w:numPr>
        <w:spacing w:after="80" w:line="276"/>
      </w:pPr>
      <w:r>
        <w:rPr>
          <w:rFonts w:ascii="Arial" w:cs="Arial" w:eastAsia="Arial" w:hAnsi="Arial"/>
          <w:b/>
          <w:bCs/>
          <w:color w:val="333333"/>
          <w:sz w:val="21"/>
          <w:szCs w:val="21"/>
        </w:rPr>
        <w:t xml:space="preserve">Opt-In vs. Opt-Out: </w:t>
      </w:r>
      <w:r>
        <w:rPr>
          <w:rFonts w:ascii="Arial" w:cs="Arial" w:eastAsia="Arial" w:hAnsi="Arial"/>
          <w:color w:val="333333"/>
          <w:sz w:val="21"/>
          <w:szCs w:val="21"/>
        </w:rPr>
        <w:t xml:space="preserve">States vary in whether patients must affirmatively consent to health information exchange (opt-in, e.g., New York) or are included by default with the right to opt out (opt-out, e.g., most states). IT systems must implement the appropriate consent model for each state.</w:t>
      </w:r>
    </w:p>
    <w:p>
      <w:pPr>
        <w:pStyle w:val="ListParagraph"/>
        <w:numPr>
          <w:ilvl w:val="0"/>
          <w:numId w:val="2"/>
        </w:numPr>
        <w:spacing w:after="80" w:line="276"/>
      </w:pPr>
      <w:r>
        <w:rPr>
          <w:rFonts w:ascii="Arial" w:cs="Arial" w:eastAsia="Arial" w:hAnsi="Arial"/>
          <w:b/>
          <w:bCs/>
          <w:color w:val="333333"/>
          <w:sz w:val="21"/>
          <w:szCs w:val="21"/>
        </w:rPr>
        <w:t xml:space="preserve">Granular Consent: </w:t>
      </w:r>
      <w:r>
        <w:rPr>
          <w:rFonts w:ascii="Arial" w:cs="Arial" w:eastAsia="Arial" w:hAnsi="Arial"/>
          <w:color w:val="333333"/>
          <w:sz w:val="21"/>
          <w:szCs w:val="21"/>
        </w:rPr>
        <w:t xml:space="preserve">Some states allow patients to consent to sharing some categories of health information while restricting others. IT systems must support granular consent management with data segmentation capabilities.</w:t>
      </w:r>
    </w:p>
    <w:p>
      <w:pPr>
        <w:pStyle w:val="ListParagraph"/>
        <w:numPr>
          <w:ilvl w:val="0"/>
          <w:numId w:val="2"/>
        </w:numPr>
        <w:spacing w:after="80" w:line="276"/>
      </w:pPr>
      <w:r>
        <w:rPr>
          <w:rFonts w:ascii="Arial" w:cs="Arial" w:eastAsia="Arial" w:hAnsi="Arial"/>
          <w:b/>
          <w:bCs/>
          <w:color w:val="333333"/>
          <w:sz w:val="21"/>
          <w:szCs w:val="21"/>
        </w:rPr>
        <w:t xml:space="preserve">Minor Consent: </w:t>
      </w:r>
      <w:r>
        <w:rPr>
          <w:rFonts w:ascii="Arial" w:cs="Arial" w:eastAsia="Arial" w:hAnsi="Arial"/>
          <w:color w:val="333333"/>
          <w:sz w:val="21"/>
          <w:szCs w:val="21"/>
        </w:rPr>
        <w:t xml:space="preserve">State laws vary on when minors can consent to their own treatment (especially for reproductive health, mental health, and substance abuse). IT systems must manage minor consent age thresholds and proxy access permissions that differ by state and service type.</w:t>
      </w:r>
    </w:p>
    <w:p>
      <w:pPr>
        <w:pStyle w:val="Heading2"/>
        <w:spacing w:before="280" w:after="160"/>
      </w:pPr>
      <w:r>
        <w:rPr>
          <w:rFonts w:ascii="Arial" w:cs="Arial" w:eastAsia="Arial" w:hAnsi="Arial"/>
          <w:b/>
          <w:bCs/>
          <w:color w:val="2E75B6"/>
          <w:sz w:val="26"/>
          <w:szCs w:val="26"/>
        </w:rPr>
        <w:t xml:space="preserve">8.2 42 CFR Part 2: Substance Use Disorder Records</w:t>
      </w:r>
    </w:p>
    <w:p>
      <w:pPr>
        <w:spacing w:after="160" w:line="276"/>
      </w:pPr>
      <w:r>
        <w:rPr>
          <w:rFonts w:ascii="Arial" w:cs="Arial" w:eastAsia="Arial" w:hAnsi="Arial"/>
          <w:color w:val="333333"/>
          <w:sz w:val="21"/>
          <w:szCs w:val="21"/>
        </w:rPr>
        <w:t xml:space="preserve">42 CFR Part 2 provides federal protections for substance use disorder (SUD) treatment records that exceed standard HIPAA protections. These rules have been significantly updated in 2024, aligning more closely with HIPAA while retaining important protections.</w:t>
      </w:r>
    </w:p>
    <w:p>
      <w:pPr>
        <w:pStyle w:val="Heading3"/>
        <w:spacing w:before="200" w:after="120"/>
      </w:pPr>
      <w:r>
        <w:rPr>
          <w:rFonts w:ascii="Arial" w:cs="Arial" w:eastAsia="Arial" w:hAnsi="Arial"/>
          <w:b/>
          <w:bCs/>
          <w:color w:val="1B3A5C"/>
          <w:sz w:val="22"/>
          <w:szCs w:val="22"/>
        </w:rPr>
        <w:t xml:space="preserve">8.2.1 Key Part 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System Requirements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Consent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must provide specific written consent before SUD records are disclosed (with recent HIPAA alignment exceptions for TPO)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Electronic consent management with Part 2-specific consent forms, consent tracking, and revocation management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 Segmentation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Part 2 data must be identifiable and separable from other health data</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 tagging/segmentation in EHR, confidentiality code on HL7/FHIR messages (FHIR security labels), CDA confidentiality tags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Redisclosure Prohibition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Recipients of Part 2 data cannot further disclose without patient consent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Redisclosure notice on transmitted records, consent chain tracking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Prohibition on Use in Legal Proceedings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Part 2 records generally cannot be used to investigate or prosecute the patient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Access restrictions on Part 2 data for legal hold processes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2024 Rule Alignment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SAMHSA finalized rules aligning Part 2 more closely with HIPAA for TPO purposes, with important remaining restrictions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Updated consent workflows reflecting TPO alignment while maintaining re-disclosure prohibitions and use restrictions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8.3 State Privacy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State/Law</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Provisions Beyond HIPAA</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California (CCPA/CPRA + CMIA)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 privacy rights, data minimization, right to delete, medical information confidentiality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inventory, privacy impact assessments, consumer rights request workflows, deletion capabilities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New York (SHIELD Act + PHL)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Broad data security requirements, consent for HIE participation (opt-in), mental health record protections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Enhanced encryption requirements, NY-specific consent management, mental health data segmentation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Texas (THIPA)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Stricter penalties than HIPAA, broader definition of covered entities, additional patient rights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Texas-specific privacy configurations, expanded entity coverage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Washington (MHMA + My Health My Data Act)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Mental health data protections, comprehensive consumer health data privacy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Mental health data segmentation, consumer health data consent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Massachusetts (201 CMR 17.00)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Specific encryption requirements for personal information, data security regulation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Encryption of all portable devices, specific security program documentation</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8.4 Telehealth Regulations</w:t>
      </w:r>
    </w:p>
    <w:p>
      <w:pPr>
        <w:spacing w:after="160" w:line="276"/>
      </w:pPr>
      <w:r>
        <w:rPr>
          <w:rFonts w:ascii="Arial" w:cs="Arial" w:eastAsia="Arial" w:hAnsi="Arial"/>
          <w:color w:val="333333"/>
          <w:sz w:val="21"/>
          <w:szCs w:val="21"/>
        </w:rPr>
        <w:t xml:space="preserve">Telehealth regulations vary significantly by state and have been in flux since the COVID-19 pandemic public health emergency (PHE) flexibilities.</w:t>
      </w:r>
    </w:p>
    <w:p>
      <w:pPr>
        <w:pStyle w:val="ListParagraph"/>
        <w:numPr>
          <w:ilvl w:val="0"/>
          <w:numId w:val="2"/>
        </w:numPr>
        <w:spacing w:after="80" w:line="276"/>
      </w:pPr>
      <w:r>
        <w:rPr>
          <w:rFonts w:ascii="Arial" w:cs="Arial" w:eastAsia="Arial" w:hAnsi="Arial"/>
          <w:b/>
          <w:bCs/>
          <w:color w:val="333333"/>
          <w:sz w:val="21"/>
          <w:szCs w:val="21"/>
        </w:rPr>
        <w:t xml:space="preserve">Licensure: </w:t>
      </w:r>
      <w:r>
        <w:rPr>
          <w:rFonts w:ascii="Arial" w:cs="Arial" w:eastAsia="Arial" w:hAnsi="Arial"/>
          <w:color w:val="333333"/>
          <w:sz w:val="21"/>
          <w:szCs w:val="21"/>
        </w:rPr>
        <w:t xml:space="preserve">Most states require providers to be licensed in the state where the patient is located. Interstate Medical Licensure Compact facilitates multi-state licensure but does not cover all states. IT scheduling systems must validate provider licensure against patient location.</w:t>
      </w:r>
    </w:p>
    <w:p>
      <w:pPr>
        <w:pStyle w:val="ListParagraph"/>
        <w:numPr>
          <w:ilvl w:val="0"/>
          <w:numId w:val="2"/>
        </w:numPr>
        <w:spacing w:after="80" w:line="276"/>
      </w:pPr>
      <w:r>
        <w:rPr>
          <w:rFonts w:ascii="Arial" w:cs="Arial" w:eastAsia="Arial" w:hAnsi="Arial"/>
          <w:b/>
          <w:bCs/>
          <w:color w:val="333333"/>
          <w:sz w:val="21"/>
          <w:szCs w:val="21"/>
        </w:rPr>
        <w:t xml:space="preserve">Informed Consent: </w:t>
      </w:r>
      <w:r>
        <w:rPr>
          <w:rFonts w:ascii="Arial" w:cs="Arial" w:eastAsia="Arial" w:hAnsi="Arial"/>
          <w:color w:val="333333"/>
          <w:sz w:val="21"/>
          <w:szCs w:val="21"/>
        </w:rPr>
        <w:t xml:space="preserve">Many states require telehealth-specific informed consent. IT systems must present and capture telehealth consent before virtual visits begin.</w:t>
      </w:r>
    </w:p>
    <w:p>
      <w:pPr>
        <w:pStyle w:val="ListParagraph"/>
        <w:numPr>
          <w:ilvl w:val="0"/>
          <w:numId w:val="2"/>
        </w:numPr>
        <w:spacing w:after="80" w:line="276"/>
      </w:pPr>
      <w:r>
        <w:rPr>
          <w:rFonts w:ascii="Arial" w:cs="Arial" w:eastAsia="Arial" w:hAnsi="Arial"/>
          <w:b/>
          <w:bCs/>
          <w:color w:val="333333"/>
          <w:sz w:val="21"/>
          <w:szCs w:val="21"/>
        </w:rPr>
        <w:t xml:space="preserve">Prescribing Restrictions: </w:t>
      </w:r>
      <w:r>
        <w:rPr>
          <w:rFonts w:ascii="Arial" w:cs="Arial" w:eastAsia="Arial" w:hAnsi="Arial"/>
          <w:color w:val="333333"/>
          <w:sz w:val="21"/>
          <w:szCs w:val="21"/>
        </w:rPr>
        <w:t xml:space="preserve">State laws and DEA regulations govern prescribing via telehealth, especially for controlled substances. Ryan Haight Act restrictions (in-person exam requirement) have been subject to temporary waivers. IT systems must enforce applicable prescribing rules based on patient location and substance schedule.</w:t>
      </w:r>
    </w:p>
    <w:p>
      <w:pPr>
        <w:pStyle w:val="ListParagraph"/>
        <w:numPr>
          <w:ilvl w:val="0"/>
          <w:numId w:val="2"/>
        </w:numPr>
        <w:spacing w:after="80" w:line="276"/>
      </w:pPr>
      <w:r>
        <w:rPr>
          <w:rFonts w:ascii="Arial" w:cs="Arial" w:eastAsia="Arial" w:hAnsi="Arial"/>
          <w:b/>
          <w:bCs/>
          <w:color w:val="333333"/>
          <w:sz w:val="21"/>
          <w:szCs w:val="21"/>
        </w:rPr>
        <w:t xml:space="preserve">Reimbursement Parity: </w:t>
      </w:r>
      <w:r>
        <w:rPr>
          <w:rFonts w:ascii="Arial" w:cs="Arial" w:eastAsia="Arial" w:hAnsi="Arial"/>
          <w:color w:val="333333"/>
          <w:sz w:val="21"/>
          <w:szCs w:val="21"/>
        </w:rPr>
        <w:t xml:space="preserve">Many states have telehealth payment parity laws requiring payers to reimburse telehealth at the same rate as in-person visits. Billing systems must apply correct place-of-service codes and telehealth modifiers (GT, 95, or POS 02/10).</w:t>
      </w:r>
    </w:p>
    <w:p>
      <w:r>
        <w:br w:type="page"/>
      </w:r>
    </w:p>
    <w:p>
      <w:pPr>
        <w:pStyle w:val="Heading1"/>
        <w:spacing w:before="360" w:after="200"/>
      </w:pPr>
      <w:r>
        <w:rPr>
          <w:rFonts w:ascii="Arial" w:cs="Arial" w:eastAsia="Arial" w:hAnsi="Arial"/>
          <w:b/>
          <w:bCs/>
          <w:color w:val="1B3A5C"/>
          <w:sz w:val="32"/>
          <w:szCs w:val="32"/>
        </w:rPr>
        <w:t xml:space="preserve">9. Anti-Kickback Statute, Stark Law &amp; False Claims Act</w:t>
      </w:r>
    </w:p>
    <w:p>
      <w:pPr>
        <w:spacing w:after="160" w:line="276"/>
      </w:pPr>
      <w:r>
        <w:rPr>
          <w:rFonts w:ascii="Arial" w:cs="Arial" w:eastAsia="Arial" w:hAnsi="Arial"/>
          <w:color w:val="333333"/>
          <w:sz w:val="21"/>
          <w:szCs w:val="21"/>
        </w:rPr>
        <w:t xml:space="preserve">Federal fraud and abuse laws have significant implications for healthcare IT professionals, particularly in areas involving IT vendor relationships, EHR implementation partnerships, data analytics arrangements, and technology-enabled care models.</w:t>
      </w:r>
    </w:p>
    <w:p>
      <w:pPr>
        <w:pStyle w:val="Heading2"/>
        <w:spacing w:before="280" w:after="160"/>
      </w:pPr>
      <w:r>
        <w:rPr>
          <w:rFonts w:ascii="Arial" w:cs="Arial" w:eastAsia="Arial" w:hAnsi="Arial"/>
          <w:b/>
          <w:bCs/>
          <w:color w:val="2E75B6"/>
          <w:sz w:val="26"/>
          <w:szCs w:val="26"/>
        </w:rPr>
        <w:t xml:space="preserve">9.1 Anti-Kickback Statute (AKS)</w:t>
      </w:r>
    </w:p>
    <w:p>
      <w:pPr>
        <w:spacing w:after="160" w:line="276"/>
      </w:pPr>
      <w:r>
        <w:rPr>
          <w:rFonts w:ascii="Arial" w:cs="Arial" w:eastAsia="Arial" w:hAnsi="Arial"/>
          <w:color w:val="333333"/>
          <w:sz w:val="21"/>
          <w:szCs w:val="21"/>
        </w:rPr>
        <w:t xml:space="preserve">The AKS prohibits knowingly and willfully offering, paying, soliciting, or receiving anything of value to induce or reward referrals of items or services payable by federal healthcare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AKS Element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Implications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Prohibition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Remuneration to induce/reward referrals for federal program patients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 vendor contracts must not contain referral-based incentives; free/discounted technology must meet safe harbor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Safe Harbors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Specific arrangements that are protected from AKS prosecution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EHR donation safe harbor (expired 2021), personal services/management contracts, fair market value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EHR Donation Exception (expired)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Previously allowed hospitals to donate EHR technology to affiliated physicians under specific conditions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Expired December 2021; new arrangements must use other safe harbors or operate under Stark exceptions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Value-Based Arrangements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2020 safe harbors for VBC arrangements allow technology sharing that would otherwise violate AKS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IT systems supporting VBC arrangements must document arrangement terms, fair market value, and commercial reasonableness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9.2 Stark Law (Physician Self-Referral Law)</w:t>
      </w:r>
    </w:p>
    <w:p>
      <w:pPr>
        <w:spacing w:after="160" w:line="276"/>
      </w:pPr>
      <w:r>
        <w:rPr>
          <w:rFonts w:ascii="Arial" w:cs="Arial" w:eastAsia="Arial" w:hAnsi="Arial"/>
          <w:color w:val="333333"/>
          <w:sz w:val="21"/>
          <w:szCs w:val="21"/>
        </w:rPr>
        <w:t xml:space="preserve">The Stark Law prohibits physicians from referring Medicare/Medicaid patients for designated health services (DHS) to entities with which the physician (or an immediate family member) has a financial relationship, unless an exception applies.</w:t>
      </w:r>
    </w:p>
    <w:p>
      <w:pPr>
        <w:pStyle w:val="ListParagraph"/>
        <w:numPr>
          <w:ilvl w:val="0"/>
          <w:numId w:val="2"/>
        </w:numPr>
        <w:spacing w:after="80" w:line="276"/>
      </w:pPr>
      <w:r>
        <w:rPr>
          <w:rFonts w:ascii="Arial" w:cs="Arial" w:eastAsia="Arial" w:hAnsi="Arial"/>
          <w:b/>
          <w:bCs/>
          <w:color w:val="333333"/>
          <w:sz w:val="21"/>
          <w:szCs w:val="21"/>
        </w:rPr>
        <w:t xml:space="preserve">Designated Health Services: </w:t>
      </w:r>
      <w:r>
        <w:rPr>
          <w:rFonts w:ascii="Arial" w:cs="Arial" w:eastAsia="Arial" w:hAnsi="Arial"/>
          <w:color w:val="333333"/>
          <w:sz w:val="21"/>
          <w:szCs w:val="21"/>
        </w:rPr>
        <w:t xml:space="preserve">Clinical laboratory, physical therapy, occupational therapy, radiology/imaging, radiation therapy, DME, home health, outpatient prescription drugs, inpatient/outpatient hospital services, and parenteral/enteral nutrients.</w:t>
      </w:r>
    </w:p>
    <w:p>
      <w:pPr>
        <w:pStyle w:val="ListParagraph"/>
        <w:numPr>
          <w:ilvl w:val="0"/>
          <w:numId w:val="2"/>
        </w:numPr>
        <w:spacing w:after="8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IT systems must track physician financial relationships and referral patterns. Compliance monitoring dashboards should flag referrals to entities with disclosed financial relationships. Stark violations are strict liability — no intent requirement — making IT-based monitoring critical.</w:t>
      </w:r>
    </w:p>
    <w:p>
      <w:pPr>
        <w:pStyle w:val="ListParagraph"/>
        <w:numPr>
          <w:ilvl w:val="0"/>
          <w:numId w:val="2"/>
        </w:numPr>
        <w:spacing w:after="80" w:line="276"/>
      </w:pPr>
      <w:r>
        <w:rPr>
          <w:rFonts w:ascii="Arial" w:cs="Arial" w:eastAsia="Arial" w:hAnsi="Arial"/>
          <w:b/>
          <w:bCs/>
          <w:color w:val="333333"/>
          <w:sz w:val="21"/>
          <w:szCs w:val="21"/>
        </w:rPr>
        <w:t xml:space="preserve">EHR Exception: </w:t>
      </w:r>
      <w:r>
        <w:rPr>
          <w:rFonts w:ascii="Arial" w:cs="Arial" w:eastAsia="Arial" w:hAnsi="Arial"/>
          <w:color w:val="333333"/>
          <w:sz w:val="21"/>
          <w:szCs w:val="21"/>
        </w:rPr>
        <w:t xml:space="preserve">Stark includes an exception for EHR items and services donated by entities to physicians (parallel to former AKS safe harbor, but with different conditions). Arrangements must meet specific requirements regarding interoperability, e-prescribing capability, and cost-sharing.</w:t>
      </w:r>
    </w:p>
    <w:p>
      <w:pPr>
        <w:pStyle w:val="Heading2"/>
        <w:spacing w:before="280" w:after="160"/>
      </w:pPr>
      <w:r>
        <w:rPr>
          <w:rFonts w:ascii="Arial" w:cs="Arial" w:eastAsia="Arial" w:hAnsi="Arial"/>
          <w:b/>
          <w:bCs/>
          <w:color w:val="2E75B6"/>
          <w:sz w:val="26"/>
          <w:szCs w:val="26"/>
        </w:rPr>
        <w:t xml:space="preserve">9.3 False Claims Act (FCA)</w:t>
      </w:r>
    </w:p>
    <w:p>
      <w:pPr>
        <w:spacing w:after="160" w:line="276"/>
      </w:pPr>
      <w:r>
        <w:rPr>
          <w:rFonts w:ascii="Arial" w:cs="Arial" w:eastAsia="Arial" w:hAnsi="Arial"/>
          <w:color w:val="333333"/>
          <w:sz w:val="21"/>
          <w:szCs w:val="21"/>
        </w:rPr>
        <w:t xml:space="preserve">The False Claims Act imposes liability on persons who knowingly submit false claims to the government. In healthcare, FCA is the primary federal fraud enforcement tool, accounting for the majority of healthcare fraud recoveries.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FCA Element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Relevance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False/Fraudulent Claims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Knowingly presenting a false or fraudulent claim for payment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Claim accuracy validation, coding compliance monitoring, charge capture integrity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False Statements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Making false statements material to a false claim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documentation integrity, CDI program governance, coding audit trails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Reverse False Claims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Knowingly concealing or avoiding an obligation to repay an overpayment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Overpayment identification systems, credit balance monitoring, 60-day repayment tracking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Qui Tam (Whistleblower)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Private persons can bring FCA suits on behalf of the government and receive 15–30% of recovery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Compliance hotline systems, investigation workflow management, document preservation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Penalties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$13,508–$27,018 per false claim + treble damages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Compliance monitoring, proactive auditing, corrective action tracking</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b/>
          <w:bCs/>
          <w:color w:val="333333"/>
          <w:sz w:val="21"/>
          <w:szCs w:val="21"/>
        </w:rPr>
        <w:t xml:space="preserve">The 60-Day Repayment Rule: </w:t>
      </w:r>
      <w:r>
        <w:rPr>
          <w:rFonts w:ascii="Arial" w:cs="Arial" w:eastAsia="Arial" w:hAnsi="Arial"/>
          <w:color w:val="333333"/>
          <w:sz w:val="21"/>
          <w:szCs w:val="21"/>
        </w:rPr>
        <w:t xml:space="preserve">Under the ACA, providers must report and return Medicare/Medicaid overpayments within 60 days of identification or the date of the corresponding cost report. Failure to do so converts the overpayment into a false claim under the FCA. IT systems must support overpayment identification, quantification, and tracking with 60-day deadline monitoring and escalation workflows.</w:t>
      </w:r>
    </w:p>
    <w:p>
      <w:r>
        <w:br w:type="page"/>
      </w:r>
    </w:p>
    <w:p>
      <w:pPr>
        <w:pStyle w:val="Heading1"/>
        <w:spacing w:before="360" w:after="200"/>
      </w:pPr>
      <w:r>
        <w:rPr>
          <w:rFonts w:ascii="Arial" w:cs="Arial" w:eastAsia="Arial" w:hAnsi="Arial"/>
          <w:b/>
          <w:bCs/>
          <w:color w:val="1B3A5C"/>
          <w:sz w:val="32"/>
          <w:szCs w:val="32"/>
        </w:rPr>
        <w:t xml:space="preserve">10. ONC Role &amp; Certified EHR Technology (CEHRT)</w:t>
      </w:r>
    </w:p>
    <w:p>
      <w:pPr>
        <w:spacing w:after="160" w:line="276"/>
      </w:pPr>
      <w:r>
        <w:rPr>
          <w:rFonts w:ascii="Arial" w:cs="Arial" w:eastAsia="Arial" w:hAnsi="Arial"/>
          <w:color w:val="333333"/>
          <w:sz w:val="21"/>
          <w:szCs w:val="21"/>
        </w:rPr>
        <w:t xml:space="preserve">The Office of the National Coordinator for Health Information Technology (ONC) is the principal federal entity charged with coordinating nationwide efforts to implement and use health information technology and electronic health information exchange.</w:t>
      </w:r>
    </w:p>
    <w:p>
      <w:pPr>
        <w:pStyle w:val="Heading2"/>
        <w:spacing w:before="280" w:after="160"/>
      </w:pPr>
      <w:r>
        <w:rPr>
          <w:rFonts w:ascii="Arial" w:cs="Arial" w:eastAsia="Arial" w:hAnsi="Arial"/>
          <w:b/>
          <w:bCs/>
          <w:color w:val="2E75B6"/>
          <w:sz w:val="26"/>
          <w:szCs w:val="26"/>
        </w:rPr>
        <w:t xml:space="preserve">10.1 ONC Functions</w:t>
      </w:r>
    </w:p>
    <w:p>
      <w:pPr>
        <w:pStyle w:val="ListParagraph"/>
        <w:numPr>
          <w:ilvl w:val="0"/>
          <w:numId w:val="2"/>
        </w:numPr>
        <w:spacing w:after="80" w:line="276"/>
      </w:pPr>
      <w:r>
        <w:rPr>
          <w:rFonts w:ascii="Arial" w:cs="Arial" w:eastAsia="Arial" w:hAnsi="Arial"/>
          <w:b/>
          <w:bCs/>
          <w:color w:val="333333"/>
          <w:sz w:val="21"/>
          <w:szCs w:val="21"/>
        </w:rPr>
        <w:t xml:space="preserve">Health IT Standards: </w:t>
      </w:r>
      <w:r>
        <w:rPr>
          <w:rFonts w:ascii="Arial" w:cs="Arial" w:eastAsia="Arial" w:hAnsi="Arial"/>
          <w:color w:val="333333"/>
          <w:sz w:val="21"/>
          <w:szCs w:val="21"/>
        </w:rPr>
        <w:t xml:space="preserve">ONC develops and coordinates health IT interoperability standards including USCDI, FHIR implementation specifications, and certification criteria.</w:t>
      </w:r>
    </w:p>
    <w:p>
      <w:pPr>
        <w:pStyle w:val="ListParagraph"/>
        <w:numPr>
          <w:ilvl w:val="0"/>
          <w:numId w:val="2"/>
        </w:numPr>
        <w:spacing w:after="80" w:line="276"/>
      </w:pPr>
      <w:r>
        <w:rPr>
          <w:rFonts w:ascii="Arial" w:cs="Arial" w:eastAsia="Arial" w:hAnsi="Arial"/>
          <w:b/>
          <w:bCs/>
          <w:color w:val="333333"/>
          <w:sz w:val="21"/>
          <w:szCs w:val="21"/>
        </w:rPr>
        <w:t xml:space="preserve">Health IT Certification Program: </w:t>
      </w:r>
      <w:r>
        <w:rPr>
          <w:rFonts w:ascii="Arial" w:cs="Arial" w:eastAsia="Arial" w:hAnsi="Arial"/>
          <w:color w:val="333333"/>
          <w:sz w:val="21"/>
          <w:szCs w:val="21"/>
        </w:rPr>
        <w:t xml:space="preserve">ONC maintains the Health IT Certification Program through ONC-Authorized Certification Bodies (ONC-ACBs) such as Drummond Group and SLI Compliance. Health IT products must be tested and certified against specified criteria.</w:t>
      </w:r>
    </w:p>
    <w:p>
      <w:pPr>
        <w:pStyle w:val="ListParagraph"/>
        <w:numPr>
          <w:ilvl w:val="0"/>
          <w:numId w:val="2"/>
        </w:numPr>
        <w:spacing w:after="80" w:line="276"/>
      </w:pPr>
      <w:r>
        <w:rPr>
          <w:rFonts w:ascii="Arial" w:cs="Arial" w:eastAsia="Arial" w:hAnsi="Arial"/>
          <w:b/>
          <w:bCs/>
          <w:color w:val="333333"/>
          <w:sz w:val="21"/>
          <w:szCs w:val="21"/>
        </w:rPr>
        <w:t xml:space="preserve">TEFCA: </w:t>
      </w:r>
      <w:r>
        <w:rPr>
          <w:rFonts w:ascii="Arial" w:cs="Arial" w:eastAsia="Arial" w:hAnsi="Arial"/>
          <w:color w:val="333333"/>
          <w:sz w:val="21"/>
          <w:szCs w:val="21"/>
        </w:rPr>
        <w:t xml:space="preserve">ONC oversees the Trusted Exchange Framework and Common Agreement, establishing a national framework for health information exchange through Qualified Health Information Networks (QHINs).</w:t>
      </w:r>
    </w:p>
    <w:p>
      <w:pPr>
        <w:pStyle w:val="ListParagraph"/>
        <w:numPr>
          <w:ilvl w:val="0"/>
          <w:numId w:val="2"/>
        </w:numPr>
        <w:spacing w:after="80" w:line="276"/>
      </w:pPr>
      <w:r>
        <w:rPr>
          <w:rFonts w:ascii="Arial" w:cs="Arial" w:eastAsia="Arial" w:hAnsi="Arial"/>
          <w:b/>
          <w:bCs/>
          <w:color w:val="333333"/>
          <w:sz w:val="21"/>
          <w:szCs w:val="21"/>
        </w:rPr>
        <w:t xml:space="preserve">Interoperability Rules: </w:t>
      </w:r>
      <w:r>
        <w:rPr>
          <w:rFonts w:ascii="Arial" w:cs="Arial" w:eastAsia="Arial" w:hAnsi="Arial"/>
          <w:color w:val="333333"/>
          <w:sz w:val="21"/>
          <w:szCs w:val="21"/>
        </w:rPr>
        <w:t xml:space="preserve">ONC finalizes rules implementing the Cures Act provisions on information blocking, conditions of certification, and API requirements.</w:t>
      </w:r>
    </w:p>
    <w:p>
      <w:pPr>
        <w:pStyle w:val="Heading2"/>
        <w:spacing w:before="280" w:after="160"/>
      </w:pPr>
      <w:r>
        <w:rPr>
          <w:rFonts w:ascii="Arial" w:cs="Arial" w:eastAsia="Arial" w:hAnsi="Arial"/>
          <w:b/>
          <w:bCs/>
          <w:color w:val="2E75B6"/>
          <w:sz w:val="26"/>
          <w:szCs w:val="26"/>
        </w:rPr>
        <w:t xml:space="preserve">10.2 Certified EHR Technology (CEHRT)</w:t>
      </w:r>
    </w:p>
    <w:p>
      <w:pPr>
        <w:spacing w:after="160" w:line="276"/>
      </w:pPr>
      <w:r>
        <w:rPr>
          <w:rFonts w:ascii="Arial" w:cs="Arial" w:eastAsia="Arial" w:hAnsi="Arial"/>
          <w:color w:val="333333"/>
          <w:sz w:val="21"/>
          <w:szCs w:val="21"/>
        </w:rPr>
        <w:t xml:space="preserve">CEHRT is EHR technology that has been certified by an ONC-ACB as meeting specific criteria for functionality, interoperability, and security. Healthcare organizations must use CEHRT to participate in CMS incentive/penalty programs.</w:t>
      </w:r>
    </w:p>
    <w:p>
      <w:pPr>
        <w:pStyle w:val="Heading3"/>
        <w:spacing w:before="200" w:after="120"/>
      </w:pPr>
      <w:r>
        <w:rPr>
          <w:rFonts w:ascii="Arial" w:cs="Arial" w:eastAsia="Arial" w:hAnsi="Arial"/>
          <w:b/>
          <w:bCs/>
          <w:color w:val="1B3A5C"/>
          <w:sz w:val="22"/>
          <w:szCs w:val="22"/>
        </w:rPr>
        <w:t xml:space="preserve">10.2.1 Key CEHRT Certification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Technical Standard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CPOE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Computerized provider order entry for medications, labs, and imaging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USCDI data elements, structured ordering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Decision Support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Configure CDS interventions based on data elements, clinical guidelines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CDS rules engine, evidence-based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Demographics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patient demographics per USCDI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USCDI Patient Demographics data class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Problem List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Maintain patient problem list using SNOMED CT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Condition, SNOMED CT encoding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Medication 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Maintain active medication list using RxNorm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FHIR MedicationRequest, RxNorm encoding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Drug Interaction Checks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Perform drug-drug and drug-allergy interaction checks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Drug knowledge base integration (FDB, Medi-Span)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e-Prescribing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Electronic prescribing including EPCS for controlled substances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NCPDP SCRIPT standard, DEA EPCS requirements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Standardized API for Patient/Population Services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FHIR R4 API supporting USCDI data access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HL7 FHIR R4, SMART on FHIR, Bulk FHIR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Messaging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Secure messaging for health information exchange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Standard (HISP-to-HISP secure messaging)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Quality Measures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Calculate and report eCQMs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CQL (Clinical Quality Language), QRDA I/III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Measure Calculation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can automatically calculate quality measures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eCQM specification processing, value set management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Encryption, audit logging, access controls, authentication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AES-256, TLS 1.2+, comprehensive audit logs, MFA</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10.3 TEFCA (Trusted Exchange Framework and Common Agreement)</w:t>
      </w:r>
    </w:p>
    <w:p>
      <w:pPr>
        <w:spacing w:after="160" w:line="276"/>
      </w:pPr>
      <w:r>
        <w:rPr>
          <w:rFonts w:ascii="Arial" w:cs="Arial" w:eastAsia="Arial" w:hAnsi="Arial"/>
          <w:color w:val="333333"/>
          <w:sz w:val="21"/>
          <w:szCs w:val="21"/>
        </w:rPr>
        <w:t xml:space="preserve">TEFCA establishes a national approach to health information exchange by creating a network of networks through Qualified Health Information Networks (QHINs).</w:t>
      </w:r>
    </w:p>
    <w:p>
      <w:pPr>
        <w:pStyle w:val="ListParagraph"/>
        <w:numPr>
          <w:ilvl w:val="0"/>
          <w:numId w:val="2"/>
        </w:numPr>
        <w:spacing w:after="80" w:line="276"/>
      </w:pPr>
      <w:r>
        <w:rPr>
          <w:rFonts w:ascii="Arial" w:cs="Arial" w:eastAsia="Arial" w:hAnsi="Arial"/>
          <w:b/>
          <w:bCs/>
          <w:color w:val="333333"/>
          <w:sz w:val="21"/>
          <w:szCs w:val="21"/>
        </w:rPr>
        <w:t xml:space="preserve">QHINs: </w:t>
      </w:r>
      <w:r>
        <w:rPr>
          <w:rFonts w:ascii="Arial" w:cs="Arial" w:eastAsia="Arial" w:hAnsi="Arial"/>
          <w:color w:val="333333"/>
          <w:sz w:val="21"/>
          <w:szCs w:val="21"/>
        </w:rPr>
        <w:t xml:space="preserve">Designated organizations (eHealth Exchange, Epic Carequality, Kno2, CommonWell/KONZA, MedAllies, Health Gorilla) that connect to each other under the Common Agreement, enabling nationwide exchange.</w:t>
      </w:r>
    </w:p>
    <w:p>
      <w:pPr>
        <w:pStyle w:val="ListParagraph"/>
        <w:numPr>
          <w:ilvl w:val="0"/>
          <w:numId w:val="2"/>
        </w:numPr>
        <w:spacing w:after="80" w:line="276"/>
      </w:pPr>
      <w:r>
        <w:rPr>
          <w:rFonts w:ascii="Arial" w:cs="Arial" w:eastAsia="Arial" w:hAnsi="Arial"/>
          <w:b/>
          <w:bCs/>
          <w:color w:val="333333"/>
          <w:sz w:val="21"/>
          <w:szCs w:val="21"/>
        </w:rPr>
        <w:t xml:space="preserve">Designated Exchange Purposes: </w:t>
      </w:r>
      <w:r>
        <w:rPr>
          <w:rFonts w:ascii="Arial" w:cs="Arial" w:eastAsia="Arial" w:hAnsi="Arial"/>
          <w:color w:val="333333"/>
          <w:sz w:val="21"/>
          <w:szCs w:val="21"/>
        </w:rPr>
        <w:t xml:space="preserve">Treatment, payment, healthcare operations, public health, government benefits determination, and individual access — these are the permitted exchange purposes under TEFCA.</w:t>
      </w:r>
    </w:p>
    <w:p>
      <w:pPr>
        <w:pStyle w:val="ListParagraph"/>
        <w:numPr>
          <w:ilvl w:val="0"/>
          <w:numId w:val="2"/>
        </w:numPr>
        <w:spacing w:after="80" w:line="276"/>
      </w:pPr>
      <w:r>
        <w:rPr>
          <w:rFonts w:ascii="Arial" w:cs="Arial" w:eastAsia="Arial" w:hAnsi="Arial"/>
          <w:b/>
          <w:bCs/>
          <w:color w:val="333333"/>
          <w:sz w:val="21"/>
          <w:szCs w:val="21"/>
        </w:rPr>
        <w:t xml:space="preserve">FHIR Exchange: </w:t>
      </w:r>
      <w:r>
        <w:rPr>
          <w:rFonts w:ascii="Arial" w:cs="Arial" w:eastAsia="Arial" w:hAnsi="Arial"/>
          <w:color w:val="333333"/>
          <w:sz w:val="21"/>
          <w:szCs w:val="21"/>
        </w:rPr>
        <w:t xml:space="preserve">TEFCA is moving toward FHIR-based exchange capabilities in addition to existing document-based (C-CDA) and query-based exchange patterns.</w:t>
      </w:r>
    </w:p>
    <w:p>
      <w:pPr>
        <w:spacing w:after="160" w:line="276"/>
      </w:pPr>
      <w:r>
        <w:rPr>
          <w:rFonts w:ascii="Arial" w:cs="Arial" w:eastAsia="Arial" w:hAnsi="Arial"/>
          <w:b/>
          <w:bCs/>
          <w:color w:val="333333"/>
          <w:sz w:val="21"/>
          <w:szCs w:val="21"/>
        </w:rPr>
        <w:t xml:space="preserve">IT Implication: </w:t>
      </w:r>
      <w:r>
        <w:rPr>
          <w:rFonts w:ascii="Arial" w:cs="Arial" w:eastAsia="Arial" w:hAnsi="Arial"/>
          <w:color w:val="333333"/>
          <w:sz w:val="21"/>
          <w:szCs w:val="21"/>
        </w:rPr>
        <w:t xml:space="preserve">Organizations connecting to TEFCA through a QHIN gain access to nationwide health information exchange. IT teams must evaluate QHIN connection options, implement required technical specifications, configure consent management per TEFCA requirements, and onboard clinical workflows for query and retrieval of external patient data.</w:t>
      </w:r>
    </w:p>
    <w:p>
      <w:r>
        <w:br w:type="page"/>
      </w:r>
    </w:p>
    <w:p>
      <w:pPr>
        <w:pStyle w:val="Heading1"/>
        <w:spacing w:before="360" w:after="200"/>
      </w:pPr>
      <w:r>
        <w:rPr>
          <w:rFonts w:ascii="Arial" w:cs="Arial" w:eastAsia="Arial" w:hAnsi="Arial"/>
          <w:b/>
          <w:bCs/>
          <w:color w:val="1B3A5C"/>
          <w:sz w:val="32"/>
          <w:szCs w:val="32"/>
        </w:rPr>
        <w:t xml:space="preserve">11. CMS Quality Programs</w:t>
      </w:r>
    </w:p>
    <w:p>
      <w:pPr>
        <w:spacing w:after="160" w:line="276"/>
      </w:pPr>
      <w:r>
        <w:rPr>
          <w:rFonts w:ascii="Arial" w:cs="Arial" w:eastAsia="Arial" w:hAnsi="Arial"/>
          <w:color w:val="333333"/>
          <w:sz w:val="21"/>
          <w:szCs w:val="21"/>
        </w:rPr>
        <w:t xml:space="preserve">CMS operates a comprehensive portfolio of quality measurement and payment programs that directly depend on health IT systems for data capture, calculation, and reporting. IT professionals must understand these programs because they drive EHR configuration, quality measure extraction, analytics infrastructure, and regulatory reporting workflows.</w:t>
      </w:r>
    </w:p>
    <w:p>
      <w:pPr>
        <w:pStyle w:val="Heading2"/>
        <w:spacing w:before="280" w:after="160"/>
      </w:pPr>
      <w:r>
        <w:rPr>
          <w:rFonts w:ascii="Arial" w:cs="Arial" w:eastAsia="Arial" w:hAnsi="Arial"/>
          <w:b/>
          <w:bCs/>
          <w:color w:val="2E75B6"/>
          <w:sz w:val="26"/>
          <w:szCs w:val="26"/>
        </w:rPr>
        <w:t xml:space="preserve">11.1 MIPS (Merit-based Incentive Payment System)</w:t>
      </w:r>
    </w:p>
    <w:p>
      <w:pPr>
        <w:spacing w:after="160" w:line="276"/>
      </w:pPr>
      <w:r>
        <w:rPr>
          <w:rFonts w:ascii="Arial" w:cs="Arial" w:eastAsia="Arial" w:hAnsi="Arial"/>
          <w:color w:val="333333"/>
          <w:sz w:val="21"/>
          <w:szCs w:val="21"/>
        </w:rPr>
        <w:t xml:space="preserve">MIPS is the primary quality payment program for Medicare Part B clinicians. It adjusts Medicare payments based on performance in four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3000"/>
        <w:gridCol w:w="41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Requirements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Quality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 on 6 quality measures including 1 outcome measure from MIPS measure set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eCQM extraction from EHR (CQL-based), quality measure dashboards, measure selection optimization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Promoting Interoperability</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Demonstrate meaningful use of CEHRT (e-prescribing, HIE, patient access, security)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CEHRT configuration, PI measure tracking, e-prescribing rates, patient portal activation, SRA attestation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Improvement Activities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Attestation to improvement activities (care coordination, patient engagement, population management)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Activity tracking documentation, attestation workflows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Cost</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Medicare claims-based cost measures (Total Per Capita Cost, MSPB, episode-based cost measures)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 direct reporting — calculated from claims data by CMS; IT enables accurate coding that feeds cost calculations</w:t>
            </w:r>
          </w:p>
        </w:tc>
      </w:tr>
    </w:tbl>
    <w:p>
      <w:pPr>
        <w:spacing w:after="160" w:line="276"/>
      </w:pPr>
      <w:r>
        <w:rPr>
          <w:rFonts w:ascii="Arial" w:cs="Arial" w:eastAsia="Arial" w:hAnsi="Arial"/>
          <w:color w:val="333333"/>
          <w:sz w:val="21"/>
          <w:szCs w:val="21"/>
        </w:rPr>
        <w:t xml:space="preserve"/>
      </w:r>
    </w:p>
    <w:p>
      <w:pPr>
        <w:spacing w:after="160" w:line="276"/>
      </w:pPr>
      <w:r>
        <w:rPr>
          <w:rFonts w:ascii="Arial" w:cs="Arial" w:eastAsia="Arial" w:hAnsi="Arial"/>
          <w:b/>
          <w:bCs/>
          <w:color w:val="333333"/>
          <w:sz w:val="21"/>
          <w:szCs w:val="21"/>
        </w:rPr>
        <w:t xml:space="preserve">Payment Impact: </w:t>
      </w:r>
      <w:r>
        <w:rPr>
          <w:rFonts w:ascii="Arial" w:cs="Arial" w:eastAsia="Arial" w:hAnsi="Arial"/>
          <w:color w:val="333333"/>
          <w:sz w:val="21"/>
          <w:szCs w:val="21"/>
        </w:rPr>
        <w:t xml:space="preserve">MIPS adjusts Medicare Part B payments by -9% to +9% (2026 performance year). Exceptional performance bonus available. Low-volume threshold excludes clinicians with ≤$90,000 in Part B allowed charges or ≤200 Part B patients. IT systems must track eligibility, calculate composite scores, and model payment impact.</w:t>
      </w:r>
    </w:p>
    <w:p>
      <w:pPr>
        <w:pStyle w:val="Heading2"/>
        <w:spacing w:before="280" w:after="160"/>
      </w:pPr>
      <w:r>
        <w:rPr>
          <w:rFonts w:ascii="Arial" w:cs="Arial" w:eastAsia="Arial" w:hAnsi="Arial"/>
          <w:b/>
          <w:bCs/>
          <w:color w:val="2E75B6"/>
          <w:sz w:val="26"/>
          <w:szCs w:val="26"/>
        </w:rPr>
        <w:t xml:space="preserve">11.2 APMs (Alternative Payment Models)</w:t>
      </w:r>
    </w:p>
    <w:p>
      <w:pPr>
        <w:spacing w:after="160" w:line="276"/>
      </w:pPr>
      <w:r>
        <w:rPr>
          <w:rFonts w:ascii="Arial" w:cs="Arial" w:eastAsia="Arial" w:hAnsi="Arial"/>
          <w:color w:val="333333"/>
          <w:sz w:val="21"/>
          <w:szCs w:val="21"/>
        </w:rPr>
        <w:t xml:space="preserve">Advanced APMs provide a pathway for clinicians to earn a 3.5% Medicare Part B payment incentive (through 2025) and exemption from MIPS reporting by accepting financial risk through qualifying arrangements.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APM 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Requirements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MSSP (Medicare Shared Savings Program)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ACO participation with shared savings/risk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Population health analytics, attribution management, total cost tracking, quality measure reporting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Bundled Payment Models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BPCI Advanced, CJR (Comprehensive Joint Replacement)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Episode tracking, cost accounting, post-acute monitoring, gainsharing calculations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Care First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Advanced primary care model with population-based payments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Panel management, risk stratification, quality dashboards, utilization monitoring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ACO REACH (Realizing Equity, Access, and Community Health)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ACO model with health equity focus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Health equity analytics, SDOH data capture, beneficiary alignment, prospective payment processing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Making Care Primary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Multi-payer primary care model (launched 2024)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Care management tracking, multi-payer quality reporting, eCQM + claims hybrid measures</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11.3 Hospital Quality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 Data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Hospital IQR (Inpatient Quality Reporting)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Mandatory reporting of inpatient quality measures; 25% Medicare payment reduction for non-reporting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Chart-abstracted measures, eCQMs, claims-based measures, HCAHPS surveys, HAI data to NHSN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 VBP (Value-Based Purchasing)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Adjusts DRG payments based on quality performance (up to +/-3%)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Clinical outcomes, patient experience (HCAHPS), safety, efficiency measures; data from IQR and NHSN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HAC Reduction Program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Penalizes bottom-quartile hospitals for hospital-acquired conditions (-1% DRG payment)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HAI data to NHSN (CLABSI, CAUTI, SSI, MRSA, C.diff), PSI-90 from claims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 Readmissions Reduction Program (HRRP)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Penalizes hospitals with excess 30-day readmissions for targeted conditions (up to -3%)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Readmission tracking, risk-adjusted calculation, care transition interventions, post-discharge follow-up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Hospital OQR (Outpatient Quality Reporting)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Mandatory reporting of outpatient quality measures; 2% OPPS payment reduction for non-reporting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 measures, claims-based measures, web-based measure data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Hospital Star Ratings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CMS Overall Hospital Quality Star Rating (1–5 stars) published on Care Compare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Composite of IQR, VBP, HAC, HRRP, and OQR data; drives reputation and consumer choice</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11.4 Medicare Advantage Star Ratings</w:t>
      </w:r>
    </w:p>
    <w:p>
      <w:pPr>
        <w:spacing w:after="160" w:line="276"/>
      </w:pPr>
      <w:r>
        <w:rPr>
          <w:rFonts w:ascii="Arial" w:cs="Arial" w:eastAsia="Arial" w:hAnsi="Arial"/>
          <w:color w:val="333333"/>
          <w:sz w:val="21"/>
          <w:szCs w:val="21"/>
        </w:rPr>
        <w:t xml:space="preserve">For Medicare Advantage (MA) plans, the CMS Star Ratings program (1–5 stars) directly affects bonus payments, enrollment, and marketing. IT systems supporting MA plans must capture HEDIS measures, patient experience data, and operational metrics.</w:t>
      </w:r>
    </w:p>
    <w:p>
      <w:pPr>
        <w:pStyle w:val="ListParagraph"/>
        <w:numPr>
          <w:ilvl w:val="0"/>
          <w:numId w:val="2"/>
        </w:numPr>
        <w:spacing w:after="80" w:line="276"/>
      </w:pPr>
      <w:r>
        <w:rPr>
          <w:rFonts w:ascii="Arial" w:cs="Arial" w:eastAsia="Arial" w:hAnsi="Arial"/>
          <w:b/>
          <w:bCs/>
          <w:color w:val="333333"/>
          <w:sz w:val="21"/>
          <w:szCs w:val="21"/>
        </w:rPr>
        <w:t xml:space="preserve">HEDIS Measures: </w:t>
      </w:r>
      <w:r>
        <w:rPr>
          <w:rFonts w:ascii="Arial" w:cs="Arial" w:eastAsia="Arial" w:hAnsi="Arial"/>
          <w:color w:val="333333"/>
          <w:sz w:val="21"/>
          <w:szCs w:val="21"/>
        </w:rPr>
        <w:t xml:space="preserve">Healthcare Effectiveness Data and Information Set — over 90 measures across effectiveness, access, experience, and utilization domains. Require claims data, medical record review, and patient surveys.</w:t>
      </w:r>
    </w:p>
    <w:p>
      <w:pPr>
        <w:pStyle w:val="ListParagraph"/>
        <w:numPr>
          <w:ilvl w:val="0"/>
          <w:numId w:val="2"/>
        </w:numPr>
        <w:spacing w:after="80" w:line="276"/>
      </w:pPr>
      <w:r>
        <w:rPr>
          <w:rFonts w:ascii="Arial" w:cs="Arial" w:eastAsia="Arial" w:hAnsi="Arial"/>
          <w:b/>
          <w:bCs/>
          <w:color w:val="333333"/>
          <w:sz w:val="21"/>
          <w:szCs w:val="21"/>
        </w:rPr>
        <w:t xml:space="preserve">CAHPS Surveys: </w:t>
      </w:r>
      <w:r>
        <w:rPr>
          <w:rFonts w:ascii="Arial" w:cs="Arial" w:eastAsia="Arial" w:hAnsi="Arial"/>
          <w:color w:val="333333"/>
          <w:sz w:val="21"/>
          <w:szCs w:val="21"/>
        </w:rPr>
        <w:t xml:space="preserve">Consumer Assessment of Healthcare Providers and Systems surveys measuring patient experience.</w:t>
      </w:r>
    </w:p>
    <w:p>
      <w:pPr>
        <w:pStyle w:val="ListParagraph"/>
        <w:numPr>
          <w:ilvl w:val="0"/>
          <w:numId w:val="2"/>
        </w:numPr>
        <w:spacing w:after="80" w:line="276"/>
      </w:pPr>
      <w:r>
        <w:rPr>
          <w:rFonts w:ascii="Arial" w:cs="Arial" w:eastAsia="Arial" w:hAnsi="Arial"/>
          <w:b/>
          <w:bCs/>
          <w:color w:val="333333"/>
          <w:sz w:val="21"/>
          <w:szCs w:val="21"/>
        </w:rPr>
        <w:t xml:space="preserve">HOS (Health Outcomes Survey): </w:t>
      </w:r>
      <w:r>
        <w:rPr>
          <w:rFonts w:ascii="Arial" w:cs="Arial" w:eastAsia="Arial" w:hAnsi="Arial"/>
          <w:color w:val="333333"/>
          <w:sz w:val="21"/>
          <w:szCs w:val="21"/>
        </w:rPr>
        <w:t xml:space="preserve">Physical and mental health status assessment.</w:t>
      </w:r>
    </w:p>
    <w:p>
      <w:pPr>
        <w:pStyle w:val="ListParagraph"/>
        <w:numPr>
          <w:ilvl w:val="0"/>
          <w:numId w:val="2"/>
        </w:numPr>
        <w:spacing w:after="80" w:line="276"/>
      </w:pPr>
      <w:r>
        <w:rPr>
          <w:rFonts w:ascii="Arial" w:cs="Arial" w:eastAsia="Arial" w:hAnsi="Arial"/>
          <w:b/>
          <w:bCs/>
          <w:color w:val="333333"/>
          <w:sz w:val="21"/>
          <w:szCs w:val="21"/>
        </w:rPr>
        <w:t xml:space="preserve">Administrative Measures: </w:t>
      </w:r>
      <w:r>
        <w:rPr>
          <w:rFonts w:ascii="Arial" w:cs="Arial" w:eastAsia="Arial" w:hAnsi="Arial"/>
          <w:color w:val="333333"/>
          <w:sz w:val="21"/>
          <w:szCs w:val="21"/>
        </w:rPr>
        <w:t xml:space="preserve">Appeal rates, call center metrics, complaint tracking.</w:t>
      </w:r>
    </w:p>
    <w:p>
      <w:pPr>
        <w:spacing w:after="160" w:line="276"/>
      </w:pPr>
      <w:r>
        <w:rPr>
          <w:rFonts w:ascii="Arial" w:cs="Arial" w:eastAsia="Arial" w:hAnsi="Arial"/>
          <w:b/>
          <w:bCs/>
          <w:color w:val="333333"/>
          <w:sz w:val="21"/>
          <w:szCs w:val="21"/>
        </w:rPr>
        <w:t xml:space="preserve">IT Implications: </w:t>
      </w:r>
      <w:r>
        <w:rPr>
          <w:rFonts w:ascii="Arial" w:cs="Arial" w:eastAsia="Arial" w:hAnsi="Arial"/>
          <w:color w:val="333333"/>
          <w:sz w:val="21"/>
          <w:szCs w:val="21"/>
        </w:rPr>
        <w:t xml:space="preserve">MA plan IT requires sophisticated quality measure engines, gap-in-care identification, provider performance dashboards, member outreach automation, and analytics to model Star Rating impact of interventions. A single star improvement can mean hundreds of millions in bonus revenue for large MA plans.</w:t>
      </w:r>
    </w:p>
    <w:p>
      <w:r>
        <w:br w:type="page"/>
      </w:r>
    </w:p>
    <w:p>
      <w:pPr>
        <w:pStyle w:val="Heading1"/>
        <w:spacing w:before="360" w:after="200"/>
      </w:pPr>
      <w:r>
        <w:rPr>
          <w:rFonts w:ascii="Arial" w:cs="Arial" w:eastAsia="Arial" w:hAnsi="Arial"/>
          <w:b/>
          <w:bCs/>
          <w:color w:val="1B3A5C"/>
          <w:sz w:val="32"/>
          <w:szCs w:val="32"/>
        </w:rPr>
        <w:t xml:space="preserve">12. Regulatory Compliance IT Architecture</w:t>
      </w:r>
    </w:p>
    <w:p>
      <w:pPr>
        <w:spacing w:after="160" w:line="276"/>
      </w:pPr>
      <w:r>
        <w:rPr>
          <w:rFonts w:ascii="Arial" w:cs="Arial" w:eastAsia="Arial" w:hAnsi="Arial"/>
          <w:color w:val="333333"/>
          <w:sz w:val="21"/>
          <w:szCs w:val="21"/>
        </w:rPr>
        <w:t xml:space="preserve">Managing healthcare regulatory compliance requires dedicated IT infrastructure, governance processes, and monitoring capabilities. This section outlines the IT architecture that supports enterprise-wide compliance.</w:t>
      </w:r>
    </w:p>
    <w:p>
      <w:pPr>
        <w:pStyle w:val="Heading2"/>
        <w:spacing w:before="280" w:after="160"/>
      </w:pPr>
      <w:r>
        <w:rPr>
          <w:rFonts w:ascii="Arial" w:cs="Arial" w:eastAsia="Arial" w:hAnsi="Arial"/>
          <w:b/>
          <w:bCs/>
          <w:color w:val="2E75B6"/>
          <w:sz w:val="26"/>
          <w:szCs w:val="26"/>
        </w:rPr>
        <w:t xml:space="preserve">12.1 Compliance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Identity &amp; Access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IAM platform, SSO, MFA, RBAC/ABAC, PAM, access reviews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Enforce least-privilege access, authentication, and authorization per HIPAA, TJC, and organizational policies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Audit &amp; Monitoring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SIEM, audit log management, user activity monitoring, DLP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Detect security incidents, track PHI access, support breach investigation, meet HIPAA audit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Encryption &amp; Data Protection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Encryption at rest (AES-256), in transit (TLS 1.2+), tokenization, data masking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Protect ePHI per HIPAA Security Rule; render breached data unusable (safe harbor for breach notification)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Consent &amp; Privacy Management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Consent management platform, data segmentation, privacy preference management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Manage patient consent per HIPAA, 42 CFR Part 2, state laws; enforce data sharing restrictions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Compliance 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Compliance dashboards, regulatory change tracking, policy management, audit workflow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compliance status across regulations, manage regulatory updates, coordinate audit responses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Quality Measure Engine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eCQM calculation engine, measure dashboards, value set management, reporting submission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Calculate and report quality measures for MIPS, IQR, VBP, HEDIS, and other programs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Vendor Risk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Third-party risk assessment platform, BAA management, security questionnaire automation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 business associate compliance, vendor security assessments, contract compliance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Incident Management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Security incident response platform, breach assessment workflow, notification management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Support breach detection, investigation, risk assessment, and notification per HIPAA Breach Rule</w:t>
            </w:r>
          </w:p>
        </w:tc>
      </w:tr>
    </w:tbl>
    <w:p>
      <w:pPr>
        <w:spacing w:after="160" w:line="276"/>
      </w:pPr>
      <w:r>
        <w:rPr>
          <w:rFonts w:ascii="Arial" w:cs="Arial" w:eastAsia="Arial" w:hAnsi="Arial"/>
          <w:color w:val="333333"/>
          <w:sz w:val="21"/>
          <w:szCs w:val="21"/>
        </w:rPr>
        <w:t xml:space="preserve"/>
      </w:r>
    </w:p>
    <w:p>
      <w:pPr>
        <w:pStyle w:val="Heading2"/>
        <w:spacing w:before="280" w:after="160"/>
      </w:pPr>
      <w:r>
        <w:rPr>
          <w:rFonts w:ascii="Arial" w:cs="Arial" w:eastAsia="Arial" w:hAnsi="Arial"/>
          <w:b/>
          <w:bCs/>
          <w:color w:val="2E75B6"/>
          <w:sz w:val="26"/>
          <w:szCs w:val="26"/>
        </w:rPr>
        <w:t xml:space="preserve">12.2 Compliance Governance Model</w:t>
      </w:r>
    </w:p>
    <w:p>
      <w:pPr>
        <w:pStyle w:val="ListParagraph"/>
        <w:numPr>
          <w:ilvl w:val="0"/>
          <w:numId w:val="2"/>
        </w:numPr>
        <w:spacing w:after="80" w:line="276"/>
      </w:pPr>
      <w:r>
        <w:rPr>
          <w:rFonts w:ascii="Arial" w:cs="Arial" w:eastAsia="Arial" w:hAnsi="Arial"/>
          <w:b/>
          <w:bCs/>
          <w:color w:val="333333"/>
          <w:sz w:val="21"/>
          <w:szCs w:val="21"/>
        </w:rPr>
        <w:t xml:space="preserve">Compliance Committee: </w:t>
      </w:r>
      <w:r>
        <w:rPr>
          <w:rFonts w:ascii="Arial" w:cs="Arial" w:eastAsia="Arial" w:hAnsi="Arial"/>
          <w:color w:val="333333"/>
          <w:sz w:val="21"/>
          <w:szCs w:val="21"/>
        </w:rPr>
        <w:t xml:space="preserve">Cross-functional committee (legal, compliance, IT security, privacy, clinical leadership, revenue cycle) overseeing regulatory compliance strategy and incident response.</w:t>
      </w:r>
    </w:p>
    <w:p>
      <w:pPr>
        <w:pStyle w:val="ListParagraph"/>
        <w:numPr>
          <w:ilvl w:val="0"/>
          <w:numId w:val="2"/>
        </w:numPr>
        <w:spacing w:after="80" w:line="276"/>
      </w:pPr>
      <w:r>
        <w:rPr>
          <w:rFonts w:ascii="Arial" w:cs="Arial" w:eastAsia="Arial" w:hAnsi="Arial"/>
          <w:b/>
          <w:bCs/>
          <w:color w:val="333333"/>
          <w:sz w:val="21"/>
          <w:szCs w:val="21"/>
        </w:rPr>
        <w:t xml:space="preserve">Security Risk Assessment (SRA): </w:t>
      </w:r>
      <w:r>
        <w:rPr>
          <w:rFonts w:ascii="Arial" w:cs="Arial" w:eastAsia="Arial" w:hAnsi="Arial"/>
          <w:color w:val="333333"/>
          <w:sz w:val="21"/>
          <w:szCs w:val="21"/>
        </w:rPr>
        <w:t xml:space="preserve">Annual comprehensive assessment of ePHI risks required by HIPAA and Promoting Interoperability. NIST SP 800-30 methodology commonly used. IT teams lead the technical assessment with compliance coordination.</w:t>
      </w:r>
    </w:p>
    <w:p>
      <w:pPr>
        <w:pStyle w:val="ListParagraph"/>
        <w:numPr>
          <w:ilvl w:val="0"/>
          <w:numId w:val="2"/>
        </w:numPr>
        <w:spacing w:after="80" w:line="276"/>
      </w:pPr>
      <w:r>
        <w:rPr>
          <w:rFonts w:ascii="Arial" w:cs="Arial" w:eastAsia="Arial" w:hAnsi="Arial"/>
          <w:b/>
          <w:bCs/>
          <w:color w:val="333333"/>
          <w:sz w:val="21"/>
          <w:szCs w:val="21"/>
        </w:rPr>
        <w:t xml:space="preserve">Regulatory Change Management: </w:t>
      </w:r>
      <w:r>
        <w:rPr>
          <w:rFonts w:ascii="Arial" w:cs="Arial" w:eastAsia="Arial" w:hAnsi="Arial"/>
          <w:color w:val="333333"/>
          <w:sz w:val="21"/>
          <w:szCs w:val="21"/>
        </w:rPr>
        <w:t xml:space="preserve">Systematic process for monitoring regulatory changes (CMS final rules, ONC updates, state law changes, TJC standard revisions) and implementing required IT system modifications.</w:t>
      </w:r>
    </w:p>
    <w:p>
      <w:pPr>
        <w:pStyle w:val="ListParagraph"/>
        <w:numPr>
          <w:ilvl w:val="0"/>
          <w:numId w:val="2"/>
        </w:numPr>
        <w:spacing w:after="80" w:line="276"/>
      </w:pPr>
      <w:r>
        <w:rPr>
          <w:rFonts w:ascii="Arial" w:cs="Arial" w:eastAsia="Arial" w:hAnsi="Arial"/>
          <w:b/>
          <w:bCs/>
          <w:color w:val="333333"/>
          <w:sz w:val="21"/>
          <w:szCs w:val="21"/>
        </w:rPr>
        <w:t xml:space="preserve">Compliance Training: </w:t>
      </w:r>
      <w:r>
        <w:rPr>
          <w:rFonts w:ascii="Arial" w:cs="Arial" w:eastAsia="Arial" w:hAnsi="Arial"/>
          <w:color w:val="333333"/>
          <w:sz w:val="21"/>
          <w:szCs w:val="21"/>
        </w:rPr>
        <w:t xml:space="preserve">Annual HIPAA training for all workforce members, role-specific training for IT staff handling PHI, and specialized training for security personnel. LMS tracking required.</w:t>
      </w:r>
    </w:p>
    <w:p>
      <w:r>
        <w:br w:type="page"/>
      </w:r>
    </w:p>
    <w:p>
      <w:pPr>
        <w:pStyle w:val="Heading1"/>
        <w:spacing w:before="360" w:after="200"/>
      </w:pPr>
      <w:r>
        <w:rPr>
          <w:rFonts w:ascii="Arial" w:cs="Arial" w:eastAsia="Arial" w:hAnsi="Arial"/>
          <w:b/>
          <w:bCs/>
          <w:color w:val="1B3A5C"/>
          <w:sz w:val="32"/>
          <w:szCs w:val="32"/>
        </w:rPr>
        <w:t xml:space="preserve">13. Summary &amp; Key Takeaways</w:t>
      </w:r>
    </w:p>
    <w:p>
      <w:pPr>
        <w:spacing w:after="160" w:line="276"/>
      </w:pPr>
      <w:r>
        <w:rPr>
          <w:rFonts w:ascii="Arial" w:cs="Arial" w:eastAsia="Arial" w:hAnsi="Arial"/>
          <w:color w:val="333333"/>
          <w:sz w:val="21"/>
          <w:szCs w:val="21"/>
        </w:rPr>
        <w:t xml:space="preserve">Healthcare regulation and compliance form the governance framework within which all health IT systems must operate. For IT professionals, compliance is not a separate workstream — it is embedded in every system design decision, every configuration choice, and every operational procedure.</w:t>
      </w:r>
    </w:p>
    <w:p>
      <w:pPr>
        <w:pStyle w:val="ListParagraph"/>
        <w:numPr>
          <w:ilvl w:val="0"/>
          <w:numId w:val="3"/>
        </w:numPr>
        <w:spacing w:after="80" w:line="276"/>
      </w:pPr>
      <w:r>
        <w:rPr>
          <w:rFonts w:ascii="Arial" w:cs="Arial" w:eastAsia="Arial" w:hAnsi="Arial"/>
          <w:b/>
          <w:bCs/>
          <w:color w:val="333333"/>
          <w:sz w:val="21"/>
          <w:szCs w:val="21"/>
        </w:rPr>
        <w:t xml:space="preserve">HIPAA is foundational: </w:t>
      </w:r>
      <w:r>
        <w:rPr>
          <w:rFonts w:ascii="Arial" w:cs="Arial" w:eastAsia="Arial" w:hAnsi="Arial"/>
          <w:color w:val="333333"/>
          <w:sz w:val="21"/>
          <w:szCs w:val="21"/>
        </w:rPr>
        <w:t xml:space="preserve">The Privacy Rule, Security Rule, Breach Notification Rule, and Transaction Standards govern every system that touches PHI. Administrative, physical, and technical safeguards must be implemented across the entire IT infrastructure.</w:t>
      </w:r>
    </w:p>
    <w:p>
      <w:pPr>
        <w:pStyle w:val="ListParagraph"/>
        <w:numPr>
          <w:ilvl w:val="0"/>
          <w:numId w:val="3"/>
        </w:numPr>
        <w:spacing w:after="80" w:line="276"/>
      </w:pPr>
      <w:r>
        <w:rPr>
          <w:rFonts w:ascii="Arial" w:cs="Arial" w:eastAsia="Arial" w:hAnsi="Arial"/>
          <w:b/>
          <w:bCs/>
          <w:color w:val="333333"/>
          <w:sz w:val="21"/>
          <w:szCs w:val="21"/>
        </w:rPr>
        <w:t xml:space="preserve">HITECH strengthened HIPAA and drove EHR adoption: </w:t>
      </w:r>
      <w:r>
        <w:rPr>
          <w:rFonts w:ascii="Arial" w:cs="Arial" w:eastAsia="Arial" w:hAnsi="Arial"/>
          <w:color w:val="333333"/>
          <w:sz w:val="21"/>
          <w:szCs w:val="21"/>
        </w:rPr>
        <w:t xml:space="preserve">Business associate liability, increased penalties, and the Meaningful Use/Promoting Interoperability programs created the modern health IT landscape. The incentive phase has transitioned to penalties.</w:t>
      </w:r>
    </w:p>
    <w:p>
      <w:pPr>
        <w:pStyle w:val="ListParagraph"/>
        <w:numPr>
          <w:ilvl w:val="0"/>
          <w:numId w:val="3"/>
        </w:numPr>
        <w:spacing w:after="80" w:line="276"/>
      </w:pPr>
      <w:r>
        <w:rPr>
          <w:rFonts w:ascii="Arial" w:cs="Arial" w:eastAsia="Arial" w:hAnsi="Arial"/>
          <w:b/>
          <w:bCs/>
          <w:color w:val="333333"/>
          <w:sz w:val="21"/>
          <w:szCs w:val="21"/>
        </w:rPr>
        <w:t xml:space="preserve">The Cures Act is transforming interoperability: </w:t>
      </w:r>
      <w:r>
        <w:rPr>
          <w:rFonts w:ascii="Arial" w:cs="Arial" w:eastAsia="Arial" w:hAnsi="Arial"/>
          <w:color w:val="333333"/>
          <w:sz w:val="21"/>
          <w:szCs w:val="21"/>
        </w:rPr>
        <w:t xml:space="preserve">Information blocking rules, USCDI, FHIR API requirements, and patient access provisions are fundamentally changing how health data flows. IT systems must support these requirements or face significant penalties.</w:t>
      </w:r>
    </w:p>
    <w:p>
      <w:pPr>
        <w:pStyle w:val="ListParagraph"/>
        <w:numPr>
          <w:ilvl w:val="0"/>
          <w:numId w:val="3"/>
        </w:numPr>
        <w:spacing w:after="80" w:line="276"/>
      </w:pPr>
      <w:r>
        <w:rPr>
          <w:rFonts w:ascii="Arial" w:cs="Arial" w:eastAsia="Arial" w:hAnsi="Arial"/>
          <w:b/>
          <w:bCs/>
          <w:color w:val="333333"/>
          <w:sz w:val="21"/>
          <w:szCs w:val="21"/>
        </w:rPr>
        <w:t xml:space="preserve">CMS CoPs are the baseline for participation: </w:t>
      </w:r>
      <w:r>
        <w:rPr>
          <w:rFonts w:ascii="Arial" w:cs="Arial" w:eastAsia="Arial" w:hAnsi="Arial"/>
          <w:color w:val="333333"/>
          <w:sz w:val="21"/>
          <w:szCs w:val="21"/>
        </w:rPr>
        <w:t xml:space="preserve">Hospitals must meet CMS health and safety standards, including electronic notification requirements, medical records management, and quality improvement programs.</w:t>
      </w:r>
    </w:p>
    <w:p>
      <w:pPr>
        <w:pStyle w:val="ListParagraph"/>
        <w:numPr>
          <w:ilvl w:val="0"/>
          <w:numId w:val="3"/>
        </w:numPr>
        <w:spacing w:after="80" w:line="276"/>
      </w:pPr>
      <w:r>
        <w:rPr>
          <w:rFonts w:ascii="Arial" w:cs="Arial" w:eastAsia="Arial" w:hAnsi="Arial"/>
          <w:b/>
          <w:bCs/>
          <w:color w:val="333333"/>
          <w:sz w:val="21"/>
          <w:szCs w:val="21"/>
        </w:rPr>
        <w:t xml:space="preserve">TJC accreditation drives operational IT requirements: </w:t>
      </w:r>
      <w:r>
        <w:rPr>
          <w:rFonts w:ascii="Arial" w:cs="Arial" w:eastAsia="Arial" w:hAnsi="Arial"/>
          <w:color w:val="333333"/>
          <w:sz w:val="21"/>
          <w:szCs w:val="21"/>
        </w:rPr>
        <w:t xml:space="preserve">National Patient Safety Goals, information management standards, and medication management requirements directly shape EHR configuration and clinical workflow design.</w:t>
      </w:r>
    </w:p>
    <w:p>
      <w:pPr>
        <w:pStyle w:val="ListParagraph"/>
        <w:numPr>
          <w:ilvl w:val="0"/>
          <w:numId w:val="3"/>
        </w:numPr>
        <w:spacing w:after="80" w:line="276"/>
      </w:pPr>
      <w:r>
        <w:rPr>
          <w:rFonts w:ascii="Arial" w:cs="Arial" w:eastAsia="Arial" w:hAnsi="Arial"/>
          <w:b/>
          <w:bCs/>
          <w:color w:val="333333"/>
          <w:sz w:val="21"/>
          <w:szCs w:val="21"/>
        </w:rPr>
        <w:t xml:space="preserve">FDA regulation of health IT is expanding: </w:t>
      </w:r>
      <w:r>
        <w:rPr>
          <w:rFonts w:ascii="Arial" w:cs="Arial" w:eastAsia="Arial" w:hAnsi="Arial"/>
          <w:color w:val="333333"/>
          <w:sz w:val="21"/>
          <w:szCs w:val="21"/>
        </w:rPr>
        <w:t xml:space="preserve">SaMD classification, CDS exemption criteria, and AI/ML device frameworks require IT professionals to understand regulatory boundaries when developing or deploying clinical software.</w:t>
      </w:r>
    </w:p>
    <w:p>
      <w:pPr>
        <w:pStyle w:val="ListParagraph"/>
        <w:numPr>
          <w:ilvl w:val="0"/>
          <w:numId w:val="3"/>
        </w:numPr>
        <w:spacing w:after="80" w:line="276"/>
      </w:pPr>
      <w:r>
        <w:rPr>
          <w:rFonts w:ascii="Arial" w:cs="Arial" w:eastAsia="Arial" w:hAnsi="Arial"/>
          <w:b/>
          <w:bCs/>
          <w:color w:val="333333"/>
          <w:sz w:val="21"/>
          <w:szCs w:val="21"/>
        </w:rPr>
        <w:t xml:space="preserve">State laws add complexity: </w:t>
      </w:r>
      <w:r>
        <w:rPr>
          <w:rFonts w:ascii="Arial" w:cs="Arial" w:eastAsia="Arial" w:hAnsi="Arial"/>
          <w:color w:val="333333"/>
          <w:sz w:val="21"/>
          <w:szCs w:val="21"/>
        </w:rPr>
        <w:t xml:space="preserve">Consent management, 42 CFR Part 2, state privacy laws, and telehealth regulations create a patchwork of requirements that multi-state organizations must navigate.</w:t>
      </w:r>
    </w:p>
    <w:p>
      <w:pPr>
        <w:pStyle w:val="ListParagraph"/>
        <w:numPr>
          <w:ilvl w:val="0"/>
          <w:numId w:val="3"/>
        </w:numPr>
        <w:spacing w:after="80" w:line="276"/>
      </w:pPr>
      <w:r>
        <w:rPr>
          <w:rFonts w:ascii="Arial" w:cs="Arial" w:eastAsia="Arial" w:hAnsi="Arial"/>
          <w:b/>
          <w:bCs/>
          <w:color w:val="333333"/>
          <w:sz w:val="21"/>
          <w:szCs w:val="21"/>
        </w:rPr>
        <w:t xml:space="preserve">Fraud and abuse laws affect IT vendor relationships: </w:t>
      </w:r>
      <w:r>
        <w:rPr>
          <w:rFonts w:ascii="Arial" w:cs="Arial" w:eastAsia="Arial" w:hAnsi="Arial"/>
          <w:color w:val="333333"/>
          <w:sz w:val="21"/>
          <w:szCs w:val="21"/>
        </w:rPr>
        <w:t xml:space="preserve">Anti-Kickback Statute, Stark Law, and False Claims Act implications extend to EHR donations, technology partnerships, data analytics arrangements, and quality improvement collaborations.</w:t>
      </w:r>
    </w:p>
    <w:p>
      <w:pPr>
        <w:pStyle w:val="ListParagraph"/>
        <w:numPr>
          <w:ilvl w:val="0"/>
          <w:numId w:val="3"/>
        </w:numPr>
        <w:spacing w:after="80" w:line="276"/>
      </w:pPr>
      <w:r>
        <w:rPr>
          <w:rFonts w:ascii="Arial" w:cs="Arial" w:eastAsia="Arial" w:hAnsi="Arial"/>
          <w:b/>
          <w:bCs/>
          <w:color w:val="333333"/>
          <w:sz w:val="21"/>
          <w:szCs w:val="21"/>
        </w:rPr>
        <w:t xml:space="preserve">ONC and CEHRT set the technology standard: </w:t>
      </w:r>
      <w:r>
        <w:rPr>
          <w:rFonts w:ascii="Arial" w:cs="Arial" w:eastAsia="Arial" w:hAnsi="Arial"/>
          <w:color w:val="333333"/>
          <w:sz w:val="21"/>
          <w:szCs w:val="21"/>
        </w:rPr>
        <w:t xml:space="preserve">Certification criteria define minimum EHR functionality, interoperability requirements, and API standards. TEFCA establishes nationwide exchange through QHINs.</w:t>
      </w:r>
    </w:p>
    <w:p>
      <w:pPr>
        <w:pStyle w:val="ListParagraph"/>
        <w:numPr>
          <w:ilvl w:val="0"/>
          <w:numId w:val="3"/>
        </w:numPr>
        <w:spacing w:after="80" w:line="276"/>
      </w:pPr>
      <w:r>
        <w:rPr>
          <w:rFonts w:ascii="Arial" w:cs="Arial" w:eastAsia="Arial" w:hAnsi="Arial"/>
          <w:b/>
          <w:bCs/>
          <w:color w:val="333333"/>
          <w:sz w:val="21"/>
          <w:szCs w:val="21"/>
        </w:rPr>
        <w:t xml:space="preserve">CMS quality programs depend on IT: </w:t>
      </w:r>
      <w:r>
        <w:rPr>
          <w:rFonts w:ascii="Arial" w:cs="Arial" w:eastAsia="Arial" w:hAnsi="Arial"/>
          <w:color w:val="333333"/>
          <w:sz w:val="21"/>
          <w:szCs w:val="21"/>
        </w:rPr>
        <w:t xml:space="preserve">MIPS, hospital quality programs, and MA Star Ratings all require sophisticated IT infrastructure for data capture, quality measure calculation, and regulatory reporting.</w:t>
      </w:r>
    </w:p>
    <w:p>
      <w:pPr>
        <w:pBdr>
          <w:bottom w:val="single" w:color="2E75B6" w:sz="6" w:space="1"/>
        </w:pBdr>
        <w:spacing w:before="200" w:after="200"/>
      </w:pPr>
    </w:p>
    <w:p>
      <w:pPr>
        <w:spacing w:after="160" w:line="276"/>
      </w:pPr>
      <w:r>
        <w:rPr>
          <w:rFonts w:ascii="Arial" w:cs="Arial" w:eastAsia="Arial" w:hAnsi="Arial"/>
          <w:color w:val="3333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DF3FA"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Final Thought</w:t>
            </w:r>
          </w:p>
          <w:p>
            <w:pPr>
              <w:spacing w:after="0" w:line="276"/>
            </w:pPr>
            <w:r>
              <w:rPr>
                <w:rFonts w:ascii="Arial" w:cs="Arial" w:eastAsia="Arial" w:hAnsi="Arial"/>
                <w:i/>
                <w:iCs/>
                <w:color w:val="333333"/>
                <w:sz w:val="20"/>
                <w:szCs w:val="20"/>
              </w:rPr>
              <w:t xml:space="preserve">In healthcare, compliance is not a constraint on innovation — it is the framework within which innovation must occur. The most successful health IT professionals are those who view regulatory requirements not as obstacles but as design parameters that ensure patient safety, protect privacy, and maintain trust. Build compliance into the foundation of every system, and you build systems that can withstand scrutiny, serve patients, and sustain the organization’s mission.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i/>
        <w:iCs/>
        <w:color w:val="666666"/>
        <w:sz w:val="18"/>
        <w:szCs w:val="18"/>
      </w:rPr>
      <w:t xml:space="preserve">Healthcare Regulatory &amp; Compliance Framework</w:t>
    </w:r>
    <w:r>
      <w:rPr>
        <w:rFonts w:ascii="Arial" w:cs="Arial" w:eastAsia="Arial" w:hAnsi="Arial"/>
        <w:i/>
        <w:iCs/>
        <w:color w:val="666666"/>
        <w:sz w:val="18"/>
        <w:szCs w:val="18"/>
      </w:rPr>
      <w:t xml:space="preserve">	Section 1.5 — Healthcare Domain Mastery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2026-02-27T01:07:10.163Z</dcterms:created>
  <dcterms:modified xsi:type="dcterms:W3CDTF">2026-02-27T01:07:10.164Z</dcterms:modified>
</cp:coreProperties>
</file>

<file path=docProps/custom.xml><?xml version="1.0" encoding="utf-8"?>
<Properties xmlns="http://schemas.openxmlformats.org/officeDocument/2006/custom-properties" xmlns:vt="http://schemas.openxmlformats.org/officeDocument/2006/docPropsVTypes"/>
</file>