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200"/>
      </w:pPr>
    </w:p>
    <w:p>
      <w:pPr>
        <w:spacing w:after="80"/>
        <w:jc w:val="center"/>
      </w:pPr>
      <w:r>
        <w:rPr>
          <w:rFonts w:ascii="Arial" w:cs="Arial" w:eastAsia="Arial" w:hAnsi="Arial"/>
          <w:b/>
          <w:bCs/>
          <w:color w:val="1A6FA5"/>
          <w:sz w:val="22"/>
          <w:szCs w:val="22"/>
        </w:rPr>
        <w:t xml:space="preserve">HEALTHCARE INTEGRATION ARCHITECT LEARNING PATH</w:t>
      </w:r>
    </w:p>
    <w:p>
      <w:pPr>
        <w:spacing w:after="40"/>
        <w:jc w:val="center"/>
      </w:pPr>
      <w:r>
        <w:rPr>
          <w:rFonts w:ascii="Arial" w:cs="Arial" w:eastAsia="Arial" w:hAnsi="Arial"/>
          <w:color w:val="7F8C8D"/>
          <w:sz w:val="22"/>
          <w:szCs w:val="22"/>
        </w:rPr>
        <w:t xml:space="preserve">Level 2: Advanced  •  Section 2.2</w:t>
      </w:r>
    </w:p>
    <w:p>
      <w:pPr>
        <w:spacing w:before="200" w:after="200"/>
      </w:pPr>
    </w:p>
    <w:p>
      <w:pPr>
        <w:spacing w:after="100"/>
        <w:jc w:val="center"/>
      </w:pPr>
      <w:r>
        <w:rPr>
          <w:rFonts w:ascii="Arial" w:cs="Arial" w:eastAsia="Arial" w:hAnsi="Arial"/>
          <w:b/>
          <w:bCs/>
          <w:color w:val="1A6FA5"/>
          <w:sz w:val="48"/>
          <w:szCs w:val="48"/>
        </w:rPr>
        <w:t xml:space="preserve">Deep Dive:</w:t>
      </w:r>
    </w:p>
    <w:p>
      <w:pPr>
        <w:spacing w:after="160"/>
        <w:jc w:val="center"/>
      </w:pPr>
      <w:r>
        <w:rPr>
          <w:rFonts w:ascii="Arial" w:cs="Arial" w:eastAsia="Arial" w:hAnsi="Arial"/>
          <w:b/>
          <w:bCs/>
          <w:color w:val="0D3B66"/>
          <w:sz w:val="56"/>
          <w:szCs w:val="56"/>
        </w:rPr>
        <w:t xml:space="preserve">HL7 v2 Messaging</w:t>
      </w:r>
    </w:p>
    <w:p>
      <w:pPr>
        <w:spacing w:before="80" w:after="80"/>
      </w:pPr>
    </w:p>
    <w:p>
      <w:pPr>
        <w:pBdr>
          <w:top w:val="single" w:color="1A6FA5" w:sz="3" w:space="10"/>
          <w:bottom w:val="single" w:color="1A6FA5" w:sz="3" w:space="10"/>
        </w:pBdr>
        <w:spacing w:before="80" w:after="80"/>
        <w:jc w:val="center"/>
      </w:pPr>
      <w:r>
        <w:rPr>
          <w:rFonts w:ascii="Arial" w:cs="Arial" w:eastAsia="Arial" w:hAnsi="Arial"/>
          <w:i/>
          <w:iCs/>
          <w:color w:val="2980B9"/>
          <w:sz w:val="24"/>
          <w:szCs w:val="24"/>
        </w:rPr>
        <w:t xml:space="preserve">Complete Technical Reference: Message Types, Segments, Z-Segments, ACK Patterns, MLLP, and ISDs</w:t>
      </w:r>
    </w:p>
    <w:p>
      <w:pPr>
        <w:spacing w:before="600" w:after="600"/>
      </w:pPr>
    </w:p>
    <w:p>
      <w:pPr>
        <w:jc w:val="center"/>
      </w:pPr>
      <w:r>
        <w:rPr>
          <w:rFonts w:ascii="Arial" w:cs="Arial" w:eastAsia="Arial" w:hAnsi="Arial"/>
          <w:b/>
          <w:bCs/>
          <w:color w:val="0D3B66"/>
          <w:sz w:val="24"/>
          <w:szCs w:val="24"/>
        </w:rPr>
        <w:t xml:space="preserve">2026 Enhanced Edition</w:t>
      </w:r>
    </w:p>
    <w:p>
      <w:r>
        <w:br w:type="page"/>
      </w:r>
    </w:p>
    <w:p>
      <w:pPr>
        <w:sectPr>
          <w:pgSz w:w="12240" w:h="15840" w:orient="portrait"/>
          <w:pgMar w:top="1440" w:right="1440" w:bottom="1440" w:left="1440" w:header="708" w:footer="708" w:gutter="0"/>
          <w:pgNumType/>
          <w:docGrid w:linePitch="360"/>
        </w:sectPr>
      </w:pPr>
    </w:p>
    <w:p>
      <w:pPr>
        <w:pStyle w:val="Heading1"/>
        <w:spacing w:before="0" w:after="300"/>
      </w:pPr>
      <w:r>
        <w:rPr>
          <w:rFonts w:ascii="Arial" w:cs="Arial" w:eastAsia="Arial" w:hAnsi="Arial"/>
          <w:b/>
          <w:bCs/>
          <w:color w:val="0D3B66"/>
          <w:sz w:val="36"/>
          <w:szCs w:val="36"/>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A6FA5" w:sz="4" w:space="8"/>
        </w:pBdr>
        <w:spacing w:before="400" w:after="200"/>
      </w:pPr>
      <w:r>
        <w:rPr>
          <w:rFonts w:ascii="Arial" w:cs="Arial" w:eastAsia="Arial" w:hAnsi="Arial"/>
          <w:b/>
          <w:bCs/>
          <w:color w:val="0D3B66"/>
          <w:sz w:val="36"/>
          <w:szCs w:val="36"/>
        </w:rPr>
        <w:t xml:space="preserve">Introduction</w:t>
      </w:r>
    </w:p>
    <w:p>
      <w:pPr>
        <w:spacing w:before="60" w:after="100" w:line="340"/>
      </w:pPr>
      <w:r>
        <w:rPr>
          <w:rFonts w:ascii="Arial" w:cs="Arial" w:eastAsia="Arial" w:hAnsi="Arial"/>
          <w:color w:val="2C3E50"/>
          <w:sz w:val="22"/>
          <w:szCs w:val="22"/>
        </w:rPr>
        <w:t xml:space="preserve">This section provides the deepest possible technical dive into HL7 v2 messaging — the standard that carries the vast majority of clinical data exchanged between healthcare systems today. While Section 1.3 introduced HL7 v2 concepts at a foundational level, this Level 2 deep dive covers every aspect that a working integration engineer needs to master: complete message type catalogs, field-level segment analysis, custom Z-segment design, acknowledgment pattern engineering, MLLP transport mechanics, and Interface Specification Document authorship.</w:t>
      </w:r>
    </w:p>
    <w:p>
      <w:pPr>
        <w:spacing w:before="60" w:after="100" w:line="340"/>
      </w:pPr>
      <w:r>
        <w:rPr>
          <w:rFonts w:ascii="Arial" w:cs="Arial" w:eastAsia="Arial" w:hAnsi="Arial"/>
          <w:color w:val="2C3E50"/>
          <w:sz w:val="22"/>
          <w:szCs w:val="22"/>
        </w:rPr>
        <w:t xml:space="preserve">After completing this section, you will be able to read any HL7 v2 message and understand its contents at the field and component level, design interfaces that handle all common message types and edge cases, troubleshoot production message flow issues, and author Interface Specification Documents that serve as authoritative contracts between trading partners.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FA5" w:sz="1"/>
              <w:left w:val="single" w:color="1A6FA5" w:sz="8"/>
              <w:bottom w:val="single" w:color="1A6FA5" w:sz="1"/>
              <w:right w:val="single" w:color="1A6FA5" w:sz="1"/>
            </w:tcBorders>
            <w:shd w:fill="EAF2F8" w:val="clear"/>
            <w:tcMar>
              <w:top w:type="dxa" w:w="140"/>
              <w:left w:type="dxa" w:w="200"/>
              <w:bottom w:type="dxa" w:w="140"/>
              <w:right w:type="dxa" w:w="200"/>
            </w:tcMar>
          </w:tcPr>
          <w:p>
            <w:pPr>
              <w:spacing w:after="80"/>
            </w:pPr>
            <w:r>
              <w:rPr>
                <w:rFonts w:ascii="Arial" w:cs="Arial" w:eastAsia="Arial" w:hAnsi="Arial"/>
                <w:b/>
                <w:bCs/>
                <w:color w:val="0D3B66"/>
                <w:sz w:val="22"/>
                <w:szCs w:val="22"/>
              </w:rPr>
              <w:t xml:space="preserve">Why HL7 v2 Depth Matters at Level 2</w:t>
            </w:r>
          </w:p>
          <w:p>
            <w:pPr>
              <w:spacing w:before="40"/>
            </w:pPr>
            <w:r>
              <w:rPr>
                <w:rFonts w:ascii="Arial" w:cs="Arial" w:eastAsia="Arial" w:hAnsi="Arial"/>
                <w:color w:val="2C3E50"/>
                <w:sz w:val="20"/>
                <w:szCs w:val="20"/>
              </w:rPr>
              <w:t xml:space="preserve">At Level 1, you learned what HL7 v2 is. At Level 2, you must be productive with it. That means being able to look at a raw HL7 v2 message on screen and immediately identify the patient, the event, the clinical data, and any anomalies. It means knowing that PV1-2 of 'O' means outpatient, that OBX-8 of 'HH' means critical high, and that an ACK with MSA-1 of 'AE' means the message was received but has errors. This depth of knowledge is what separates someone who has studied HL7 v2 from someone who can work with it.</w:t>
            </w:r>
          </w:p>
        </w:tc>
      </w:tr>
    </w:tbl>
    <w:p>
      <w:r>
        <w:br w:type="page"/>
      </w:r>
    </w:p>
    <w:p>
      <w:pPr>
        <w:pStyle w:val="Heading1"/>
        <w:pBdr>
          <w:bottom w:val="single" w:color="1A6FA5" w:sz="4" w:space="8"/>
        </w:pBdr>
        <w:spacing w:before="400" w:after="200"/>
      </w:pPr>
      <w:r>
        <w:rPr>
          <w:rFonts w:ascii="Arial" w:cs="Arial" w:eastAsia="Arial" w:hAnsi="Arial"/>
          <w:b/>
          <w:bCs/>
          <w:color w:val="0D3B66"/>
          <w:sz w:val="36"/>
          <w:szCs w:val="36"/>
        </w:rPr>
        <w:t xml:space="preserve">1. HL7 v2 Message Types: Complete Reference</w:t>
      </w:r>
    </w:p>
    <w:p>
      <w:pPr>
        <w:spacing w:before="60" w:after="100" w:line="340"/>
      </w:pPr>
      <w:r>
        <w:rPr>
          <w:rFonts w:ascii="Arial" w:cs="Arial" w:eastAsia="Arial" w:hAnsi="Arial"/>
          <w:color w:val="2C3E50"/>
          <w:sz w:val="22"/>
          <w:szCs w:val="22"/>
        </w:rPr>
        <w:t xml:space="preserve">HL7 v2 defines message types as a combination of a three-character Message Type code and a Trigger Event code in MSH-9 (format: TYPE^EVENT^STRUCTURE). Each combination represents a specific clinical or administrative event that triggers the creation and transmission of a message.</w:t>
      </w:r>
    </w:p>
    <w:p>
      <w:pPr>
        <w:pStyle w:val="Heading2"/>
        <w:spacing w:before="340" w:after="160"/>
      </w:pPr>
      <w:r>
        <w:rPr>
          <w:rFonts w:ascii="Arial" w:cs="Arial" w:eastAsia="Arial" w:hAnsi="Arial"/>
          <w:b/>
          <w:bCs/>
          <w:color w:val="1A6FA5"/>
          <w:sz w:val="30"/>
          <w:szCs w:val="30"/>
        </w:rPr>
        <w:t xml:space="preserve">1.1 ADT — Admit/Discharge/Transfer (Complete Catalog)</w:t>
      </w:r>
    </w:p>
    <w:p>
      <w:pPr>
        <w:spacing w:before="60" w:after="100" w:line="340"/>
      </w:pPr>
      <w:r>
        <w:rPr>
          <w:rFonts w:ascii="Arial" w:cs="Arial" w:eastAsia="Arial" w:hAnsi="Arial"/>
          <w:color w:val="2C3E50"/>
          <w:sz w:val="22"/>
          <w:szCs w:val="22"/>
        </w:rPr>
        <w:t xml:space="preserve">ADT messages are the most common and most critical message type in healthcare integration. They broadcast patient movement events throughout the enterprise, driving downstream processes in laboratory, pharmacy, dietary, billing, and care management systems.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800"/>
        <w:gridCol w:w="2200"/>
        <w:gridCol w:w="3160"/>
      </w:tblGrid>
      <w:tr>
        <w:trPr>
          <w:tblHeader/>
        </w:trPr>
        <w:tc>
          <w:tcPr>
            <w:tcW w:type="dxa" w:w="6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16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8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Clinical Trigger</w:t>
            </w:r>
          </w:p>
        </w:tc>
        <w:tc>
          <w:tcPr>
            <w:tcW w:type="dxa" w:w="22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Segments Required</w:t>
            </w:r>
          </w:p>
        </w:tc>
        <w:tc>
          <w:tcPr>
            <w:tcW w:type="dxa" w:w="31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Downstream Impact</w:t>
            </w:r>
          </w:p>
        </w:tc>
      </w:tr>
      <w:tr>
        <w:tc>
          <w:tcPr>
            <w:tcW w:type="dxa" w:w="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A01</w:t>
            </w:r>
          </w:p>
        </w:tc>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Admit Notification</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Patient admitted to inpatient</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MSH EVN PID PV1 [NK1] [IN1]</w:t>
            </w:r>
          </w:p>
        </w:tc>
        <w:tc>
          <w:tcPr>
            <w:tcW w:type="dxa" w:w="3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Create encounter in all systems; notify lab, pharmacy, dietary, care team</w:t>
            </w:r>
          </w:p>
        </w:tc>
      </w:tr>
      <w:tr>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A02</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Transfer a Patient</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Patient moves unit/bed</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MSH EVN PID PV1</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Update location in all systems; notify receiving unit</w:t>
            </w:r>
          </w:p>
        </w:tc>
      </w:tr>
      <w:tr>
        <w:tc>
          <w:tcPr>
            <w:tcW w:type="dxa" w:w="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A03</w:t>
            </w:r>
          </w:p>
        </w:tc>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Discharge a Patient</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Patient discharged</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MSH EVN PID PV1</w:t>
            </w:r>
          </w:p>
        </w:tc>
        <w:tc>
          <w:tcPr>
            <w:tcW w:type="dxa" w:w="3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Close encounter; trigger coding/billing; notify PCP; update bed mgmt</w:t>
            </w:r>
          </w:p>
        </w:tc>
      </w:tr>
      <w:tr>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A04</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Register a Patient</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Outpatient/ED registration</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MSH EVN PID PV1</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Create outpatient encounter; verify insurance; generate wristband</w:t>
            </w:r>
          </w:p>
        </w:tc>
      </w:tr>
      <w:tr>
        <w:tc>
          <w:tcPr>
            <w:tcW w:type="dxa" w:w="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A05</w:t>
            </w:r>
          </w:p>
        </w:tc>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Pre-Admit a Patient</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Scheduled admission created</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MSH EVN PID PV1</w:t>
            </w:r>
          </w:p>
        </w:tc>
        <w:tc>
          <w:tcPr>
            <w:tcW w:type="dxa" w:w="3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Reserve bed; schedule pre-admission testing; verify insurance</w:t>
            </w:r>
          </w:p>
        </w:tc>
      </w:tr>
      <w:tr>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A06</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Change Outpatient to Inpatient</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Patient class change O→I</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MSH EVN PID PV1</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Update encounter type in all systems; trigger inpatient workflows</w:t>
            </w:r>
          </w:p>
        </w:tc>
      </w:tr>
      <w:tr>
        <w:tc>
          <w:tcPr>
            <w:tcW w:type="dxa" w:w="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A07</w:t>
            </w:r>
          </w:p>
        </w:tc>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Change Inpatient to Outpatient</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Patient class change I→O</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MSH EVN PID PV1</w:t>
            </w:r>
          </w:p>
        </w:tc>
        <w:tc>
          <w:tcPr>
            <w:tcW w:type="dxa" w:w="3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Update encounter type; adjust billing; notify dietary to stop meals</w:t>
            </w:r>
          </w:p>
        </w:tc>
      </w:tr>
      <w:tr>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A08</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Update Patient Information</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Demographics/visit info changed</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MSH EVN PID PV1</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Propagate changes to all connected systems (CRITICAL: high volume)</w:t>
            </w:r>
          </w:p>
        </w:tc>
      </w:tr>
      <w:tr>
        <w:tc>
          <w:tcPr>
            <w:tcW w:type="dxa" w:w="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A09</w:t>
            </w:r>
          </w:p>
        </w:tc>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Patient Departing (Tracking)</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Patient leaves unit temporarily</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MSH EVN PID PV1</w:t>
            </w:r>
          </w:p>
        </w:tc>
        <w:tc>
          <w:tcPr>
            <w:tcW w:type="dxa" w:w="3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Update tracking board; suspend dietary trays</w:t>
            </w:r>
          </w:p>
        </w:tc>
      </w:tr>
      <w:tr>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A10</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Patient Arriving (Tracking)</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Patient returns to unit</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MSH EVN PID PV1</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Update tracking board; resume services</w:t>
            </w:r>
          </w:p>
        </w:tc>
      </w:tr>
      <w:tr>
        <w:tc>
          <w:tcPr>
            <w:tcW w:type="dxa" w:w="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A11</w:t>
            </w:r>
          </w:p>
        </w:tc>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Cancel Admit</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Admission entered in error</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MSH EVN PID PV1</w:t>
            </w:r>
          </w:p>
        </w:tc>
        <w:tc>
          <w:tcPr>
            <w:tcW w:type="dxa" w:w="3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Reverse encounter creation in all systems; restore bed</w:t>
            </w:r>
          </w:p>
        </w:tc>
      </w:tr>
      <w:tr>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A12</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Cancel Transfer</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Transfer entered in error</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MSH EVN PID PV1</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Reverse location change; restore original bed assignment</w:t>
            </w:r>
          </w:p>
        </w:tc>
      </w:tr>
      <w:tr>
        <w:tc>
          <w:tcPr>
            <w:tcW w:type="dxa" w:w="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A13</w:t>
            </w:r>
          </w:p>
        </w:tc>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Cancel Discharge</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Discharge entered in error</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MSH EVN PID PV1</w:t>
            </w:r>
          </w:p>
        </w:tc>
        <w:tc>
          <w:tcPr>
            <w:tcW w:type="dxa" w:w="3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Reactivate encounter; resume orders; notify dietary</w:t>
            </w:r>
          </w:p>
        </w:tc>
      </w:tr>
      <w:tr>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A14</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Pending Admit</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Pending admission notification</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MSH EVN PID PV1</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Pre-notification for bed management and resource planning</w:t>
            </w:r>
          </w:p>
        </w:tc>
      </w:tr>
      <w:tr>
        <w:tc>
          <w:tcPr>
            <w:tcW w:type="dxa" w:w="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A15</w:t>
            </w:r>
          </w:p>
        </w:tc>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Pending Transfer</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Pending transfer notification</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MSH EVN PID PV1</w:t>
            </w:r>
          </w:p>
        </w:tc>
        <w:tc>
          <w:tcPr>
            <w:tcW w:type="dxa" w:w="3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Notify receiving unit; prepare room</w:t>
            </w:r>
          </w:p>
        </w:tc>
      </w:tr>
      <w:tr>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A16</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Pending Discharge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Pending discharge notification</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MSH EVN PID PV1</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Initiate discharge planning; prepare room for turnover</w:t>
            </w:r>
          </w:p>
        </w:tc>
      </w:tr>
      <w:tr>
        <w:tc>
          <w:tcPr>
            <w:tcW w:type="dxa" w:w="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A17</w:t>
            </w:r>
          </w:p>
        </w:tc>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Swap Patients</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Two patients exchange beds</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MSH EVN PID PV1 (x2)</w:t>
            </w:r>
          </w:p>
        </w:tc>
        <w:tc>
          <w:tcPr>
            <w:tcW w:type="dxa" w:w="3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Update bed assignments for both patients in all tracking systems</w:t>
            </w:r>
          </w:p>
        </w:tc>
      </w:tr>
      <w:tr>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A23</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Delete a Patient</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Patient record deleted</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MSH EVN PID PV1</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Remove patient from all systems (extremely rare in production)</w:t>
            </w:r>
          </w:p>
        </w:tc>
      </w:tr>
      <w:tr>
        <w:tc>
          <w:tcPr>
            <w:tcW w:type="dxa" w:w="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A28</w:t>
            </w:r>
          </w:p>
        </w:tc>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Add Person Information</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New person in MPI</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MSH EVN PID</w:t>
            </w:r>
          </w:p>
        </w:tc>
        <w:tc>
          <w:tcPr>
            <w:tcW w:type="dxa" w:w="3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Add to Master Patient Index; propagate to enterprise systems</w:t>
            </w:r>
          </w:p>
        </w:tc>
      </w:tr>
      <w:tr>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A31</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Update Person Information</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MPI-level demographic update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MSH EVN PID</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Update demographics across enterprise (not encounter-specific)</w:t>
            </w:r>
          </w:p>
        </w:tc>
      </w:tr>
      <w:tr>
        <w:tc>
          <w:tcPr>
            <w:tcW w:type="dxa" w:w="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A34</w:t>
            </w:r>
          </w:p>
        </w:tc>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Merge Patient ID</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Two patient IDs merged</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MSH EVN PID MRG</w:t>
            </w:r>
          </w:p>
        </w:tc>
        <w:tc>
          <w:tcPr>
            <w:tcW w:type="dxa" w:w="3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CRITICAL: Update all references to retired MRN across every system</w:t>
            </w:r>
          </w:p>
        </w:tc>
      </w:tr>
      <w:tr>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A40</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Merge Patient Account</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Two accounts merged</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MSH EVN PID MRG</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Update billing and encounter references for merged accounts</w:t>
            </w:r>
          </w:p>
        </w:tc>
      </w:tr>
      <w:tr>
        <w:tc>
          <w:tcPr>
            <w:tcW w:type="dxa" w:w="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A45</w:t>
            </w:r>
          </w:p>
        </w:tc>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Move Visit Information</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Visit moved to different patient</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MSH EVN PID MRG</w:t>
            </w:r>
          </w:p>
        </w:tc>
        <w:tc>
          <w:tcPr>
            <w:tcW w:type="dxa" w:w="3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Correct misattributed encounter (e.g., orders on wrong patient)</w:t>
            </w:r>
          </w:p>
        </w:tc>
      </w:tr>
      <w:tr>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A47</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Change Patient Identifier</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MRN changed</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MSH EVN PID MRG</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Update patient identifier across all connected systems</w:t>
            </w:r>
          </w:p>
        </w:tc>
      </w:tr>
      <w:tr>
        <w:tc>
          <w:tcPr>
            <w:tcW w:type="dxa" w:w="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A60</w:t>
            </w:r>
          </w:p>
        </w:tc>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Update Allergy Information</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Allergy list changed</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MSH EVN PID AL1</w:t>
            </w:r>
          </w:p>
        </w:tc>
        <w:tc>
          <w:tcPr>
            <w:tcW w:type="dxa" w:w="3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Update allergy information in pharmacy and clinical systems</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8"/>
              <w:bottom w:val="single" w:color="E67E22" w:sz="1"/>
              <w:right w:val="single" w:color="E67E22" w:sz="1"/>
            </w:tcBorders>
            <w:shd w:fill="FDEDEC" w:val="clear"/>
            <w:tcMar>
              <w:top w:type="dxa" w:w="140"/>
              <w:left w:type="dxa" w:w="200"/>
              <w:bottom w:type="dxa" w:w="140"/>
              <w:right w:type="dxa" w:w="200"/>
            </w:tcMar>
          </w:tcPr>
          <w:p>
            <w:pPr>
              <w:spacing w:after="80"/>
            </w:pPr>
            <w:r>
              <w:rPr>
                <w:rFonts w:ascii="Arial" w:cs="Arial" w:eastAsia="Arial" w:hAnsi="Arial"/>
                <w:b/>
                <w:bCs/>
                <w:color w:val="0D3B66"/>
                <w:sz w:val="22"/>
                <w:szCs w:val="22"/>
              </w:rPr>
              <w:t xml:space="preserve">Critical: ADT A08 Volume Management</w:t>
            </w:r>
          </w:p>
          <w:p>
            <w:pPr>
              <w:spacing w:before="40"/>
            </w:pPr>
            <w:r>
              <w:rPr>
                <w:rFonts w:ascii="Arial" w:cs="Arial" w:eastAsia="Arial" w:hAnsi="Arial"/>
                <w:color w:val="2C3E50"/>
                <w:sz w:val="20"/>
                <w:szCs w:val="20"/>
              </w:rPr>
              <w:t xml:space="preserve">A08 (Update Patient Information) is typically the highest-volume ADT message because it fires for any demographic or visit change. In a large health system, A08 messages can represent 50-70% of all ADT traffic. Integration engines must be configured to handle this volume efficiently, and downstream systems should process A08 updates idempotently.</w:t>
            </w:r>
          </w:p>
        </w:tc>
      </w:tr>
    </w:tbl>
    <w:p>
      <w:pPr>
        <w:spacing w:before="120" w:after="120"/>
      </w:pPr>
    </w:p>
    <w:p>
      <w:pPr>
        <w:pStyle w:val="Heading2"/>
        <w:spacing w:before="340" w:after="160"/>
      </w:pPr>
      <w:r>
        <w:rPr>
          <w:rFonts w:ascii="Arial" w:cs="Arial" w:eastAsia="Arial" w:hAnsi="Arial"/>
          <w:b/>
          <w:bCs/>
          <w:color w:val="1A6FA5"/>
          <w:sz w:val="30"/>
          <w:szCs w:val="30"/>
        </w:rPr>
        <w:t xml:space="preserve">1.2 ORM/OML — Order Messages</w:t>
      </w:r>
    </w:p>
    <w:p>
      <w:pPr>
        <w:spacing w:before="60" w:after="100" w:line="340"/>
      </w:pPr>
      <w:r>
        <w:rPr>
          <w:rFonts w:ascii="Arial" w:cs="Arial" w:eastAsia="Arial" w:hAnsi="Arial"/>
          <w:color w:val="2C3E50"/>
          <w:sz w:val="22"/>
          <w:szCs w:val="22"/>
        </w:rPr>
        <w:t xml:space="preserve">Order messages transmit clinical orders from ordering systems to performing systems: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400"/>
        <w:gridCol w:w="3760"/>
      </w:tblGrid>
      <w:tr>
        <w:trPr>
          <w:tblHeader/>
        </w:trPr>
        <w:tc>
          <w:tcPr>
            <w:tcW w:type="dxa" w:w="14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Message</w:t>
            </w:r>
          </w:p>
        </w:tc>
        <w:tc>
          <w:tcPr>
            <w:tcW w:type="dxa" w:w="18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4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7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Key Segments</w:t>
            </w:r>
          </w:p>
        </w:tc>
      </w:tr>
      <w:tr>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ORM^O01</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General Order</w:t>
            </w:r>
          </w:p>
        </w:tc>
        <w:tc>
          <w:tcPr>
            <w:tcW w:type="dxa" w:w="2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Orders for lab, radiology, procedures</w:t>
            </w:r>
          </w:p>
        </w:tc>
        <w:tc>
          <w:tcPr>
            <w:tcW w:type="dxa" w:w="3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MSH PID PV1 {ORC OBR [OBX] [DG1]}</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OML^O21</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Lab Order</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Laboratory-specific order with specimen</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MSH PID PV1 {ORC OBR SPM [SAC]}</w:t>
            </w:r>
          </w:p>
        </w:tc>
      </w:tr>
      <w:tr>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OML^O33</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Lab Order for Multiple Specimens</w:t>
            </w:r>
          </w:p>
        </w:tc>
        <w:tc>
          <w:tcPr>
            <w:tcW w:type="dxa" w:w="2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Complex lab orders</w:t>
            </w:r>
          </w:p>
        </w:tc>
        <w:tc>
          <w:tcPr>
            <w:tcW w:type="dxa" w:w="37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MSH PID PV1 {SPM {ORC OBR}}</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OMG^O19</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General Clinical Order</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Non-lab orders</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MSH PID PV1 {ORC OBR [OBX]}</w:t>
            </w:r>
          </w:p>
        </w:tc>
      </w:tr>
    </w:tbl>
    <w:p>
      <w:pPr>
        <w:spacing w:before="120" w:after="120"/>
      </w:pPr>
    </w:p>
    <w:p>
      <w:pPr>
        <w:pStyle w:val="ListParagraph"/>
        <w:numPr>
          <w:ilvl w:val="0"/>
          <w:numId w:val="2"/>
        </w:numPr>
        <w:spacing w:before="40" w:after="40" w:line="310"/>
      </w:pPr>
      <w:r>
        <w:rPr>
          <w:rFonts w:ascii="Arial" w:cs="Arial" w:eastAsia="Arial" w:hAnsi="Arial"/>
          <w:b/>
          <w:bCs/>
          <w:color w:val="2C3E50"/>
          <w:sz w:val="22"/>
          <w:szCs w:val="22"/>
        </w:rPr>
        <w:t xml:space="preserve">ORC Order Control Codes: </w:t>
      </w:r>
      <w:r>
        <w:rPr>
          <w:rFonts w:ascii="Arial" w:cs="Arial" w:eastAsia="Arial" w:hAnsi="Arial"/>
          <w:color w:val="2C3E50"/>
          <w:sz w:val="22"/>
          <w:szCs w:val="22"/>
        </w:rPr>
        <w:t xml:space="preserve">NW (New Order), CA (Cancel), DC (Discontinue), XO (Change Order), HD (Hold), RL (Release), SC (Status Changed), RE (Observations/Results Returned).</w:t>
      </w:r>
    </w:p>
    <w:p>
      <w:pPr>
        <w:pStyle w:val="ListParagraph"/>
        <w:numPr>
          <w:ilvl w:val="0"/>
          <w:numId w:val="2"/>
        </w:numPr>
        <w:spacing w:before="40" w:after="40" w:line="310"/>
      </w:pPr>
      <w:r>
        <w:rPr>
          <w:rFonts w:ascii="Arial" w:cs="Arial" w:eastAsia="Arial" w:hAnsi="Arial"/>
          <w:b/>
          <w:bCs/>
          <w:color w:val="2C3E50"/>
          <w:sz w:val="22"/>
          <w:szCs w:val="22"/>
        </w:rPr>
        <w:t xml:space="preserve">ORC-1 + ORC-5 Interaction: </w:t>
      </w:r>
      <w:r>
        <w:rPr>
          <w:rFonts w:ascii="Arial" w:cs="Arial" w:eastAsia="Arial" w:hAnsi="Arial"/>
          <w:color w:val="2C3E50"/>
          <w:sz w:val="22"/>
          <w:szCs w:val="22"/>
        </w:rPr>
        <w:t xml:space="preserve">ORC-1 (Order Control) indicates the action, ORC-5 (Order Status) indicates the current state. For new orders: ORC-1=NW, ORC-5=SC (Status Changed to active).</w:t>
      </w:r>
    </w:p>
    <w:p>
      <w:pPr>
        <w:spacing w:before="120" w:after="120"/>
      </w:pPr>
    </w:p>
    <w:p>
      <w:pPr>
        <w:pStyle w:val="Heading2"/>
        <w:spacing w:before="340" w:after="160"/>
      </w:pPr>
      <w:r>
        <w:rPr>
          <w:rFonts w:ascii="Arial" w:cs="Arial" w:eastAsia="Arial" w:hAnsi="Arial"/>
          <w:b/>
          <w:bCs/>
          <w:color w:val="1A6FA5"/>
          <w:sz w:val="30"/>
          <w:szCs w:val="30"/>
        </w:rPr>
        <w:t xml:space="preserve">1.3 ORU — Observation/Result Messages</w:t>
      </w:r>
    </w:p>
    <w:p>
      <w:pPr>
        <w:pStyle w:val="ListParagraph"/>
        <w:numPr>
          <w:ilvl w:val="0"/>
          <w:numId w:val="2"/>
        </w:numPr>
        <w:spacing w:before="40" w:after="40" w:line="310"/>
      </w:pPr>
      <w:r>
        <w:rPr>
          <w:rFonts w:ascii="Arial" w:cs="Arial" w:eastAsia="Arial" w:hAnsi="Arial"/>
          <w:b/>
          <w:bCs/>
          <w:color w:val="2C3E50"/>
          <w:sz w:val="22"/>
          <w:szCs w:val="22"/>
        </w:rPr>
        <w:t xml:space="preserve">ORU^R01: </w:t>
      </w:r>
      <w:r>
        <w:rPr>
          <w:rFonts w:ascii="Arial" w:cs="Arial" w:eastAsia="Arial" w:hAnsi="Arial"/>
          <w:color w:val="2C3E50"/>
          <w:sz w:val="22"/>
          <w:szCs w:val="22"/>
        </w:rPr>
        <w:t xml:space="preserve">The primary unsolicited result message. Carries lab results, radiology reports, microbiology, pathology, vital signs, and any diagnostic observation.</w:t>
      </w:r>
    </w:p>
    <w:p>
      <w:pPr>
        <w:spacing w:before="60" w:after="100" w:line="340"/>
      </w:pPr>
      <w:r>
        <w:rPr>
          <w:rFonts w:ascii="Arial" w:cs="Arial" w:eastAsia="Arial" w:hAnsi="Arial"/>
          <w:color w:val="2C3E50"/>
          <w:sz w:val="22"/>
          <w:szCs w:val="22"/>
        </w:rPr>
        <w:t xml:space="preserve">ORU message structure is hierarchical: one message can contain multiple patient groups, each with multiple orders, each with multiple results: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7" w:val="clear"/>
            <w:tcMar>
              <w:top w:type="dxa" w:w="120"/>
              <w:left w:type="dxa" w:w="200"/>
              <w:bottom w:type="dxa" w:w="120"/>
              <w:right w:type="dxa" w:w="200"/>
            </w:tcMar>
          </w:tcPr>
          <w:p>
            <w:pPr>
              <w:spacing w:after="60"/>
            </w:pPr>
            <w:r>
              <w:rPr>
                <w:rFonts w:ascii="Arial" w:cs="Arial" w:eastAsia="Arial" w:hAnsi="Arial"/>
                <w:b/>
                <w:bCs/>
                <w:color w:val="0D3B66"/>
                <w:sz w:val="20"/>
                <w:szCs w:val="20"/>
              </w:rPr>
              <w:t xml:space="preserve">ORU^R01 Structure (Hierarchical)</w:t>
            </w:r>
          </w:p>
          <w:p>
            <w:pPr>
              <w:spacing w:before="20" w:after="20"/>
            </w:pPr>
            <w:r>
              <w:rPr>
                <w:rFonts w:ascii="Consolas" w:cs="Consolas" w:eastAsia="Consolas" w:hAnsi="Consolas"/>
                <w:color w:val="1C2833"/>
                <w:sz w:val="18"/>
                <w:szCs w:val="18"/>
              </w:rPr>
              <w:t xml:space="preserve">MSH              -- Message Header</w:t>
            </w:r>
          </w:p>
          <w:p>
            <w:pPr>
              <w:spacing w:before="20" w:after="20"/>
            </w:pPr>
            <w:r>
              <w:rPr>
                <w:rFonts w:ascii="Consolas" w:cs="Consolas" w:eastAsia="Consolas" w:hAnsi="Consolas"/>
                <w:color w:val="1C2833"/>
                <w:sz w:val="18"/>
                <w:szCs w:val="18"/>
              </w:rPr>
              <w:t xml:space="preserve">[{PID            -- Patient Identification (one per patient group)</w:t>
            </w:r>
          </w:p>
          <w:p>
            <w:pPr>
              <w:spacing w:before="20" w:after="20"/>
            </w:pPr>
            <w:r>
              <w:rPr>
                <w:rFonts w:ascii="Consolas" w:cs="Consolas" w:eastAsia="Consolas" w:hAnsi="Consolas"/>
                <w:color w:val="1C2833"/>
                <w:sz w:val="18"/>
                <w:szCs w:val="18"/>
              </w:rPr>
              <w:t xml:space="preserve">  [PV1]          -- Patient Visit</w:t>
            </w:r>
          </w:p>
          <w:p>
            <w:pPr>
              <w:spacing w:before="20" w:after="20"/>
            </w:pPr>
            <w:r>
              <w:rPr>
                <w:rFonts w:ascii="Consolas" w:cs="Consolas" w:eastAsia="Consolas" w:hAnsi="Consolas"/>
                <w:color w:val="1C2833"/>
                <w:sz w:val="18"/>
                <w:szCs w:val="18"/>
              </w:rPr>
              <w:t xml:space="preserve">  [{ORC          -- Common Order (one per order)</w:t>
            </w:r>
          </w:p>
          <w:p>
            <w:pPr>
              <w:spacing w:before="20" w:after="20"/>
            </w:pPr>
            <w:r>
              <w:rPr>
                <w:rFonts w:ascii="Consolas" w:cs="Consolas" w:eastAsia="Consolas" w:hAnsi="Consolas"/>
                <w:color w:val="1C2833"/>
                <w:sz w:val="18"/>
                <w:szCs w:val="18"/>
              </w:rPr>
              <w:t xml:space="preserve">    OBR           -- Observation Request (order details)</w:t>
            </w:r>
          </w:p>
          <w:p>
            <w:pPr>
              <w:spacing w:before="20" w:after="20"/>
            </w:pPr>
            <w:r>
              <w:rPr>
                <w:rFonts w:ascii="Consolas" w:cs="Consolas" w:eastAsia="Consolas" w:hAnsi="Consolas"/>
                <w:color w:val="1C2833"/>
                <w:sz w:val="18"/>
                <w:szCs w:val="18"/>
              </w:rPr>
              <w:t xml:space="preserve">    [{OBX}]       -- Observation Results (one per result value)</w:t>
            </w:r>
          </w:p>
          <w:p>
            <w:pPr>
              <w:spacing w:before="20" w:after="20"/>
            </w:pPr>
            <w:r>
              <w:rPr>
                <w:rFonts w:ascii="Consolas" w:cs="Consolas" w:eastAsia="Consolas" w:hAnsi="Consolas"/>
                <w:color w:val="1C2833"/>
                <w:sz w:val="18"/>
                <w:szCs w:val="18"/>
              </w:rPr>
              <w:t xml:space="preserve">    [{NTE}]       -- Notes/Comments</w:t>
            </w:r>
          </w:p>
          <w:p>
            <w:pPr>
              <w:spacing w:before="20" w:after="20"/>
            </w:pPr>
            <w:r>
              <w:rPr>
                <w:rFonts w:ascii="Consolas" w:cs="Consolas" w:eastAsia="Consolas" w:hAnsi="Consolas"/>
                <w:color w:val="1C2833"/>
                <w:sz w:val="18"/>
                <w:szCs w:val="18"/>
              </w:rPr>
              <w:t xml:space="preserve">  }]</w:t>
            </w:r>
          </w:p>
          <w:p>
            <w:pPr>
              <w:spacing w:before="20" w:after="20"/>
            </w:pPr>
            <w:r>
              <w:rPr>
                <w:rFonts w:ascii="Consolas" w:cs="Consolas" w:eastAsia="Consolas" w:hAnsi="Consolas"/>
                <w:color w:val="1C2833"/>
                <w:sz w:val="18"/>
                <w:szCs w:val="18"/>
              </w:rPr>
              <w:t xml:space="preserve">}]</w:t>
            </w:r>
          </w:p>
        </w:tc>
      </w:tr>
    </w:tbl>
    <w:p>
      <w:pPr>
        <w:spacing w:before="120" w:after="120"/>
      </w:pPr>
    </w:p>
    <w:p>
      <w:pPr>
        <w:pStyle w:val="Heading2"/>
        <w:spacing w:before="340" w:after="160"/>
      </w:pPr>
      <w:r>
        <w:rPr>
          <w:rFonts w:ascii="Arial" w:cs="Arial" w:eastAsia="Arial" w:hAnsi="Arial"/>
          <w:b/>
          <w:bCs/>
          <w:color w:val="1A6FA5"/>
          <w:sz w:val="30"/>
          <w:szCs w:val="30"/>
        </w:rPr>
        <w:t xml:space="preserve">1.4 SIU — Scheduling Messages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6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9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S12</w:t>
            </w:r>
          </w:p>
        </w:tc>
        <w:tc>
          <w:tcPr>
            <w:tcW w:type="dxa" w:w="2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New Appointment</w:t>
            </w:r>
          </w:p>
        </w:tc>
        <w:tc>
          <w:tcPr>
            <w:tcW w:type="dxa" w:w="59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Appointment scheduled</w:t>
            </w:r>
          </w:p>
        </w:tc>
      </w:tr>
      <w:tr>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S13</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Appointment Rescheduled</w:t>
            </w:r>
          </w:p>
        </w:tc>
        <w:tc>
          <w:tcPr>
            <w:tcW w:type="dxa" w:w="5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Date/time/provider changed</w:t>
            </w:r>
          </w:p>
        </w:tc>
      </w:tr>
      <w:tr>
        <w:tc>
          <w:tcPr>
            <w:tcW w:type="dxa" w:w="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S14</w:t>
            </w:r>
          </w:p>
        </w:tc>
        <w:tc>
          <w:tcPr>
            <w:tcW w:type="dxa" w:w="2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Appointment Modified</w:t>
            </w:r>
          </w:p>
        </w:tc>
        <w:tc>
          <w:tcPr>
            <w:tcW w:type="dxa" w:w="59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Non-scheduling change to appointment</w:t>
            </w:r>
          </w:p>
        </w:tc>
      </w:tr>
      <w:tr>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S15</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Appointment Cancelled</w:t>
            </w:r>
          </w:p>
        </w:tc>
        <w:tc>
          <w:tcPr>
            <w:tcW w:type="dxa" w:w="5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Appointment cancelled</w:t>
            </w:r>
          </w:p>
        </w:tc>
      </w:tr>
      <w:tr>
        <w:tc>
          <w:tcPr>
            <w:tcW w:type="dxa" w:w="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S17</w:t>
            </w:r>
          </w:p>
        </w:tc>
        <w:tc>
          <w:tcPr>
            <w:tcW w:type="dxa" w:w="2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Appointment Deleted</w:t>
            </w:r>
          </w:p>
        </w:tc>
        <w:tc>
          <w:tcPr>
            <w:tcW w:type="dxa" w:w="59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Appointment permanently removed</w:t>
            </w:r>
          </w:p>
        </w:tc>
      </w:tr>
      <w:tr>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S26</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Appointment No-Show</w:t>
            </w:r>
          </w:p>
        </w:tc>
        <w:tc>
          <w:tcPr>
            <w:tcW w:type="dxa" w:w="5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Patient did not arrive</w:t>
            </w:r>
          </w:p>
        </w:tc>
      </w:tr>
    </w:tbl>
    <w:p>
      <w:pPr>
        <w:spacing w:before="120" w:after="120"/>
      </w:pPr>
    </w:p>
    <w:p>
      <w:pPr>
        <w:pStyle w:val="Heading2"/>
        <w:spacing w:before="340" w:after="160"/>
      </w:pPr>
      <w:r>
        <w:rPr>
          <w:rFonts w:ascii="Arial" w:cs="Arial" w:eastAsia="Arial" w:hAnsi="Arial"/>
          <w:b/>
          <w:bCs/>
          <w:color w:val="1A6FA5"/>
          <w:sz w:val="30"/>
          <w:szCs w:val="30"/>
        </w:rPr>
        <w:t xml:space="preserve">1.5 Other Critical Message Types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rPr>
          <w:tblHeader/>
        </w:trPr>
        <w:tc>
          <w:tcPr>
            <w:tcW w:type="dxa" w:w="14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Message</w:t>
            </w:r>
          </w:p>
        </w:tc>
        <w:tc>
          <w:tcPr>
            <w:tcW w:type="dxa" w:w="28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51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Key Use Case</w:t>
            </w:r>
          </w:p>
        </w:tc>
      </w:tr>
      <w:tr>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MDM^T02</w:t>
            </w:r>
          </w:p>
        </w:tc>
        <w:tc>
          <w:tcPr>
            <w:tcW w:type="dxa" w:w="2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Original Document with Content</w:t>
            </w:r>
          </w:p>
        </w:tc>
        <w:tc>
          <w:tcPr>
            <w:tcW w:type="dxa" w:w="5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Transmit transcribed reports, clinical documents with full text</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MDM^T04</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Status Change with Content</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Document status change (draft to final) with content</w:t>
            </w:r>
          </w:p>
        </w:tc>
      </w:tr>
      <w:tr>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DFT^P03</w:t>
            </w:r>
          </w:p>
        </w:tc>
        <w:tc>
          <w:tcPr>
            <w:tcW w:type="dxa" w:w="2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Detail Financial Transaction</w:t>
            </w:r>
          </w:p>
        </w:tc>
        <w:tc>
          <w:tcPr>
            <w:tcW w:type="dxa" w:w="5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Post charges from clinical systems to billing</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BAR^P01</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Add Patient Account</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Open billing account, post diagnoses and procedures</w:t>
            </w:r>
          </w:p>
        </w:tc>
      </w:tr>
      <w:tr>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MFN^M02</w:t>
            </w:r>
          </w:p>
        </w:tc>
        <w:tc>
          <w:tcPr>
            <w:tcW w:type="dxa" w:w="2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Staff/Practitioner Master File</w:t>
            </w:r>
          </w:p>
        </w:tc>
        <w:tc>
          <w:tcPr>
            <w:tcW w:type="dxa" w:w="5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Distribute provider directory updates across systems</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MFN^M04</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Charge Description Master File</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Distribute charge master updates</w:t>
            </w:r>
          </w:p>
        </w:tc>
      </w:tr>
      <w:tr>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VXU^V04</w:t>
            </w:r>
          </w:p>
        </w:tc>
        <w:tc>
          <w:tcPr>
            <w:tcW w:type="dxa" w:w="2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Vaccination Update</w:t>
            </w:r>
          </w:p>
        </w:tc>
        <w:tc>
          <w:tcPr>
            <w:tcW w:type="dxa" w:w="5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Report immunization administrations to registries</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RDE^O11</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Pharmacy/Treatment Encoded Order</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Transmit pharmacy orders with complete drug encoding</w:t>
            </w:r>
          </w:p>
        </w:tc>
      </w:tr>
      <w:tr>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RAS^O17</w:t>
            </w:r>
          </w:p>
        </w:tc>
        <w:tc>
          <w:tcPr>
            <w:tcW w:type="dxa" w:w="2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Pharmacy/Treatment Administration</w:t>
            </w:r>
          </w:p>
        </w:tc>
        <w:tc>
          <w:tcPr>
            <w:tcW w:type="dxa" w:w="5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Report medication administration events</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QBP^Q22</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Query By Parameter</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Request specific patient data (demographics, allergies)</w:t>
            </w:r>
          </w:p>
        </w:tc>
      </w:tr>
      <w:tr>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RSP^K22</w:t>
            </w:r>
          </w:p>
        </w:tc>
        <w:tc>
          <w:tcPr>
            <w:tcW w:type="dxa" w:w="2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Segment Pattern Response</w:t>
            </w:r>
          </w:p>
        </w:tc>
        <w:tc>
          <w:tcPr>
            <w:tcW w:type="dxa" w:w="5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Response to QBP query with requested data</w:t>
            </w:r>
          </w:p>
        </w:tc>
      </w:tr>
    </w:tbl>
    <w:p>
      <w:r>
        <w:br w:type="page"/>
      </w:r>
    </w:p>
    <w:p>
      <w:pPr>
        <w:pStyle w:val="Heading1"/>
        <w:pBdr>
          <w:bottom w:val="single" w:color="1A6FA5" w:sz="4" w:space="8"/>
        </w:pBdr>
        <w:spacing w:before="400" w:after="200"/>
      </w:pPr>
      <w:r>
        <w:rPr>
          <w:rFonts w:ascii="Arial" w:cs="Arial" w:eastAsia="Arial" w:hAnsi="Arial"/>
          <w:b/>
          <w:bCs/>
          <w:color w:val="0D3B66"/>
          <w:sz w:val="36"/>
          <w:szCs w:val="36"/>
        </w:rPr>
        <w:t xml:space="preserve">2. Segment Mastery: Field-Level Reference</w:t>
      </w:r>
    </w:p>
    <w:p>
      <w:pPr>
        <w:spacing w:before="60" w:after="100" w:line="340"/>
      </w:pPr>
      <w:r>
        <w:rPr>
          <w:rFonts w:ascii="Arial" w:cs="Arial" w:eastAsia="Arial" w:hAnsi="Arial"/>
          <w:color w:val="2C3E50"/>
          <w:sz w:val="22"/>
          <w:szCs w:val="22"/>
        </w:rPr>
        <w:t xml:space="preserve">This section provides field-level detail for every critical HL7 v2 segment that integration professionals encounter daily. For each segment, the most important fields are documented with data types, optionality, and practical integration guidance.</w:t>
      </w:r>
    </w:p>
    <w:p>
      <w:pPr>
        <w:pStyle w:val="Heading2"/>
        <w:spacing w:before="340" w:after="160"/>
      </w:pPr>
      <w:r>
        <w:rPr>
          <w:rFonts w:ascii="Arial" w:cs="Arial" w:eastAsia="Arial" w:hAnsi="Arial"/>
          <w:b/>
          <w:bCs/>
          <w:color w:val="1A6FA5"/>
          <w:sz w:val="30"/>
          <w:szCs w:val="30"/>
        </w:rPr>
        <w:t xml:space="preserve">2.1 EVN — Event Type</w:t>
      </w:r>
    </w:p>
    <w:p>
      <w:pPr>
        <w:spacing w:before="60" w:after="100" w:line="340"/>
      </w:pPr>
      <w:r>
        <w:rPr>
          <w:rFonts w:ascii="Arial" w:cs="Arial" w:eastAsia="Arial" w:hAnsi="Arial"/>
          <w:color w:val="2C3E50"/>
          <w:sz w:val="22"/>
          <w:szCs w:val="22"/>
        </w:rPr>
        <w:t xml:space="preserve">The EVN segment identifies the event that triggered the message: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00"/>
        <w:gridCol w:w="500"/>
        <w:gridCol w:w="5560"/>
      </w:tblGrid>
      <w:tr>
        <w:trPr>
          <w:tblHeader/>
        </w:trPr>
        <w:tc>
          <w:tcPr>
            <w:tcW w:type="dxa" w:w="9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6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DT</w:t>
            </w:r>
          </w:p>
        </w:tc>
        <w:tc>
          <w:tcPr>
            <w:tcW w:type="dxa" w:w="5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Opt</w:t>
            </w:r>
          </w:p>
        </w:tc>
        <w:tc>
          <w:tcPr>
            <w:tcW w:type="dxa" w:w="55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EVN-1</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Event Type Code</w:t>
            </w:r>
          </w:p>
        </w:tc>
        <w:tc>
          <w:tcPr>
            <w:tcW w:type="dxa" w:w="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ID</w:t>
            </w:r>
          </w:p>
        </w:tc>
        <w:tc>
          <w:tcPr>
            <w:tcW w:type="dxa" w:w="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O</w:t>
            </w:r>
          </w:p>
        </w:tc>
        <w:tc>
          <w:tcPr>
            <w:tcW w:type="dxa" w:w="55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Trigger event (A01, A08, etc.) — redundant with MSH-9.2 but required by some systems</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EVN-2</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Recorded Date/Time</w:t>
            </w:r>
          </w:p>
        </w:tc>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TS</w:t>
            </w:r>
          </w:p>
        </w:tc>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w:t>
            </w:r>
          </w:p>
        </w:tc>
        <w:tc>
          <w:tcPr>
            <w:tcW w:type="dxa" w:w="5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When the event was recorded in the system</w:t>
            </w:r>
          </w:p>
        </w:tc>
      </w:tr>
      <w:tr>
        <w:tc>
          <w:tcPr>
            <w:tcW w:type="dxa" w:w="9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EVN-5</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Operator ID</w:t>
            </w:r>
          </w:p>
        </w:tc>
        <w:tc>
          <w:tcPr>
            <w:tcW w:type="dxa" w:w="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XCN</w:t>
            </w:r>
          </w:p>
        </w:tc>
        <w:tc>
          <w:tcPr>
            <w:tcW w:type="dxa" w:w="5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O</w:t>
            </w:r>
          </w:p>
        </w:tc>
        <w:tc>
          <w:tcPr>
            <w:tcW w:type="dxa" w:w="55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User who triggered the event (important for audit trails)</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EVN-6</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Event Occurred</w:t>
            </w:r>
          </w:p>
        </w:tc>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TS</w:t>
            </w:r>
          </w:p>
        </w:tc>
        <w:tc>
          <w:tcPr>
            <w:tcW w:type="dxa" w:w="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O</w:t>
            </w:r>
          </w:p>
        </w:tc>
        <w:tc>
          <w:tcPr>
            <w:tcW w:type="dxa" w:w="5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When the event actually occurred (may differ from recorded time)</w:t>
            </w:r>
          </w:p>
        </w:tc>
      </w:tr>
    </w:tbl>
    <w:p>
      <w:pPr>
        <w:spacing w:before="120" w:after="120"/>
      </w:pPr>
    </w:p>
    <w:p>
      <w:pPr>
        <w:pStyle w:val="Heading2"/>
        <w:spacing w:before="340" w:after="160"/>
      </w:pPr>
      <w:r>
        <w:rPr>
          <w:rFonts w:ascii="Arial" w:cs="Arial" w:eastAsia="Arial" w:hAnsi="Arial"/>
          <w:b/>
          <w:bCs/>
          <w:color w:val="1A6FA5"/>
          <w:sz w:val="30"/>
          <w:szCs w:val="30"/>
        </w:rPr>
        <w:t xml:space="preserve">2.2 PV2 — Patient Visit (Additional Info)</w:t>
      </w:r>
    </w:p>
    <w:p>
      <w:pPr>
        <w:spacing w:before="60" w:after="100" w:line="340"/>
      </w:pPr>
      <w:r>
        <w:rPr>
          <w:rFonts w:ascii="Arial" w:cs="Arial" w:eastAsia="Arial" w:hAnsi="Arial"/>
          <w:color w:val="2C3E50"/>
          <w:sz w:val="22"/>
          <w:szCs w:val="22"/>
        </w:rPr>
        <w:t xml:space="preserve">PV2 extends PV1 with additional visit details: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00"/>
        <w:gridCol w:w="5660"/>
      </w:tblGrid>
      <w:tr>
        <w:trPr>
          <w:tblHeader/>
        </w:trPr>
        <w:tc>
          <w:tcPr>
            <w:tcW w:type="dxa" w:w="9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6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DT</w:t>
            </w:r>
          </w:p>
        </w:tc>
        <w:tc>
          <w:tcPr>
            <w:tcW w:type="dxa" w:w="56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PV2-1</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Prior Pending Location</w:t>
            </w:r>
          </w:p>
        </w:tc>
        <w:tc>
          <w:tcPr>
            <w:tcW w:type="dxa" w:w="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PL</w:t>
            </w:r>
          </w:p>
        </w:tc>
        <w:tc>
          <w:tcPr>
            <w:tcW w:type="dxa" w:w="56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Location patient was in before current pending location</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PV2-3</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Admit Reason</w:t>
            </w:r>
          </w:p>
        </w:tc>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CE</w:t>
            </w:r>
          </w:p>
        </w:tc>
        <w:tc>
          <w:tcPr>
            <w:tcW w:type="dxa" w:w="56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Coded reason for admission (important for claims and utilization review)</w:t>
            </w:r>
          </w:p>
        </w:tc>
      </w:tr>
      <w:tr>
        <w:tc>
          <w:tcPr>
            <w:tcW w:type="dxa" w:w="9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PV2-8</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Expected Admit Date/Time</w:t>
            </w:r>
          </w:p>
        </w:tc>
        <w:tc>
          <w:tcPr>
            <w:tcW w:type="dxa" w:w="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TS</w:t>
            </w:r>
          </w:p>
        </w:tc>
        <w:tc>
          <w:tcPr>
            <w:tcW w:type="dxa" w:w="56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Scheduled admission date for pre-admits</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PV2-9</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Expected Discharge Date/Time</w:t>
            </w:r>
          </w:p>
        </w:tc>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TS</w:t>
            </w:r>
          </w:p>
        </w:tc>
        <w:tc>
          <w:tcPr>
            <w:tcW w:type="dxa" w:w="56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Expected discharge date (used for bed management and discharge planning)</w:t>
            </w:r>
          </w:p>
        </w:tc>
      </w:tr>
      <w:tr>
        <w:tc>
          <w:tcPr>
            <w:tcW w:type="dxa" w:w="9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PV2-12</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Visit Description</w:t>
            </w:r>
          </w:p>
        </w:tc>
        <w:tc>
          <w:tcPr>
            <w:tcW w:type="dxa" w:w="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ST</w:t>
            </w:r>
          </w:p>
        </w:tc>
        <w:tc>
          <w:tcPr>
            <w:tcW w:type="dxa" w:w="56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Free-text description of the visit reason</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PV2-22</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Visit Protection Indicator</w:t>
            </w:r>
          </w:p>
        </w:tc>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ID</w:t>
            </w:r>
          </w:p>
        </w:tc>
        <w:tc>
          <w:tcPr>
            <w:tcW w:type="dxa" w:w="56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Indicates if visit is confidential (VIP, behavioral health, etc.)</w:t>
            </w:r>
          </w:p>
        </w:tc>
      </w:tr>
      <w:tr>
        <w:tc>
          <w:tcPr>
            <w:tcW w:type="dxa" w:w="9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PV2-25</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Visit Priority Code</w:t>
            </w:r>
          </w:p>
        </w:tc>
        <w:tc>
          <w:tcPr>
            <w:tcW w:type="dxa" w:w="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IS</w:t>
            </w:r>
          </w:p>
        </w:tc>
        <w:tc>
          <w:tcPr>
            <w:tcW w:type="dxa" w:w="56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Urgency: 1=Emergent, 2=Urgent, 3=Elective</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PV2-38</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Mode of Arrival Code</w:t>
            </w:r>
          </w:p>
        </w:tc>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CE</w:t>
            </w:r>
          </w:p>
        </w:tc>
        <w:tc>
          <w:tcPr>
            <w:tcW w:type="dxa" w:w="56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How patient arrived: Ambulance, Walk-in, Transfer, etc.</w:t>
            </w:r>
          </w:p>
        </w:tc>
      </w:tr>
    </w:tbl>
    <w:p>
      <w:pPr>
        <w:spacing w:before="120" w:after="120"/>
      </w:pPr>
    </w:p>
    <w:p>
      <w:pPr>
        <w:pStyle w:val="Heading2"/>
        <w:spacing w:before="340" w:after="160"/>
      </w:pPr>
      <w:r>
        <w:rPr>
          <w:rFonts w:ascii="Arial" w:cs="Arial" w:eastAsia="Arial" w:hAnsi="Arial"/>
          <w:b/>
          <w:bCs/>
          <w:color w:val="1A6FA5"/>
          <w:sz w:val="30"/>
          <w:szCs w:val="30"/>
        </w:rPr>
        <w:t xml:space="preserve">2.3 IN1/IN2 — Insurance Segments</w:t>
      </w:r>
    </w:p>
    <w:p>
      <w:pPr>
        <w:spacing w:before="60" w:after="100" w:line="340"/>
      </w:pPr>
      <w:r>
        <w:rPr>
          <w:rFonts w:ascii="Arial" w:cs="Arial" w:eastAsia="Arial" w:hAnsi="Arial"/>
          <w:color w:val="2C3E50"/>
          <w:sz w:val="22"/>
          <w:szCs w:val="22"/>
        </w:rPr>
        <w:t xml:space="preserve">Insurance segments are critical for revenue cycle integration:</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600"/>
        <w:gridCol w:w="3460"/>
      </w:tblGrid>
      <w:tr>
        <w:trPr>
          <w:tblHeader/>
        </w:trPr>
        <w:tc>
          <w:tcPr>
            <w:tcW w:type="dxa" w:w="9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4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6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4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Revenue Cycle Impact</w:t>
            </w:r>
          </w:p>
        </w:tc>
      </w:tr>
      <w:tr>
        <w:tc>
          <w:tcPr>
            <w:tcW w:type="dxa" w:w="9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IN1-1</w:t>
            </w:r>
          </w:p>
        </w:tc>
        <w:tc>
          <w:tcPr>
            <w:tcW w:type="dxa" w:w="2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Set ID</w:t>
            </w:r>
          </w:p>
        </w:tc>
        <w:tc>
          <w:tcPr>
            <w:tcW w:type="dxa" w:w="2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Sequential number for multiple insurance plans</w:t>
            </w:r>
          </w:p>
        </w:tc>
        <w:tc>
          <w:tcPr>
            <w:tcW w:type="dxa" w:w="34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Primary (1), Secondary (2), Tertiary (3)</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IN1-2</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Insurance Plan ID</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Payer plan identifier</w:t>
            </w:r>
          </w:p>
        </w:tc>
        <w:tc>
          <w:tcPr>
            <w:tcW w:type="dxa" w:w="34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Maps to payer contract; drives claim routing</w:t>
            </w:r>
          </w:p>
        </w:tc>
      </w:tr>
      <w:tr>
        <w:tc>
          <w:tcPr>
            <w:tcW w:type="dxa" w:w="9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IN1-3</w:t>
            </w:r>
          </w:p>
        </w:tc>
        <w:tc>
          <w:tcPr>
            <w:tcW w:type="dxa" w:w="2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Insurance Company ID</w:t>
            </w:r>
          </w:p>
        </w:tc>
        <w:tc>
          <w:tcPr>
            <w:tcW w:type="dxa" w:w="2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Payer organization identifier</w:t>
            </w:r>
          </w:p>
        </w:tc>
        <w:tc>
          <w:tcPr>
            <w:tcW w:type="dxa" w:w="34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Used for eligibility verification and claim submission</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IN1-4</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Insurance Company Name</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Full name of insurance company</w:t>
            </w:r>
          </w:p>
        </w:tc>
        <w:tc>
          <w:tcPr>
            <w:tcW w:type="dxa" w:w="34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Displayed in registration; included on claim</w:t>
            </w:r>
          </w:p>
        </w:tc>
      </w:tr>
      <w:tr>
        <w:tc>
          <w:tcPr>
            <w:tcW w:type="dxa" w:w="9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IN1-8</w:t>
            </w:r>
          </w:p>
        </w:tc>
        <w:tc>
          <w:tcPr>
            <w:tcW w:type="dxa" w:w="2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Group Number</w:t>
            </w:r>
          </w:p>
        </w:tc>
        <w:tc>
          <w:tcPr>
            <w:tcW w:type="dxa" w:w="2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Employer group number</w:t>
            </w:r>
          </w:p>
        </w:tc>
        <w:tc>
          <w:tcPr>
            <w:tcW w:type="dxa" w:w="34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Required on most commercial claims</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IN1-12</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Plan Effective Date</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Coverage start date</w:t>
            </w:r>
          </w:p>
        </w:tc>
        <w:tc>
          <w:tcPr>
            <w:tcW w:type="dxa" w:w="34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Verify coverage is active for date of service</w:t>
            </w:r>
          </w:p>
        </w:tc>
      </w:tr>
      <w:tr>
        <w:tc>
          <w:tcPr>
            <w:tcW w:type="dxa" w:w="9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IN1-13</w:t>
            </w:r>
          </w:p>
        </w:tc>
        <w:tc>
          <w:tcPr>
            <w:tcW w:type="dxa" w:w="2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Plan Expiration Date</w:t>
            </w:r>
          </w:p>
        </w:tc>
        <w:tc>
          <w:tcPr>
            <w:tcW w:type="dxa" w:w="2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Coverage end date</w:t>
            </w:r>
          </w:p>
        </w:tc>
        <w:tc>
          <w:tcPr>
            <w:tcW w:type="dxa" w:w="34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Catch expired coverage before service</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IN1-15</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Plan Type</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Coverage type (HMO, PPO, Medicare, Medicaid)</w:t>
            </w:r>
          </w:p>
        </w:tc>
        <w:tc>
          <w:tcPr>
            <w:tcW w:type="dxa" w:w="34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Drives network status and billing rules</w:t>
            </w:r>
          </w:p>
        </w:tc>
      </w:tr>
      <w:tr>
        <w:tc>
          <w:tcPr>
            <w:tcW w:type="dxa" w:w="9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IN1-36</w:t>
            </w:r>
          </w:p>
        </w:tc>
        <w:tc>
          <w:tcPr>
            <w:tcW w:type="dxa" w:w="2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Policy Number</w:t>
            </w:r>
          </w:p>
        </w:tc>
        <w:tc>
          <w:tcPr>
            <w:tcW w:type="dxa" w:w="2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Individual policy/member ID</w:t>
            </w:r>
          </w:p>
        </w:tc>
        <w:tc>
          <w:tcPr>
            <w:tcW w:type="dxa" w:w="34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Primary identifier for eligibility and claims</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IN1-47</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Coverage Type</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Medical, Dental, Vision, Workers Comp</w:t>
            </w:r>
          </w:p>
        </w:tc>
        <w:tc>
          <w:tcPr>
            <w:tcW w:type="dxa" w:w="34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Determines which benefits apply</w:t>
            </w:r>
          </w:p>
        </w:tc>
      </w:tr>
      <w:tr>
        <w:tc>
          <w:tcPr>
            <w:tcW w:type="dxa" w:w="9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IN2-1</w:t>
            </w:r>
          </w:p>
        </w:tc>
        <w:tc>
          <w:tcPr>
            <w:tcW w:type="dxa" w:w="2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Insured Employee ID</w:t>
            </w:r>
          </w:p>
        </w:tc>
        <w:tc>
          <w:tcPr>
            <w:tcW w:type="dxa" w:w="2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Subscriber ID when different from member ID</w:t>
            </w:r>
          </w:p>
        </w:tc>
        <w:tc>
          <w:tcPr>
            <w:tcW w:type="dxa" w:w="34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Links to employer benefits system</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IN2-6</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Medicare Health Ins Card Number</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Medicare Beneficiary Identifier (MBI)</w:t>
            </w:r>
          </w:p>
        </w:tc>
        <w:tc>
          <w:tcPr>
            <w:tcW w:type="dxa" w:w="34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Required for Medicare claims (11-character MBI)</w:t>
            </w:r>
          </w:p>
        </w:tc>
      </w:tr>
      <w:tr>
        <w:tc>
          <w:tcPr>
            <w:tcW w:type="dxa" w:w="9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IN2-8</w:t>
            </w:r>
          </w:p>
        </w:tc>
        <w:tc>
          <w:tcPr>
            <w:tcW w:type="dxa" w:w="2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Medicaid Case Name</w:t>
            </w:r>
          </w:p>
        </w:tc>
        <w:tc>
          <w:tcPr>
            <w:tcW w:type="dxa" w:w="2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Medicaid case/family name</w:t>
            </w:r>
          </w:p>
        </w:tc>
        <w:tc>
          <w:tcPr>
            <w:tcW w:type="dxa" w:w="34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Required for Medicaid eligibility</w:t>
            </w:r>
          </w:p>
        </w:tc>
      </w:tr>
    </w:tbl>
    <w:p>
      <w:pPr>
        <w:spacing w:before="120" w:after="120"/>
      </w:pPr>
    </w:p>
    <w:p>
      <w:pPr>
        <w:pStyle w:val="Heading2"/>
        <w:spacing w:before="340" w:after="160"/>
      </w:pPr>
      <w:r>
        <w:rPr>
          <w:rFonts w:ascii="Arial" w:cs="Arial" w:eastAsia="Arial" w:hAnsi="Arial"/>
          <w:b/>
          <w:bCs/>
          <w:color w:val="1A6FA5"/>
          <w:sz w:val="30"/>
          <w:szCs w:val="30"/>
        </w:rPr>
        <w:t xml:space="preserve">2.4 NK1 — Next of Kin</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660"/>
      </w:tblGrid>
      <w:tr>
        <w:trPr>
          <w:tblHeader/>
        </w:trPr>
        <w:tc>
          <w:tcPr>
            <w:tcW w:type="dxa" w:w="9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66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NK1-1</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Set ID</w:t>
            </w:r>
          </w:p>
        </w:tc>
        <w:tc>
          <w:tcPr>
            <w:tcW w:type="dxa" w:w="66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Sequential for multiple contacts</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NK1-2</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Name</w:t>
            </w:r>
          </w:p>
        </w:tc>
        <w:tc>
          <w:tcPr>
            <w:tcW w:type="dxa" w:w="66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Contact person name (XPN format)</w:t>
            </w:r>
          </w:p>
        </w:tc>
      </w:tr>
      <w:tr>
        <w:tc>
          <w:tcPr>
            <w:tcW w:type="dxa" w:w="9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NK1-3</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Relationship</w:t>
            </w:r>
          </w:p>
        </w:tc>
        <w:tc>
          <w:tcPr>
            <w:tcW w:type="dxa" w:w="66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SPO (Spouse), PAR (Parent), CHD (Child), GRD (Guardian), EMC (Emergency Contact)</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NK1-4</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Address</w:t>
            </w:r>
          </w:p>
        </w:tc>
        <w:tc>
          <w:tcPr>
            <w:tcW w:type="dxa" w:w="66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Contact address</w:t>
            </w:r>
          </w:p>
        </w:tc>
      </w:tr>
      <w:tr>
        <w:tc>
          <w:tcPr>
            <w:tcW w:type="dxa" w:w="9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NK1-5</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Phone Number</w:t>
            </w:r>
          </w:p>
        </w:tc>
        <w:tc>
          <w:tcPr>
            <w:tcW w:type="dxa" w:w="66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Contact phone numbers (can repeat for home, work, cell)</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NK1-7</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Contact Role</w:t>
            </w:r>
          </w:p>
        </w:tc>
        <w:tc>
          <w:tcPr>
            <w:tcW w:type="dxa" w:w="66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Role: E (Emergency Contact), N (Next of Kin), F (Federal Agency), S (State Agency)</w:t>
            </w:r>
          </w:p>
        </w:tc>
      </w:tr>
      <w:tr>
        <w:tc>
          <w:tcPr>
            <w:tcW w:type="dxa" w:w="9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NK1-13</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Organization Name</w:t>
            </w:r>
          </w:p>
        </w:tc>
        <w:tc>
          <w:tcPr>
            <w:tcW w:type="dxa" w:w="66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Employer or organization of contact person</w:t>
            </w:r>
          </w:p>
        </w:tc>
      </w:tr>
    </w:tbl>
    <w:p>
      <w:pPr>
        <w:spacing w:before="120" w:after="120"/>
      </w:pPr>
    </w:p>
    <w:p>
      <w:pPr>
        <w:pStyle w:val="Heading2"/>
        <w:spacing w:before="340" w:after="160"/>
      </w:pPr>
      <w:r>
        <w:rPr>
          <w:rFonts w:ascii="Arial" w:cs="Arial" w:eastAsia="Arial" w:hAnsi="Arial"/>
          <w:b/>
          <w:bCs/>
          <w:color w:val="1A6FA5"/>
          <w:sz w:val="30"/>
          <w:szCs w:val="30"/>
        </w:rPr>
        <w:t xml:space="preserve">2.5 DG1 — Diagnosis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rPr>
          <w:tblHeader/>
        </w:trPr>
        <w:tc>
          <w:tcPr>
            <w:tcW w:type="dxa" w:w="9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62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DG1-1</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Set ID</w:t>
            </w:r>
          </w:p>
        </w:tc>
        <w:tc>
          <w:tcPr>
            <w:tcW w:type="dxa" w:w="62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Sequential for multiple diagnoses</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DG1-3</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Diagnosis Code</w:t>
            </w:r>
          </w:p>
        </w:tc>
        <w:tc>
          <w:tcPr>
            <w:tcW w:type="dxa" w:w="62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ICD-10-CM code (e.g., E11.65 = Type 2 DM with hyperglycemia)</w:t>
            </w:r>
          </w:p>
        </w:tc>
      </w:tr>
      <w:tr>
        <w:tc>
          <w:tcPr>
            <w:tcW w:type="dxa" w:w="9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DG1-4</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Diagnosis Description</w:t>
            </w:r>
          </w:p>
        </w:tc>
        <w:tc>
          <w:tcPr>
            <w:tcW w:type="dxa" w:w="62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Text description of diagnosis</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DG1-5</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Diagnosis Date/Time</w:t>
            </w:r>
          </w:p>
        </w:tc>
        <w:tc>
          <w:tcPr>
            <w:tcW w:type="dxa" w:w="62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When diagnosis was made or recorded</w:t>
            </w:r>
          </w:p>
        </w:tc>
      </w:tr>
      <w:tr>
        <w:tc>
          <w:tcPr>
            <w:tcW w:type="dxa" w:w="9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DG1-6</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Diagnosis Type</w:t>
            </w:r>
          </w:p>
        </w:tc>
        <w:tc>
          <w:tcPr>
            <w:tcW w:type="dxa" w:w="62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 (Admitting), W (Working), F (Final) — drives claim DX priority</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DG1-15</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Diagnosis Priority</w:t>
            </w:r>
          </w:p>
        </w:tc>
        <w:tc>
          <w:tcPr>
            <w:tcW w:type="dxa" w:w="62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1=Principal, 2+ =Secondary — critical for DRG assignment and reimbursement</w:t>
            </w:r>
          </w:p>
        </w:tc>
      </w:tr>
      <w:tr>
        <w:tc>
          <w:tcPr>
            <w:tcW w:type="dxa" w:w="9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DG1-16</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Diagnosing Clinician</w:t>
            </w:r>
          </w:p>
        </w:tc>
        <w:tc>
          <w:tcPr>
            <w:tcW w:type="dxa" w:w="62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Provider who made the diagnosis</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DG1-17</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Diagnosis Classification</w:t>
            </w:r>
          </w:p>
        </w:tc>
        <w:tc>
          <w:tcPr>
            <w:tcW w:type="dxa" w:w="62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Diagnosis (D), Procedure (P) — distinguishes DX from PX codes</w:t>
            </w:r>
          </w:p>
        </w:tc>
      </w:tr>
    </w:tbl>
    <w:p>
      <w:pPr>
        <w:spacing w:before="120" w:after="120"/>
      </w:pPr>
    </w:p>
    <w:p>
      <w:pPr>
        <w:pStyle w:val="Heading2"/>
        <w:spacing w:before="340" w:after="160"/>
      </w:pPr>
      <w:r>
        <w:rPr>
          <w:rFonts w:ascii="Arial" w:cs="Arial" w:eastAsia="Arial" w:hAnsi="Arial"/>
          <w:b/>
          <w:bCs/>
          <w:color w:val="1A6FA5"/>
          <w:sz w:val="30"/>
          <w:szCs w:val="30"/>
        </w:rPr>
        <w:t xml:space="preserve">2.6 GT1 — Guarantor</w:t>
      </w:r>
    </w:p>
    <w:p>
      <w:pPr>
        <w:spacing w:before="60" w:after="100" w:line="340"/>
      </w:pPr>
      <w:r>
        <w:rPr>
          <w:rFonts w:ascii="Arial" w:cs="Arial" w:eastAsia="Arial" w:hAnsi="Arial"/>
          <w:color w:val="2C3E50"/>
          <w:sz w:val="22"/>
          <w:szCs w:val="22"/>
        </w:rPr>
        <w:t xml:space="preserve">The guarantor is the person financially responsible for the patient’s account:</w:t>
      </w:r>
    </w:p>
    <w:p>
      <w:pPr>
        <w:pStyle w:val="ListParagraph"/>
        <w:numPr>
          <w:ilvl w:val="0"/>
          <w:numId w:val="2"/>
        </w:numPr>
        <w:spacing w:before="40" w:after="40" w:line="310"/>
      </w:pPr>
      <w:r>
        <w:rPr>
          <w:rFonts w:ascii="Arial" w:cs="Arial" w:eastAsia="Arial" w:hAnsi="Arial"/>
          <w:b/>
          <w:bCs/>
          <w:color w:val="2C3E50"/>
          <w:sz w:val="22"/>
          <w:szCs w:val="22"/>
        </w:rPr>
        <w:t xml:space="preserve">GT1-2 Guarantor Name: </w:t>
      </w:r>
      <w:r>
        <w:rPr>
          <w:rFonts w:ascii="Arial" w:cs="Arial" w:eastAsia="Arial" w:hAnsi="Arial"/>
          <w:color w:val="2C3E50"/>
          <w:sz w:val="22"/>
          <w:szCs w:val="22"/>
        </w:rPr>
        <w:t xml:space="preserve">Name of the financially responsible party (may be patient or parent/guardian).</w:t>
      </w:r>
    </w:p>
    <w:p>
      <w:pPr>
        <w:pStyle w:val="ListParagraph"/>
        <w:numPr>
          <w:ilvl w:val="0"/>
          <w:numId w:val="2"/>
        </w:numPr>
        <w:spacing w:before="40" w:after="40" w:line="310"/>
      </w:pPr>
      <w:r>
        <w:rPr>
          <w:rFonts w:ascii="Arial" w:cs="Arial" w:eastAsia="Arial" w:hAnsi="Arial"/>
          <w:b/>
          <w:bCs/>
          <w:color w:val="2C3E50"/>
          <w:sz w:val="22"/>
          <w:szCs w:val="22"/>
        </w:rPr>
        <w:t xml:space="preserve">GT1-3 Guarantor Number: </w:t>
      </w:r>
      <w:r>
        <w:rPr>
          <w:rFonts w:ascii="Arial" w:cs="Arial" w:eastAsia="Arial" w:hAnsi="Arial"/>
          <w:color w:val="2C3E50"/>
          <w:sz w:val="22"/>
          <w:szCs w:val="22"/>
        </w:rPr>
        <w:t xml:space="preserve">Unique identifier for the guarantor in the billing system.</w:t>
      </w:r>
    </w:p>
    <w:p>
      <w:pPr>
        <w:pStyle w:val="ListParagraph"/>
        <w:numPr>
          <w:ilvl w:val="0"/>
          <w:numId w:val="2"/>
        </w:numPr>
        <w:spacing w:before="40" w:after="40" w:line="310"/>
      </w:pPr>
      <w:r>
        <w:rPr>
          <w:rFonts w:ascii="Arial" w:cs="Arial" w:eastAsia="Arial" w:hAnsi="Arial"/>
          <w:b/>
          <w:bCs/>
          <w:color w:val="2C3E50"/>
          <w:sz w:val="22"/>
          <w:szCs w:val="22"/>
        </w:rPr>
        <w:t xml:space="preserve">GT1-5 Guarantor Address: </w:t>
      </w:r>
      <w:r>
        <w:rPr>
          <w:rFonts w:ascii="Arial" w:cs="Arial" w:eastAsia="Arial" w:hAnsi="Arial"/>
          <w:color w:val="2C3E50"/>
          <w:sz w:val="22"/>
          <w:szCs w:val="22"/>
        </w:rPr>
        <w:t xml:space="preserve">Billing address for statements and correspondence.</w:t>
      </w:r>
    </w:p>
    <w:p>
      <w:pPr>
        <w:pStyle w:val="ListParagraph"/>
        <w:numPr>
          <w:ilvl w:val="0"/>
          <w:numId w:val="2"/>
        </w:numPr>
        <w:spacing w:before="40" w:after="40" w:line="310"/>
      </w:pPr>
      <w:r>
        <w:rPr>
          <w:rFonts w:ascii="Arial" w:cs="Arial" w:eastAsia="Arial" w:hAnsi="Arial"/>
          <w:b/>
          <w:bCs/>
          <w:color w:val="2C3E50"/>
          <w:sz w:val="22"/>
          <w:szCs w:val="22"/>
        </w:rPr>
        <w:t xml:space="preserve">GT1-6 Guarantor Phone: </w:t>
      </w:r>
      <w:r>
        <w:rPr>
          <w:rFonts w:ascii="Arial" w:cs="Arial" w:eastAsia="Arial" w:hAnsi="Arial"/>
          <w:color w:val="2C3E50"/>
          <w:sz w:val="22"/>
          <w:szCs w:val="22"/>
        </w:rPr>
        <w:t xml:space="preserve">Contact numbers for billing inquiries.</w:t>
      </w:r>
    </w:p>
    <w:p>
      <w:pPr>
        <w:pStyle w:val="ListParagraph"/>
        <w:numPr>
          <w:ilvl w:val="0"/>
          <w:numId w:val="2"/>
        </w:numPr>
        <w:spacing w:before="40" w:after="40" w:line="310"/>
      </w:pPr>
      <w:r>
        <w:rPr>
          <w:rFonts w:ascii="Arial" w:cs="Arial" w:eastAsia="Arial" w:hAnsi="Arial"/>
          <w:b/>
          <w:bCs/>
          <w:color w:val="2C3E50"/>
          <w:sz w:val="22"/>
          <w:szCs w:val="22"/>
        </w:rPr>
        <w:t xml:space="preserve">GT1-10 Guarantor Type: </w:t>
      </w:r>
      <w:r>
        <w:rPr>
          <w:rFonts w:ascii="Arial" w:cs="Arial" w:eastAsia="Arial" w:hAnsi="Arial"/>
          <w:color w:val="2C3E50"/>
          <w:sz w:val="22"/>
          <w:szCs w:val="22"/>
        </w:rPr>
        <w:t xml:space="preserve">Relationship to patient: Self, Parent, Spouse, Employer.</w:t>
      </w:r>
    </w:p>
    <w:p>
      <w:pPr>
        <w:spacing w:before="120" w:after="120"/>
      </w:pPr>
    </w:p>
    <w:p>
      <w:pPr>
        <w:pStyle w:val="Heading2"/>
        <w:spacing w:before="340" w:after="160"/>
      </w:pPr>
      <w:r>
        <w:rPr>
          <w:rFonts w:ascii="Arial" w:cs="Arial" w:eastAsia="Arial" w:hAnsi="Arial"/>
          <w:b/>
          <w:bCs/>
          <w:color w:val="1A6FA5"/>
          <w:sz w:val="30"/>
          <w:szCs w:val="30"/>
        </w:rPr>
        <w:t xml:space="preserve">2.7 AL1 — Patient Allergy</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rPr>
          <w:tblHeader/>
        </w:trPr>
        <w:tc>
          <w:tcPr>
            <w:tcW w:type="dxa" w:w="9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62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AL1-1</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Set ID</w:t>
            </w:r>
          </w:p>
        </w:tc>
        <w:tc>
          <w:tcPr>
            <w:tcW w:type="dxa" w:w="62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Sequential for multiple allergies</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AL1-2</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Allergen Type Code</w:t>
            </w:r>
          </w:p>
        </w:tc>
        <w:tc>
          <w:tcPr>
            <w:tcW w:type="dxa" w:w="62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DA (Drug Allergy), FA (Food Allergy), MA (Misc Allergy), MC (Misc Contraindication), EA (Environmental)</w:t>
            </w:r>
          </w:p>
        </w:tc>
      </w:tr>
      <w:tr>
        <w:tc>
          <w:tcPr>
            <w:tcW w:type="dxa" w:w="9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AL1-3</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Allergen Code/Description</w:t>
            </w:r>
          </w:p>
        </w:tc>
        <w:tc>
          <w:tcPr>
            <w:tcW w:type="dxa" w:w="62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Coded allergy (RxNorm for drugs, SNOMED CT for substances) with text description</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AL1-4</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Allergy Severity Code</w:t>
            </w:r>
          </w:p>
        </w:tc>
        <w:tc>
          <w:tcPr>
            <w:tcW w:type="dxa" w:w="62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SV (Severe), MO (Moderate), MI (Mild), U (Unknown)</w:t>
            </w:r>
          </w:p>
        </w:tc>
      </w:tr>
      <w:tr>
        <w:tc>
          <w:tcPr>
            <w:tcW w:type="dxa" w:w="9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AL1-5</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Allergy Reaction Code</w:t>
            </w:r>
          </w:p>
        </w:tc>
        <w:tc>
          <w:tcPr>
            <w:tcW w:type="dxa" w:w="62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Reaction description (e.g., Anaphylaxis, Rash, Hives, Nausea)</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AL1-6</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Identification Date</w:t>
            </w:r>
          </w:p>
        </w:tc>
        <w:tc>
          <w:tcPr>
            <w:tcW w:type="dxa" w:w="62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When the allergy was identified</w:t>
            </w:r>
          </w:p>
        </w:tc>
      </w:tr>
    </w:tbl>
    <w:p>
      <w:r>
        <w:br w:type="page"/>
      </w:r>
    </w:p>
    <w:p>
      <w:pPr>
        <w:pStyle w:val="Heading1"/>
        <w:pBdr>
          <w:bottom w:val="single" w:color="1A6FA5" w:sz="4" w:space="8"/>
        </w:pBdr>
        <w:spacing w:before="400" w:after="200"/>
      </w:pPr>
      <w:r>
        <w:rPr>
          <w:rFonts w:ascii="Arial" w:cs="Arial" w:eastAsia="Arial" w:hAnsi="Arial"/>
          <w:b/>
          <w:bCs/>
          <w:color w:val="0D3B66"/>
          <w:sz w:val="36"/>
          <w:szCs w:val="36"/>
        </w:rPr>
        <w:t xml:space="preserve">3. Z-Segments: Custom Extensions</w:t>
      </w:r>
    </w:p>
    <w:p>
      <w:pPr>
        <w:spacing w:before="60" w:after="100" w:line="340"/>
      </w:pPr>
      <w:r>
        <w:rPr>
          <w:rFonts w:ascii="Arial" w:cs="Arial" w:eastAsia="Arial" w:hAnsi="Arial"/>
          <w:color w:val="2C3E50"/>
          <w:sz w:val="22"/>
          <w:szCs w:val="22"/>
        </w:rPr>
        <w:t xml:space="preserve">Z-segments are custom segments that extend the HL7 v2 standard for site-specific or vendor-specific data that is not covered by the standard segment definitions. The HL7 standard reserves the letter 'Z' as the first character for locally-defined segments, ensuring they will never conflict with future standard segment definitions.</w:t>
      </w:r>
    </w:p>
    <w:p>
      <w:pPr>
        <w:pStyle w:val="Heading2"/>
        <w:spacing w:before="340" w:after="160"/>
      </w:pPr>
      <w:r>
        <w:rPr>
          <w:rFonts w:ascii="Arial" w:cs="Arial" w:eastAsia="Arial" w:hAnsi="Arial"/>
          <w:b/>
          <w:bCs/>
          <w:color w:val="1A6FA5"/>
          <w:sz w:val="30"/>
          <w:szCs w:val="30"/>
        </w:rPr>
        <w:t xml:space="preserve">3.1 When to Use Z-Segments</w:t>
      </w:r>
    </w:p>
    <w:p>
      <w:pPr>
        <w:pStyle w:val="ListParagraph"/>
        <w:numPr>
          <w:ilvl w:val="0"/>
          <w:numId w:val="2"/>
        </w:numPr>
        <w:spacing w:before="40" w:after="40" w:line="310"/>
      </w:pPr>
      <w:r>
        <w:rPr>
          <w:rFonts w:ascii="Arial" w:cs="Arial" w:eastAsia="Arial" w:hAnsi="Arial"/>
          <w:b/>
          <w:bCs/>
          <w:color w:val="2C3E50"/>
          <w:sz w:val="22"/>
          <w:szCs w:val="22"/>
        </w:rPr>
        <w:t xml:space="preserve">Site-Specific Data: </w:t>
      </w:r>
      <w:r>
        <w:rPr>
          <w:rFonts w:ascii="Arial" w:cs="Arial" w:eastAsia="Arial" w:hAnsi="Arial"/>
          <w:color w:val="2C3E50"/>
          <w:sz w:val="22"/>
          <w:szCs w:val="22"/>
        </w:rPr>
        <w:t xml:space="preserve">Data unique to your organization that has no standard HL7 v2 equivalent (e.g., internal patient risk scores, custom clinical flags, proprietary workflow data).</w:t>
      </w:r>
    </w:p>
    <w:p>
      <w:pPr>
        <w:pStyle w:val="ListParagraph"/>
        <w:numPr>
          <w:ilvl w:val="0"/>
          <w:numId w:val="2"/>
        </w:numPr>
        <w:spacing w:before="40" w:after="40" w:line="310"/>
      </w:pPr>
      <w:r>
        <w:rPr>
          <w:rFonts w:ascii="Arial" w:cs="Arial" w:eastAsia="Arial" w:hAnsi="Arial"/>
          <w:b/>
          <w:bCs/>
          <w:color w:val="2C3E50"/>
          <w:sz w:val="22"/>
          <w:szCs w:val="22"/>
        </w:rPr>
        <w:t xml:space="preserve">Vendor-Specific Extensions: </w:t>
      </w:r>
      <w:r>
        <w:rPr>
          <w:rFonts w:ascii="Arial" w:cs="Arial" w:eastAsia="Arial" w:hAnsi="Arial"/>
          <w:color w:val="2C3E50"/>
          <w:sz w:val="22"/>
          <w:szCs w:val="22"/>
        </w:rPr>
        <w:t xml:space="preserve">EHR vendors use Z-segments to transmit data specific to their platform (e.g., Epic’s ZPM segment for pharmacy data, Cerner’s ZDE segment for document metadata).</w:t>
      </w:r>
    </w:p>
    <w:p>
      <w:pPr>
        <w:pStyle w:val="ListParagraph"/>
        <w:numPr>
          <w:ilvl w:val="0"/>
          <w:numId w:val="2"/>
        </w:numPr>
        <w:spacing w:before="40" w:after="40" w:line="310"/>
      </w:pPr>
      <w:r>
        <w:rPr>
          <w:rFonts w:ascii="Arial" w:cs="Arial" w:eastAsia="Arial" w:hAnsi="Arial"/>
          <w:b/>
          <w:bCs/>
          <w:color w:val="2C3E50"/>
          <w:sz w:val="22"/>
          <w:szCs w:val="22"/>
        </w:rPr>
        <w:t xml:space="preserve">Regulatory Requirements: </w:t>
      </w:r>
      <w:r>
        <w:rPr>
          <w:rFonts w:ascii="Arial" w:cs="Arial" w:eastAsia="Arial" w:hAnsi="Arial"/>
          <w:color w:val="2C3E50"/>
          <w:sz w:val="22"/>
          <w:szCs w:val="22"/>
        </w:rPr>
        <w:t xml:space="preserve">State-specific reporting requirements that are not covered by standard segments.</w:t>
      </w:r>
    </w:p>
    <w:p>
      <w:pPr>
        <w:pStyle w:val="ListParagraph"/>
        <w:numPr>
          <w:ilvl w:val="0"/>
          <w:numId w:val="2"/>
        </w:numPr>
        <w:spacing w:before="40" w:after="40" w:line="310"/>
      </w:pPr>
      <w:r>
        <w:rPr>
          <w:rFonts w:ascii="Arial" w:cs="Arial" w:eastAsia="Arial" w:hAnsi="Arial"/>
          <w:b/>
          <w:bCs/>
          <w:color w:val="2C3E50"/>
          <w:sz w:val="22"/>
          <w:szCs w:val="22"/>
        </w:rPr>
        <w:t xml:space="preserve">Trading Partner Requirements: </w:t>
      </w:r>
      <w:r>
        <w:rPr>
          <w:rFonts w:ascii="Arial" w:cs="Arial" w:eastAsia="Arial" w:hAnsi="Arial"/>
          <w:color w:val="2C3E50"/>
          <w:sz w:val="22"/>
          <w:szCs w:val="22"/>
        </w:rPr>
        <w:t xml:space="preserve">External partners (reference labs, HIEs, registries) may require Z-segments for data elements specific to their workflows.</w:t>
      </w:r>
    </w:p>
    <w:p>
      <w:pPr>
        <w:spacing w:before="120" w:after="120"/>
      </w:pPr>
    </w:p>
    <w:p>
      <w:pPr>
        <w:pStyle w:val="Heading2"/>
        <w:spacing w:before="340" w:after="160"/>
      </w:pPr>
      <w:r>
        <w:rPr>
          <w:rFonts w:ascii="Arial" w:cs="Arial" w:eastAsia="Arial" w:hAnsi="Arial"/>
          <w:b/>
          <w:bCs/>
          <w:color w:val="1A6FA5"/>
          <w:sz w:val="30"/>
          <w:szCs w:val="30"/>
        </w:rPr>
        <w:t xml:space="preserve">3.2 Z-Segment Design Best Practices</w:t>
      </w:r>
    </w:p>
    <w:p>
      <w:pPr>
        <w:pStyle w:val="ListParagraph"/>
        <w:numPr>
          <w:ilvl w:val="0"/>
          <w:numId w:val="2"/>
        </w:numPr>
        <w:spacing w:before="40" w:after="40" w:line="310"/>
      </w:pPr>
      <w:r>
        <w:rPr>
          <w:rFonts w:ascii="Arial" w:cs="Arial" w:eastAsia="Arial" w:hAnsi="Arial"/>
          <w:b/>
          <w:bCs/>
          <w:color w:val="2C3E50"/>
          <w:sz w:val="22"/>
          <w:szCs w:val="22"/>
        </w:rPr>
        <w:t xml:space="preserve">Name Conventions: </w:t>
      </w:r>
      <w:r>
        <w:rPr>
          <w:rFonts w:ascii="Arial" w:cs="Arial" w:eastAsia="Arial" w:hAnsi="Arial"/>
          <w:color w:val="2C3E50"/>
          <w:sz w:val="22"/>
          <w:szCs w:val="22"/>
        </w:rPr>
        <w:t xml:space="preserve">Use descriptive segment IDs: ZPI (Z-Patient Information), ZOR (Z-Order Request), ZRF (Z-Referral). Document the naming convention.</w:t>
      </w:r>
    </w:p>
    <w:p>
      <w:pPr>
        <w:pStyle w:val="ListParagraph"/>
        <w:numPr>
          <w:ilvl w:val="0"/>
          <w:numId w:val="2"/>
        </w:numPr>
        <w:spacing w:before="40" w:after="40" w:line="310"/>
      </w:pPr>
      <w:r>
        <w:rPr>
          <w:rFonts w:ascii="Arial" w:cs="Arial" w:eastAsia="Arial" w:hAnsi="Arial"/>
          <w:b/>
          <w:bCs/>
          <w:color w:val="2C3E50"/>
          <w:sz w:val="22"/>
          <w:szCs w:val="22"/>
        </w:rPr>
        <w:t xml:space="preserve">Field Numbering: </w:t>
      </w:r>
      <w:r>
        <w:rPr>
          <w:rFonts w:ascii="Arial" w:cs="Arial" w:eastAsia="Arial" w:hAnsi="Arial"/>
          <w:color w:val="2C3E50"/>
          <w:sz w:val="22"/>
          <w:szCs w:val="22"/>
        </w:rPr>
        <w:t xml:space="preserve">Follow standard HL7 field numbering: ZPI-1, ZPI-2, etc. Start at 1. Never skip field numbers.</w:t>
      </w:r>
    </w:p>
    <w:p>
      <w:pPr>
        <w:pStyle w:val="ListParagraph"/>
        <w:numPr>
          <w:ilvl w:val="0"/>
          <w:numId w:val="2"/>
        </w:numPr>
        <w:spacing w:before="40" w:after="40" w:line="310"/>
      </w:pPr>
      <w:r>
        <w:rPr>
          <w:rFonts w:ascii="Arial" w:cs="Arial" w:eastAsia="Arial" w:hAnsi="Arial"/>
          <w:b/>
          <w:bCs/>
          <w:color w:val="2C3E50"/>
          <w:sz w:val="22"/>
          <w:szCs w:val="22"/>
        </w:rPr>
        <w:t xml:space="preserve">Data Types: </w:t>
      </w:r>
      <w:r>
        <w:rPr>
          <w:rFonts w:ascii="Arial" w:cs="Arial" w:eastAsia="Arial" w:hAnsi="Arial"/>
          <w:color w:val="2C3E50"/>
          <w:sz w:val="22"/>
          <w:szCs w:val="22"/>
        </w:rPr>
        <w:t xml:space="preserve">Use standard HL7 v2 data types (ST, NM, TS, CE, XPN, etc.) for Z-segment fields. Do not invent custom data types.</w:t>
      </w:r>
    </w:p>
    <w:p>
      <w:pPr>
        <w:pStyle w:val="ListParagraph"/>
        <w:numPr>
          <w:ilvl w:val="0"/>
          <w:numId w:val="2"/>
        </w:numPr>
        <w:spacing w:before="40" w:after="40" w:line="310"/>
      </w:pPr>
      <w:r>
        <w:rPr>
          <w:rFonts w:ascii="Arial" w:cs="Arial" w:eastAsia="Arial" w:hAnsi="Arial"/>
          <w:b/>
          <w:bCs/>
          <w:color w:val="2C3E50"/>
          <w:sz w:val="22"/>
          <w:szCs w:val="22"/>
        </w:rPr>
        <w:t xml:space="preserve">Documentation: </w:t>
      </w:r>
      <w:r>
        <w:rPr>
          <w:rFonts w:ascii="Arial" w:cs="Arial" w:eastAsia="Arial" w:hAnsi="Arial"/>
          <w:color w:val="2C3E50"/>
          <w:sz w:val="22"/>
          <w:szCs w:val="22"/>
        </w:rPr>
        <w:t xml:space="preserve">Every Z-segment must be documented in the ISD with: field number, name, data type, length, optionality, description, and example values.</w:t>
      </w:r>
    </w:p>
    <w:p>
      <w:pPr>
        <w:pStyle w:val="ListParagraph"/>
        <w:numPr>
          <w:ilvl w:val="0"/>
          <w:numId w:val="2"/>
        </w:numPr>
        <w:spacing w:before="40" w:after="40" w:line="310"/>
      </w:pPr>
      <w:r>
        <w:rPr>
          <w:rFonts w:ascii="Arial" w:cs="Arial" w:eastAsia="Arial" w:hAnsi="Arial"/>
          <w:b/>
          <w:bCs/>
          <w:color w:val="2C3E50"/>
          <w:sz w:val="22"/>
          <w:szCs w:val="22"/>
        </w:rPr>
        <w:t xml:space="preserve">Governance: </w:t>
      </w:r>
      <w:r>
        <w:rPr>
          <w:rFonts w:ascii="Arial" w:cs="Arial" w:eastAsia="Arial" w:hAnsi="Arial"/>
          <w:color w:val="2C3E50"/>
          <w:sz w:val="22"/>
          <w:szCs w:val="22"/>
        </w:rPr>
        <w:t xml:space="preserve">Maintain a Z-segment registry that tracks all Z-segments in use across your organization: which interfaces use them, who owns them, and when they were last reviewed.</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7" w:val="clear"/>
            <w:tcMar>
              <w:top w:type="dxa" w:w="120"/>
              <w:left w:type="dxa" w:w="200"/>
              <w:bottom w:type="dxa" w:w="120"/>
              <w:right w:type="dxa" w:w="200"/>
            </w:tcMar>
          </w:tcPr>
          <w:p>
            <w:pPr>
              <w:spacing w:after="60"/>
            </w:pPr>
            <w:r>
              <w:rPr>
                <w:rFonts w:ascii="Arial" w:cs="Arial" w:eastAsia="Arial" w:hAnsi="Arial"/>
                <w:b/>
                <w:bCs/>
                <w:color w:val="0D3B66"/>
                <w:sz w:val="20"/>
                <w:szCs w:val="20"/>
              </w:rPr>
              <w:t xml:space="preserve">Example: Custom Z-Segment for Patient Risk Score</w:t>
            </w:r>
          </w:p>
          <w:p>
            <w:pPr>
              <w:spacing w:before="20" w:after="20"/>
            </w:pPr>
            <w:r>
              <w:rPr>
                <w:rFonts w:ascii="Consolas" w:cs="Consolas" w:eastAsia="Consolas" w:hAnsi="Consolas"/>
                <w:color w:val="1C2833"/>
                <w:sz w:val="18"/>
                <w:szCs w:val="18"/>
              </w:rPr>
              <w:t xml:space="preserve">ZRS|1|HIGH|85|READMISSION|20260215|Epic Sepsis Model|</w:t>
            </w:r>
          </w:p>
          <w:p>
            <w:pPr>
              <w:spacing w:before="20" w:after="20"/>
            </w:pPr>
            <w:r>
              <w:rPr>
                <w:rFonts w:ascii="Consolas" w:cs="Consolas" w:eastAsia="Consolas" w:hAnsi="Consolas"/>
                <w:color w:val="1C2833"/>
                <w:sz w:val="18"/>
                <w:szCs w:val="18"/>
              </w:rPr>
              <w:t xml:space="preserve"/>
            </w:r>
          </w:p>
          <w:p>
            <w:pPr>
              <w:spacing w:before="20" w:after="20"/>
            </w:pPr>
            <w:r>
              <w:rPr>
                <w:rFonts w:ascii="Consolas" w:cs="Consolas" w:eastAsia="Consolas" w:hAnsi="Consolas"/>
                <w:color w:val="1C2833"/>
                <w:sz w:val="18"/>
                <w:szCs w:val="18"/>
              </w:rPr>
              <w:t xml:space="preserve">-- ZRS = Z-Risk Score segment</w:t>
            </w:r>
          </w:p>
          <w:p>
            <w:pPr>
              <w:spacing w:before="20" w:after="20"/>
            </w:pPr>
            <w:r>
              <w:rPr>
                <w:rFonts w:ascii="Consolas" w:cs="Consolas" w:eastAsia="Consolas" w:hAnsi="Consolas"/>
                <w:color w:val="1C2833"/>
                <w:sz w:val="18"/>
                <w:szCs w:val="18"/>
              </w:rPr>
              <w:t xml:space="preserve">-- ZRS-1: Set ID = 1</w:t>
            </w:r>
          </w:p>
          <w:p>
            <w:pPr>
              <w:spacing w:before="20" w:after="20"/>
            </w:pPr>
            <w:r>
              <w:rPr>
                <w:rFonts w:ascii="Consolas" w:cs="Consolas" w:eastAsia="Consolas" w:hAnsi="Consolas"/>
                <w:color w:val="1C2833"/>
                <w:sz w:val="18"/>
                <w:szCs w:val="18"/>
              </w:rPr>
              <w:t xml:space="preserve">-- ZRS-2: Risk Level = HIGH</w:t>
            </w:r>
          </w:p>
          <w:p>
            <w:pPr>
              <w:spacing w:before="20" w:after="20"/>
            </w:pPr>
            <w:r>
              <w:rPr>
                <w:rFonts w:ascii="Consolas" w:cs="Consolas" w:eastAsia="Consolas" w:hAnsi="Consolas"/>
                <w:color w:val="1C2833"/>
                <w:sz w:val="18"/>
                <w:szCs w:val="18"/>
              </w:rPr>
              <w:t xml:space="preserve">-- ZRS-3: Risk Score = 85 (numeric, 0-100)</w:t>
            </w:r>
          </w:p>
          <w:p>
            <w:pPr>
              <w:spacing w:before="20" w:after="20"/>
            </w:pPr>
            <w:r>
              <w:rPr>
                <w:rFonts w:ascii="Consolas" w:cs="Consolas" w:eastAsia="Consolas" w:hAnsi="Consolas"/>
                <w:color w:val="1C2833"/>
                <w:sz w:val="18"/>
                <w:szCs w:val="18"/>
              </w:rPr>
              <w:t xml:space="preserve">-- ZRS-4: Risk Type = READMISSION (readmission risk)</w:t>
            </w:r>
          </w:p>
          <w:p>
            <w:pPr>
              <w:spacing w:before="20" w:after="20"/>
            </w:pPr>
            <w:r>
              <w:rPr>
                <w:rFonts w:ascii="Consolas" w:cs="Consolas" w:eastAsia="Consolas" w:hAnsi="Consolas"/>
                <w:color w:val="1C2833"/>
                <w:sz w:val="18"/>
                <w:szCs w:val="18"/>
              </w:rPr>
              <w:t xml:space="preserve">-- ZRS-5: Assessment Date = 20260215</w:t>
            </w:r>
          </w:p>
          <w:p>
            <w:pPr>
              <w:spacing w:before="20" w:after="20"/>
            </w:pPr>
            <w:r>
              <w:rPr>
                <w:rFonts w:ascii="Consolas" w:cs="Consolas" w:eastAsia="Consolas" w:hAnsi="Consolas"/>
                <w:color w:val="1C2833"/>
                <w:sz w:val="18"/>
                <w:szCs w:val="18"/>
              </w:rPr>
              <w:t xml:space="preserve">-- ZRS-6: Model Name = Epic Sepsis Model</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8"/>
              <w:bottom w:val="single" w:color="E67E22" w:sz="1"/>
              <w:right w:val="single" w:color="E67E22" w:sz="1"/>
            </w:tcBorders>
            <w:shd w:fill="FDEDEC" w:val="clear"/>
            <w:tcMar>
              <w:top w:type="dxa" w:w="140"/>
              <w:left w:type="dxa" w:w="200"/>
              <w:bottom w:type="dxa" w:w="140"/>
              <w:right w:type="dxa" w:w="200"/>
            </w:tcMar>
          </w:tcPr>
          <w:p>
            <w:pPr>
              <w:spacing w:after="80"/>
            </w:pPr>
            <w:r>
              <w:rPr>
                <w:rFonts w:ascii="Arial" w:cs="Arial" w:eastAsia="Arial" w:hAnsi="Arial"/>
                <w:b/>
                <w:bCs/>
                <w:color w:val="0D3B66"/>
                <w:sz w:val="22"/>
                <w:szCs w:val="22"/>
              </w:rPr>
              <w:t xml:space="preserve">Z-Segment Governance Warning</w:t>
            </w:r>
          </w:p>
          <w:p>
            <w:pPr>
              <w:spacing w:before="40"/>
            </w:pPr>
            <w:r>
              <w:rPr>
                <w:rFonts w:ascii="Arial" w:cs="Arial" w:eastAsia="Arial" w:hAnsi="Arial"/>
                <w:color w:val="2C3E50"/>
                <w:sz w:val="20"/>
                <w:szCs w:val="20"/>
              </w:rPr>
              <w:t xml:space="preserve">Ungoverned Z-segments are a major source of technical debt in healthcare integration. Over time, organizations accumulate dozens of undocumented Z-segments that nobody fully understands. When a new engineer encounters 'ZXX|3|Y|ABC^DEF|19850101' in a message, they have no way to know what it means without the original documentation. Establish a Z-segment registry on day one and enforce documentation requirements.</w:t>
            </w:r>
          </w:p>
        </w:tc>
      </w:tr>
    </w:tbl>
    <w:p>
      <w:r>
        <w:br w:type="page"/>
      </w:r>
    </w:p>
    <w:p>
      <w:pPr>
        <w:pStyle w:val="Heading1"/>
        <w:pBdr>
          <w:bottom w:val="single" w:color="1A6FA5" w:sz="4" w:space="8"/>
        </w:pBdr>
        <w:spacing w:before="400" w:after="200"/>
      </w:pPr>
      <w:r>
        <w:rPr>
          <w:rFonts w:ascii="Arial" w:cs="Arial" w:eastAsia="Arial" w:hAnsi="Arial"/>
          <w:b/>
          <w:bCs/>
          <w:color w:val="0D3B66"/>
          <w:sz w:val="36"/>
          <w:szCs w:val="36"/>
        </w:rPr>
        <w:t xml:space="preserve">4. Acknowledgment Patterns</w:t>
      </w:r>
    </w:p>
    <w:p>
      <w:pPr>
        <w:spacing w:before="60" w:after="100" w:line="340"/>
      </w:pPr>
      <w:r>
        <w:rPr>
          <w:rFonts w:ascii="Arial" w:cs="Arial" w:eastAsia="Arial" w:hAnsi="Arial"/>
          <w:color w:val="2C3E50"/>
          <w:sz w:val="22"/>
          <w:szCs w:val="22"/>
        </w:rPr>
        <w:t xml:space="preserve">Acknowledgment handling is one of the most critical and most frequently misconfigured aspects of HL7 v2 integration. The acknowledgment pattern determines how the sending and receiving systems confirm successful message delivery and processing — or communicate failures.</w:t>
      </w:r>
    </w:p>
    <w:p>
      <w:pPr>
        <w:pStyle w:val="Heading2"/>
        <w:spacing w:before="340" w:after="160"/>
      </w:pPr>
      <w:r>
        <w:rPr>
          <w:rFonts w:ascii="Arial" w:cs="Arial" w:eastAsia="Arial" w:hAnsi="Arial"/>
          <w:b/>
          <w:bCs/>
          <w:color w:val="1A6FA5"/>
          <w:sz w:val="30"/>
          <w:szCs w:val="30"/>
        </w:rPr>
        <w:t xml:space="preserve">4.1 Original Mode Acknowledgment</w:t>
      </w:r>
    </w:p>
    <w:p>
      <w:pPr>
        <w:spacing w:before="60" w:after="100" w:line="340"/>
      </w:pPr>
      <w:r>
        <w:rPr>
          <w:rFonts w:ascii="Arial" w:cs="Arial" w:eastAsia="Arial" w:hAnsi="Arial"/>
          <w:color w:val="2C3E50"/>
          <w:sz w:val="22"/>
          <w:szCs w:val="22"/>
        </w:rPr>
        <w:t xml:space="preserve">Original mode is the most common pattern. The receiver sends a single ACK after processing:</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2200"/>
        <w:gridCol w:w="2300"/>
        <w:gridCol w:w="3160"/>
      </w:tblGrid>
      <w:tr>
        <w:trPr>
          <w:tblHeader/>
        </w:trPr>
        <w:tc>
          <w:tcPr>
            <w:tcW w:type="dxa" w:w="9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ACK Code</w:t>
            </w:r>
          </w:p>
        </w:tc>
        <w:tc>
          <w:tcPr>
            <w:tcW w:type="dxa" w:w="8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MSA-1</w:t>
            </w:r>
          </w:p>
        </w:tc>
        <w:tc>
          <w:tcPr>
            <w:tcW w:type="dxa" w:w="22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23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Sender Action</w:t>
            </w:r>
          </w:p>
        </w:tc>
        <w:tc>
          <w:tcPr>
            <w:tcW w:type="dxa" w:w="31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Common Causes</w:t>
            </w:r>
          </w:p>
        </w:tc>
      </w:tr>
      <w:tr>
        <w:tc>
          <w:tcPr>
            <w:tcW w:type="dxa" w:w="9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AA</w:t>
            </w:r>
          </w:p>
        </w:tc>
        <w:tc>
          <w:tcPr>
            <w:tcW w:type="dxa" w:w="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Application Accept</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Message received and processed successfully</w:t>
            </w:r>
          </w:p>
        </w:tc>
        <w:tc>
          <w:tcPr>
            <w:tcW w:type="dxa" w:w="23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Mark message as delivered; no further action</w:t>
            </w:r>
          </w:p>
        </w:tc>
        <w:tc>
          <w:tcPr>
            <w:tcW w:type="dxa" w:w="3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Normal successful processing</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AE</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Application Error</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Message received but has errors; partially processed</w:t>
            </w:r>
          </w:p>
        </w:tc>
        <w:tc>
          <w:tcPr>
            <w:tcW w:type="dxa" w:w="23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Investigate error; correct and resend if appropriate</w:t>
            </w:r>
          </w:p>
        </w:tc>
        <w:tc>
          <w:tcPr>
            <w:tcW w:type="dxa" w:w="3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Invalid data values, missing required fields, unmapped codes</w:t>
            </w:r>
          </w:p>
        </w:tc>
      </w:tr>
      <w:tr>
        <w:tc>
          <w:tcPr>
            <w:tcW w:type="dxa" w:w="9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AR</w:t>
            </w:r>
          </w:p>
        </w:tc>
        <w:tc>
          <w:tcPr>
            <w:tcW w:type="dxa" w:w="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Application Reject</w:t>
            </w:r>
          </w:p>
        </w:tc>
        <w:tc>
          <w:tcPr>
            <w:tcW w:type="dxa" w:w="2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Message received but rejected entirely</w:t>
            </w:r>
          </w:p>
        </w:tc>
        <w:tc>
          <w:tcPr>
            <w:tcW w:type="dxa" w:w="23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Investigate; do not retry without fixing root cause</w:t>
            </w:r>
          </w:p>
        </w:tc>
        <w:tc>
          <w:tcPr>
            <w:tcW w:type="dxa" w:w="3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Unsupported message type, security failure, system not ready</w:t>
            </w:r>
          </w:p>
        </w:tc>
      </w:tr>
    </w:tbl>
    <w:p>
      <w:pPr>
        <w:spacing w:before="120" w:after="120"/>
      </w:pPr>
    </w:p>
    <w:p>
      <w:pPr>
        <w:pStyle w:val="Heading2"/>
        <w:spacing w:before="340" w:after="160"/>
      </w:pPr>
      <w:r>
        <w:rPr>
          <w:rFonts w:ascii="Arial" w:cs="Arial" w:eastAsia="Arial" w:hAnsi="Arial"/>
          <w:b/>
          <w:bCs/>
          <w:color w:val="1A6FA5"/>
          <w:sz w:val="30"/>
          <w:szCs w:val="30"/>
        </w:rPr>
        <w:t xml:space="preserve">4.2 Enhanced Mode Acknowledgment</w:t>
      </w:r>
    </w:p>
    <w:p>
      <w:pPr>
        <w:spacing w:before="60" w:after="100" w:line="340"/>
      </w:pPr>
      <w:r>
        <w:rPr>
          <w:rFonts w:ascii="Arial" w:cs="Arial" w:eastAsia="Arial" w:hAnsi="Arial"/>
          <w:color w:val="2C3E50"/>
          <w:sz w:val="22"/>
          <w:szCs w:val="22"/>
        </w:rPr>
        <w:t xml:space="preserve">Enhanced mode separates receipt confirmation from processing confirmation:</w:t>
      </w:r>
    </w:p>
    <w:p>
      <w:pPr>
        <w:pStyle w:val="ListParagraph"/>
        <w:numPr>
          <w:ilvl w:val="0"/>
          <w:numId w:val="2"/>
        </w:numPr>
        <w:spacing w:before="40" w:after="40" w:line="310"/>
      </w:pPr>
      <w:r>
        <w:rPr>
          <w:rFonts w:ascii="Arial" w:cs="Arial" w:eastAsia="Arial" w:hAnsi="Arial"/>
          <w:b/>
          <w:bCs/>
          <w:color w:val="2C3E50"/>
          <w:sz w:val="22"/>
          <w:szCs w:val="22"/>
        </w:rPr>
        <w:t xml:space="preserve">MSH-15 (Accept Acknowledgment Type): </w:t>
      </w:r>
      <w:r>
        <w:rPr>
          <w:rFonts w:ascii="Arial" w:cs="Arial" w:eastAsia="Arial" w:hAnsi="Arial"/>
          <w:color w:val="2C3E50"/>
          <w:sz w:val="22"/>
          <w:szCs w:val="22"/>
        </w:rPr>
        <w:t xml:space="preserve">AL (Always), NE (Never), ER (Error/Reject only). Controls whether the receiver sends a commit-level ACK.</w:t>
      </w:r>
    </w:p>
    <w:p>
      <w:pPr>
        <w:pStyle w:val="ListParagraph"/>
        <w:numPr>
          <w:ilvl w:val="0"/>
          <w:numId w:val="2"/>
        </w:numPr>
        <w:spacing w:before="40" w:after="40" w:line="310"/>
      </w:pPr>
      <w:r>
        <w:rPr>
          <w:rFonts w:ascii="Arial" w:cs="Arial" w:eastAsia="Arial" w:hAnsi="Arial"/>
          <w:b/>
          <w:bCs/>
          <w:color w:val="2C3E50"/>
          <w:sz w:val="22"/>
          <w:szCs w:val="22"/>
        </w:rPr>
        <w:t xml:space="preserve">MSH-16 (Application Acknowledgment Type): </w:t>
      </w:r>
      <w:r>
        <w:rPr>
          <w:rFonts w:ascii="Arial" w:cs="Arial" w:eastAsia="Arial" w:hAnsi="Arial"/>
          <w:color w:val="2C3E50"/>
          <w:sz w:val="22"/>
          <w:szCs w:val="22"/>
        </w:rPr>
        <w:t xml:space="preserve">AL (Always), NE (Never), ER (Error/Reject only). Controls whether the receiver sends an application-level ACK.</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400"/>
        <w:gridCol w:w="4160"/>
      </w:tblGrid>
      <w:tr>
        <w:trPr>
          <w:tblHeader/>
        </w:trPr>
        <w:tc>
          <w:tcPr>
            <w:tcW w:type="dxa" w:w="14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ACK Codes</w:t>
            </w:r>
          </w:p>
        </w:tc>
        <w:tc>
          <w:tcPr>
            <w:tcW w:type="dxa" w:w="24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When Sent</w:t>
            </w:r>
          </w:p>
        </w:tc>
        <w:tc>
          <w:tcPr>
            <w:tcW w:type="dxa" w:w="41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Commit ACK</w:t>
            </w:r>
          </w:p>
        </w:tc>
        <w:tc>
          <w:tcPr>
            <w:tcW w:type="dxa" w:w="1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CA/CE/CR</w:t>
            </w:r>
          </w:p>
        </w:tc>
        <w:tc>
          <w:tcPr>
            <w:tcW w:type="dxa" w:w="24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Immediately upon receipt</w:t>
            </w:r>
          </w:p>
        </w:tc>
        <w:tc>
          <w:tcPr>
            <w:tcW w:type="dxa" w:w="4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Message safely stored (CA=Accept, CE=Error, CR=Reject)</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Application ACK</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AA/AE/AR</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After application processing</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Message processed by application (AA=Accept, AE=Error, AR=Reject)</w:t>
            </w:r>
          </w:p>
        </w:tc>
      </w:tr>
    </w:tbl>
    <w:p>
      <w:pPr>
        <w:spacing w:before="120" w:after="120"/>
      </w:pPr>
    </w:p>
    <w:p>
      <w:pPr>
        <w:pStyle w:val="Heading2"/>
        <w:spacing w:before="340" w:after="160"/>
      </w:pPr>
      <w:r>
        <w:rPr>
          <w:rFonts w:ascii="Arial" w:cs="Arial" w:eastAsia="Arial" w:hAnsi="Arial"/>
          <w:b/>
          <w:bCs/>
          <w:color w:val="1A6FA5"/>
          <w:sz w:val="30"/>
          <w:szCs w:val="30"/>
        </w:rPr>
        <w:t xml:space="preserve">4.3 ACK Message Structure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7" w:val="clear"/>
            <w:tcMar>
              <w:top w:type="dxa" w:w="120"/>
              <w:left w:type="dxa" w:w="200"/>
              <w:bottom w:type="dxa" w:w="120"/>
              <w:right w:type="dxa" w:w="200"/>
            </w:tcMar>
          </w:tcPr>
          <w:p>
            <w:pPr>
              <w:spacing w:after="60"/>
            </w:pPr>
            <w:r>
              <w:rPr>
                <w:rFonts w:ascii="Arial" w:cs="Arial" w:eastAsia="Arial" w:hAnsi="Arial"/>
                <w:b/>
                <w:bCs/>
                <w:color w:val="0D3B66"/>
                <w:sz w:val="20"/>
                <w:szCs w:val="20"/>
              </w:rPr>
              <w:t xml:space="preserve">Complete ACK Message Example</w:t>
            </w:r>
          </w:p>
          <w:p>
            <w:pPr>
              <w:spacing w:before="20" w:after="20"/>
            </w:pPr>
            <w:r>
              <w:rPr>
                <w:rFonts w:ascii="Consolas" w:cs="Consolas" w:eastAsia="Consolas" w:hAnsi="Consolas"/>
                <w:color w:val="1C2833"/>
                <w:sz w:val="18"/>
                <w:szCs w:val="18"/>
              </w:rPr>
              <w:t xml:space="preserve">MSH|^~\&amp;|LAB_LIS|QUEST|EPIC|MAIN_HOSPITAL|20260215103100||ACK^A01^ACK|ACK000123456|P|2.5.1|||NE|NE</w:t>
            </w:r>
          </w:p>
          <w:p>
            <w:pPr>
              <w:spacing w:before="20" w:after="20"/>
            </w:pPr>
            <w:r>
              <w:rPr>
                <w:rFonts w:ascii="Consolas" w:cs="Consolas" w:eastAsia="Consolas" w:hAnsi="Consolas"/>
                <w:color w:val="1C2833"/>
                <w:sz w:val="18"/>
                <w:szCs w:val="18"/>
              </w:rPr>
              <w:t xml:space="preserve">MSA|AA|MSG000123456</w:t>
            </w:r>
          </w:p>
          <w:p>
            <w:pPr>
              <w:spacing w:before="20" w:after="20"/>
            </w:pPr>
            <w:r>
              <w:rPr>
                <w:rFonts w:ascii="Consolas" w:cs="Consolas" w:eastAsia="Consolas" w:hAnsi="Consolas"/>
                <w:color w:val="1C2833"/>
                <w:sz w:val="18"/>
                <w:szCs w:val="18"/>
              </w:rPr>
              <w:t xml:space="preserve"/>
            </w:r>
          </w:p>
          <w:p>
            <w:pPr>
              <w:spacing w:before="20" w:after="20"/>
            </w:pPr>
            <w:r>
              <w:rPr>
                <w:rFonts w:ascii="Consolas" w:cs="Consolas" w:eastAsia="Consolas" w:hAnsi="Consolas"/>
                <w:color w:val="1C2833"/>
                <w:sz w:val="18"/>
                <w:szCs w:val="18"/>
              </w:rPr>
              <w:t xml:space="preserve">-- MSH-9: ACK^A01^ACK (acknowledging an ADT A01)</w:t>
            </w:r>
          </w:p>
          <w:p>
            <w:pPr>
              <w:spacing w:before="20" w:after="20"/>
            </w:pPr>
            <w:r>
              <w:rPr>
                <w:rFonts w:ascii="Consolas" w:cs="Consolas" w:eastAsia="Consolas" w:hAnsi="Consolas"/>
                <w:color w:val="1C2833"/>
                <w:sz w:val="18"/>
                <w:szCs w:val="18"/>
              </w:rPr>
              <w:t xml:space="preserve">-- MSH-10: ACK000123456 (unique ID for this ACK message)</w:t>
            </w:r>
          </w:p>
          <w:p>
            <w:pPr>
              <w:spacing w:before="20" w:after="20"/>
            </w:pPr>
            <w:r>
              <w:rPr>
                <w:rFonts w:ascii="Consolas" w:cs="Consolas" w:eastAsia="Consolas" w:hAnsi="Consolas"/>
                <w:color w:val="1C2833"/>
                <w:sz w:val="18"/>
                <w:szCs w:val="18"/>
              </w:rPr>
              <w:t xml:space="preserve">-- MSA-1: AA (Application Accept — message processed successfully)</w:t>
            </w:r>
          </w:p>
          <w:p>
            <w:pPr>
              <w:spacing w:before="20" w:after="20"/>
            </w:pPr>
            <w:r>
              <w:rPr>
                <w:rFonts w:ascii="Consolas" w:cs="Consolas" w:eastAsia="Consolas" w:hAnsi="Consolas"/>
                <w:color w:val="1C2833"/>
                <w:sz w:val="18"/>
                <w:szCs w:val="18"/>
              </w:rPr>
              <w:t xml:space="preserve">-- MSA-2: MSG000123456 (references the original message’s MSH-10 control ID)</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7" w:val="clear"/>
            <w:tcMar>
              <w:top w:type="dxa" w:w="120"/>
              <w:left w:type="dxa" w:w="200"/>
              <w:bottom w:type="dxa" w:w="120"/>
              <w:right w:type="dxa" w:w="200"/>
            </w:tcMar>
          </w:tcPr>
          <w:p>
            <w:pPr>
              <w:spacing w:after="60"/>
            </w:pPr>
            <w:r>
              <w:rPr>
                <w:rFonts w:ascii="Arial" w:cs="Arial" w:eastAsia="Arial" w:hAnsi="Arial"/>
                <w:b/>
                <w:bCs/>
                <w:color w:val="0D3B66"/>
                <w:sz w:val="20"/>
                <w:szCs w:val="20"/>
              </w:rPr>
              <w:t xml:space="preserve">ACK with Error (AE) and Error Segment</w:t>
            </w:r>
          </w:p>
          <w:p>
            <w:pPr>
              <w:spacing w:before="20" w:after="20"/>
            </w:pPr>
            <w:r>
              <w:rPr>
                <w:rFonts w:ascii="Consolas" w:cs="Consolas" w:eastAsia="Consolas" w:hAnsi="Consolas"/>
                <w:color w:val="1C2833"/>
                <w:sz w:val="18"/>
                <w:szCs w:val="18"/>
              </w:rPr>
              <w:t xml:space="preserve">MSH|^~\&amp;|LAB_LIS|QUEST|EPIC|MAIN_HOSPITAL|20260215103100||ACK^A01^ACK|ACK000123457|P|2.5.1</w:t>
            </w:r>
          </w:p>
          <w:p>
            <w:pPr>
              <w:spacing w:before="20" w:after="20"/>
            </w:pPr>
            <w:r>
              <w:rPr>
                <w:rFonts w:ascii="Consolas" w:cs="Consolas" w:eastAsia="Consolas" w:hAnsi="Consolas"/>
                <w:color w:val="1C2833"/>
                <w:sz w:val="18"/>
                <w:szCs w:val="18"/>
              </w:rPr>
              <w:t xml:space="preserve">MSA|AE|MSG000123456|Patient MRN not found in system</w:t>
            </w:r>
          </w:p>
          <w:p>
            <w:pPr>
              <w:spacing w:before="20" w:after="20"/>
            </w:pPr>
            <w:r>
              <w:rPr>
                <w:rFonts w:ascii="Consolas" w:cs="Consolas" w:eastAsia="Consolas" w:hAnsi="Consolas"/>
                <w:color w:val="1C2833"/>
                <w:sz w:val="18"/>
                <w:szCs w:val="18"/>
              </w:rPr>
              <w:t xml:space="preserve">ERR||PID^1^3|204^Unknown Key Identifier^HL70357|E||||Patient MRN001234 not found in Master Patient Index</w:t>
            </w:r>
          </w:p>
          <w:p>
            <w:pPr>
              <w:spacing w:before="20" w:after="20"/>
            </w:pPr>
            <w:r>
              <w:rPr>
                <w:rFonts w:ascii="Consolas" w:cs="Consolas" w:eastAsia="Consolas" w:hAnsi="Consolas"/>
                <w:color w:val="1C2833"/>
                <w:sz w:val="18"/>
                <w:szCs w:val="18"/>
              </w:rPr>
              <w:t xml:space="preserve"/>
            </w:r>
          </w:p>
          <w:p>
            <w:pPr>
              <w:spacing w:before="20" w:after="20"/>
            </w:pPr>
            <w:r>
              <w:rPr>
                <w:rFonts w:ascii="Consolas" w:cs="Consolas" w:eastAsia="Consolas" w:hAnsi="Consolas"/>
                <w:color w:val="1C2833"/>
                <w:sz w:val="18"/>
                <w:szCs w:val="18"/>
              </w:rPr>
              <w:t xml:space="preserve">-- MSA-1: AE (Application Error)</w:t>
            </w:r>
          </w:p>
          <w:p>
            <w:pPr>
              <w:spacing w:before="20" w:after="20"/>
            </w:pPr>
            <w:r>
              <w:rPr>
                <w:rFonts w:ascii="Consolas" w:cs="Consolas" w:eastAsia="Consolas" w:hAnsi="Consolas"/>
                <w:color w:val="1C2833"/>
                <w:sz w:val="18"/>
                <w:szCs w:val="18"/>
              </w:rPr>
              <w:t xml:space="preserve">-- MSA-3: Text error message</w:t>
            </w:r>
          </w:p>
          <w:p>
            <w:pPr>
              <w:spacing w:before="20" w:after="20"/>
            </w:pPr>
            <w:r>
              <w:rPr>
                <w:rFonts w:ascii="Consolas" w:cs="Consolas" w:eastAsia="Consolas" w:hAnsi="Consolas"/>
                <w:color w:val="1C2833"/>
                <w:sz w:val="18"/>
                <w:szCs w:val="18"/>
              </w:rPr>
              <w:t xml:space="preserve">-- ERR segment: Identifies the specific error location (PID-3) and error code</w:t>
            </w:r>
          </w:p>
        </w:tc>
      </w:tr>
    </w:tbl>
    <w:p>
      <w:pPr>
        <w:spacing w:before="120" w:after="120"/>
      </w:pPr>
    </w:p>
    <w:p>
      <w:pPr>
        <w:pStyle w:val="Heading2"/>
        <w:spacing w:before="340" w:after="160"/>
      </w:pPr>
      <w:r>
        <w:rPr>
          <w:rFonts w:ascii="Arial" w:cs="Arial" w:eastAsia="Arial" w:hAnsi="Arial"/>
          <w:b/>
          <w:bCs/>
          <w:color w:val="1A6FA5"/>
          <w:sz w:val="30"/>
          <w:szCs w:val="30"/>
        </w:rPr>
        <w:t xml:space="preserve">4.4 ACK Strategy Design</w:t>
      </w:r>
    </w:p>
    <w:p>
      <w:pPr>
        <w:pStyle w:val="ListParagraph"/>
        <w:numPr>
          <w:ilvl w:val="0"/>
          <w:numId w:val="2"/>
        </w:numPr>
        <w:spacing w:before="40" w:after="40" w:line="310"/>
      </w:pPr>
      <w:r>
        <w:rPr>
          <w:rFonts w:ascii="Arial" w:cs="Arial" w:eastAsia="Arial" w:hAnsi="Arial"/>
          <w:b/>
          <w:bCs/>
          <w:color w:val="2C3E50"/>
          <w:sz w:val="22"/>
          <w:szCs w:val="22"/>
        </w:rPr>
        <w:t xml:space="preserve">Always Send ACKs: </w:t>
      </w:r>
      <w:r>
        <w:rPr>
          <w:rFonts w:ascii="Arial" w:cs="Arial" w:eastAsia="Arial" w:hAnsi="Arial"/>
          <w:color w:val="2C3E50"/>
          <w:sz w:val="22"/>
          <w:szCs w:val="22"/>
        </w:rPr>
        <w:t xml:space="preserve">Configure MSH-15 and MSH-16 to 'AL' (Always) unless there is a specific reason not to. Not sending ACKs leaves the sender blind to delivery status.</w:t>
      </w:r>
    </w:p>
    <w:p>
      <w:pPr>
        <w:pStyle w:val="ListParagraph"/>
        <w:numPr>
          <w:ilvl w:val="0"/>
          <w:numId w:val="2"/>
        </w:numPr>
        <w:spacing w:before="40" w:after="40" w:line="310"/>
      </w:pPr>
      <w:r>
        <w:rPr>
          <w:rFonts w:ascii="Arial" w:cs="Arial" w:eastAsia="Arial" w:hAnsi="Arial"/>
          <w:b/>
          <w:bCs/>
          <w:color w:val="2C3E50"/>
          <w:sz w:val="22"/>
          <w:szCs w:val="22"/>
        </w:rPr>
        <w:t xml:space="preserve">Process Before ACKing: </w:t>
      </w:r>
      <w:r>
        <w:rPr>
          <w:rFonts w:ascii="Arial" w:cs="Arial" w:eastAsia="Arial" w:hAnsi="Arial"/>
          <w:color w:val="2C3E50"/>
          <w:sz w:val="22"/>
          <w:szCs w:val="22"/>
        </w:rPr>
        <w:t xml:space="preserve">In original mode, send the ACK only after successfully processing the message. Sending AA before processing risks data loss if processing subsequently fails.</w:t>
      </w:r>
    </w:p>
    <w:p>
      <w:pPr>
        <w:pStyle w:val="ListParagraph"/>
        <w:numPr>
          <w:ilvl w:val="0"/>
          <w:numId w:val="2"/>
        </w:numPr>
        <w:spacing w:before="40" w:after="40" w:line="310"/>
      </w:pPr>
      <w:r>
        <w:rPr>
          <w:rFonts w:ascii="Arial" w:cs="Arial" w:eastAsia="Arial" w:hAnsi="Arial"/>
          <w:b/>
          <w:bCs/>
          <w:color w:val="2C3E50"/>
          <w:sz w:val="22"/>
          <w:szCs w:val="22"/>
        </w:rPr>
        <w:t xml:space="preserve">Timeout Handling: </w:t>
      </w:r>
      <w:r>
        <w:rPr>
          <w:rFonts w:ascii="Arial" w:cs="Arial" w:eastAsia="Arial" w:hAnsi="Arial"/>
          <w:color w:val="2C3E50"/>
          <w:sz w:val="22"/>
          <w:szCs w:val="22"/>
        </w:rPr>
        <w:t xml:space="preserve">Senders should implement ACK timeouts (typically 30–60 seconds). If no ACK is received, the message should be queued for retry. Common issue: firewall timeouts that are shorter than the application timeout.</w:t>
      </w:r>
    </w:p>
    <w:p>
      <w:pPr>
        <w:pStyle w:val="ListParagraph"/>
        <w:numPr>
          <w:ilvl w:val="0"/>
          <w:numId w:val="2"/>
        </w:numPr>
        <w:spacing w:before="40" w:after="40" w:line="310"/>
      </w:pPr>
      <w:r>
        <w:rPr>
          <w:rFonts w:ascii="Arial" w:cs="Arial" w:eastAsia="Arial" w:hAnsi="Arial"/>
          <w:b/>
          <w:bCs/>
          <w:color w:val="2C3E50"/>
          <w:sz w:val="22"/>
          <w:szCs w:val="22"/>
        </w:rPr>
        <w:t xml:space="preserve">Error Enrichment: </w:t>
      </w:r>
      <w:r>
        <w:rPr>
          <w:rFonts w:ascii="Arial" w:cs="Arial" w:eastAsia="Arial" w:hAnsi="Arial"/>
          <w:color w:val="2C3E50"/>
          <w:sz w:val="22"/>
          <w:szCs w:val="22"/>
        </w:rPr>
        <w:t xml:space="preserve">When sending AE or AR, include the ERR segment with specific error details. This enables the sender to diagnose and correct the issue without contacting you.</w:t>
      </w:r>
    </w:p>
    <w:p>
      <w:pPr>
        <w:pStyle w:val="ListParagraph"/>
        <w:numPr>
          <w:ilvl w:val="0"/>
          <w:numId w:val="2"/>
        </w:numPr>
        <w:spacing w:before="40" w:after="40" w:line="310"/>
      </w:pPr>
      <w:r>
        <w:rPr>
          <w:rFonts w:ascii="Arial" w:cs="Arial" w:eastAsia="Arial" w:hAnsi="Arial"/>
          <w:b/>
          <w:bCs/>
          <w:color w:val="2C3E50"/>
          <w:sz w:val="22"/>
          <w:szCs w:val="22"/>
        </w:rPr>
        <w:t xml:space="preserve">ACK vs. Application Response: </w:t>
      </w:r>
      <w:r>
        <w:rPr>
          <w:rFonts w:ascii="Arial" w:cs="Arial" w:eastAsia="Arial" w:hAnsi="Arial"/>
          <w:color w:val="2C3E50"/>
          <w:sz w:val="22"/>
          <w:szCs w:val="22"/>
        </w:rPr>
        <w:t xml:space="preserve">An AA ACK means the interface engine received and processed the message. It does NOT mean the clinician has seen the result or that the order has been performed.</w:t>
      </w:r>
    </w:p>
    <w:p>
      <w:r>
        <w:br w:type="page"/>
      </w:r>
    </w:p>
    <w:p>
      <w:pPr>
        <w:pStyle w:val="Heading1"/>
        <w:pBdr>
          <w:bottom w:val="single" w:color="1A6FA5" w:sz="4" w:space="8"/>
        </w:pBdr>
        <w:spacing w:before="400" w:after="200"/>
      </w:pPr>
      <w:r>
        <w:rPr>
          <w:rFonts w:ascii="Arial" w:cs="Arial" w:eastAsia="Arial" w:hAnsi="Arial"/>
          <w:b/>
          <w:bCs/>
          <w:color w:val="0D3B66"/>
          <w:sz w:val="36"/>
          <w:szCs w:val="36"/>
        </w:rPr>
        <w:t xml:space="preserve">5. MLLP Transport Protocol</w:t>
      </w:r>
    </w:p>
    <w:p>
      <w:pPr>
        <w:spacing w:before="60" w:after="100" w:line="340"/>
      </w:pPr>
      <w:r>
        <w:rPr>
          <w:rFonts w:ascii="Arial" w:cs="Arial" w:eastAsia="Arial" w:hAnsi="Arial"/>
          <w:color w:val="2C3E50"/>
          <w:sz w:val="22"/>
          <w:szCs w:val="22"/>
        </w:rPr>
        <w:t xml:space="preserve">Minimum Lower Layer Protocol (MLLP) is the de facto transport protocol for HL7 v2 messages. Understanding MLLP at the byte level is essential for troubleshooting connection issues, configuring integration engines, and diagnosing message delivery failures.</w:t>
      </w:r>
    </w:p>
    <w:p>
      <w:pPr>
        <w:pStyle w:val="Heading2"/>
        <w:spacing w:before="340" w:after="160"/>
      </w:pPr>
      <w:r>
        <w:rPr>
          <w:rFonts w:ascii="Arial" w:cs="Arial" w:eastAsia="Arial" w:hAnsi="Arial"/>
          <w:b/>
          <w:bCs/>
          <w:color w:val="1A6FA5"/>
          <w:sz w:val="30"/>
          <w:szCs w:val="30"/>
        </w:rPr>
        <w:t xml:space="preserve">5.1 MLLP Frame Structure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1600"/>
        <w:gridCol w:w="1600"/>
        <w:gridCol w:w="4160"/>
      </w:tblGrid>
      <w:tr>
        <w:trPr>
          <w:tblHeader/>
        </w:trPr>
        <w:tc>
          <w:tcPr>
            <w:tcW w:type="dxa" w:w="12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Byte</w:t>
            </w:r>
          </w:p>
        </w:tc>
        <w:tc>
          <w:tcPr>
            <w:tcW w:type="dxa" w:w="8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16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ASCII</w:t>
            </w:r>
          </w:p>
        </w:tc>
        <w:tc>
          <w:tcPr>
            <w:tcW w:type="dxa" w:w="16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1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Start Block</w:t>
            </w:r>
          </w:p>
        </w:tc>
        <w:tc>
          <w:tcPr>
            <w:tcW w:type="dxa" w:w="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0x0B</w:t>
            </w:r>
          </w:p>
        </w:tc>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VT (Vertical Tab)</w:t>
            </w:r>
          </w:p>
        </w:tc>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Start of Message</w:t>
            </w:r>
          </w:p>
        </w:tc>
        <w:tc>
          <w:tcPr>
            <w:tcW w:type="dxa" w:w="4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Marks the beginning of an HL7 message</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Message Data</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varies</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varies</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HL7 Message</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The complete HL7 v2 message content</w:t>
            </w:r>
          </w:p>
        </w:tc>
      </w:tr>
      <w:tr>
        <w:tc>
          <w:tcPr>
            <w:tcW w:type="dxa" w:w="12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End Block</w:t>
            </w:r>
          </w:p>
        </w:tc>
        <w:tc>
          <w:tcPr>
            <w:tcW w:type="dxa" w:w="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0x1C</w:t>
            </w:r>
          </w:p>
        </w:tc>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FS (File Separator)</w:t>
            </w:r>
          </w:p>
        </w:tc>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End of Message</w:t>
            </w:r>
          </w:p>
        </w:tc>
        <w:tc>
          <w:tcPr>
            <w:tcW w:type="dxa" w:w="41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Marks the end of the HL7 message</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Carriage Return</w:t>
            </w:r>
          </w:p>
        </w:tc>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0x0D</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CR</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Message Terminator</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Required after the FS character</w:t>
            </w:r>
          </w:p>
        </w:tc>
      </w:tr>
    </w:tbl>
    <w:p>
      <w:pPr>
        <w:spacing w:before="120" w:after="120"/>
      </w:pPr>
    </w:p>
    <w:p>
      <w:pPr>
        <w:spacing w:before="60" w:after="100" w:line="340"/>
      </w:pPr>
      <w:r>
        <w:rPr>
          <w:rFonts w:ascii="Arial" w:cs="Arial" w:eastAsia="Arial" w:hAnsi="Arial"/>
          <w:color w:val="2C3E50"/>
          <w:sz w:val="22"/>
          <w:szCs w:val="22"/>
        </w:rPr>
        <w:t xml:space="preserve">Wire format: &lt;0x0B&gt;MSH|^~\&amp;|...&lt;CR&gt;...&lt;CR&gt;&lt;0x1C&gt;&lt;0x0D&gt;</w:t>
      </w:r>
    </w:p>
    <w:p>
      <w:pPr>
        <w:spacing w:before="120" w:after="120"/>
      </w:pPr>
    </w:p>
    <w:p>
      <w:pPr>
        <w:pStyle w:val="Heading2"/>
        <w:spacing w:before="340" w:after="160"/>
      </w:pPr>
      <w:r>
        <w:rPr>
          <w:rFonts w:ascii="Arial" w:cs="Arial" w:eastAsia="Arial" w:hAnsi="Arial"/>
          <w:b/>
          <w:bCs/>
          <w:color w:val="1A6FA5"/>
          <w:sz w:val="30"/>
          <w:szCs w:val="30"/>
        </w:rPr>
        <w:t xml:space="preserve">5.2 TCP Connection Management</w:t>
      </w:r>
    </w:p>
    <w:p>
      <w:pPr>
        <w:pStyle w:val="ListParagraph"/>
        <w:numPr>
          <w:ilvl w:val="0"/>
          <w:numId w:val="2"/>
        </w:numPr>
        <w:spacing w:before="40" w:after="40" w:line="310"/>
      </w:pPr>
      <w:r>
        <w:rPr>
          <w:rFonts w:ascii="Arial" w:cs="Arial" w:eastAsia="Arial" w:hAnsi="Arial"/>
          <w:b/>
          <w:bCs/>
          <w:color w:val="2C3E50"/>
          <w:sz w:val="22"/>
          <w:szCs w:val="22"/>
        </w:rPr>
        <w:t xml:space="preserve">Persistent Connections: </w:t>
      </w:r>
      <w:r>
        <w:rPr>
          <w:rFonts w:ascii="Arial" w:cs="Arial" w:eastAsia="Arial" w:hAnsi="Arial"/>
          <w:color w:val="2C3E50"/>
          <w:sz w:val="22"/>
          <w:szCs w:val="22"/>
        </w:rPr>
        <w:t xml:space="preserve">MLLP typically uses long-lived TCP connections. Both sides maintain the connection between messages, avoiding the overhead of establishing a new TCP connection for each message.</w:t>
      </w:r>
    </w:p>
    <w:p>
      <w:pPr>
        <w:pStyle w:val="ListParagraph"/>
        <w:numPr>
          <w:ilvl w:val="0"/>
          <w:numId w:val="2"/>
        </w:numPr>
        <w:spacing w:before="40" w:after="40" w:line="310"/>
      </w:pPr>
      <w:r>
        <w:rPr>
          <w:rFonts w:ascii="Arial" w:cs="Arial" w:eastAsia="Arial" w:hAnsi="Arial"/>
          <w:b/>
          <w:bCs/>
          <w:color w:val="2C3E50"/>
          <w:sz w:val="22"/>
          <w:szCs w:val="22"/>
        </w:rPr>
        <w:t xml:space="preserve">Connection Modes: </w:t>
      </w:r>
      <w:r>
        <w:rPr>
          <w:rFonts w:ascii="Arial" w:cs="Arial" w:eastAsia="Arial" w:hAnsi="Arial"/>
          <w:color w:val="2C3E50"/>
          <w:sz w:val="22"/>
          <w:szCs w:val="22"/>
        </w:rPr>
        <w:t xml:space="preserve">Client mode (initiates connection) and Server mode (listens for connections). In healthcare: the sending system is usually the client and the receiving system runs the server/listener.</w:t>
      </w:r>
    </w:p>
    <w:p>
      <w:pPr>
        <w:pStyle w:val="ListParagraph"/>
        <w:numPr>
          <w:ilvl w:val="0"/>
          <w:numId w:val="2"/>
        </w:numPr>
        <w:spacing w:before="40" w:after="40" w:line="310"/>
      </w:pPr>
      <w:r>
        <w:rPr>
          <w:rFonts w:ascii="Arial" w:cs="Arial" w:eastAsia="Arial" w:hAnsi="Arial"/>
          <w:b/>
          <w:bCs/>
          <w:color w:val="2C3E50"/>
          <w:sz w:val="22"/>
          <w:szCs w:val="22"/>
        </w:rPr>
        <w:t xml:space="preserve">Keep-Alive: </w:t>
      </w:r>
      <w:r>
        <w:rPr>
          <w:rFonts w:ascii="Arial" w:cs="Arial" w:eastAsia="Arial" w:hAnsi="Arial"/>
          <w:color w:val="2C3E50"/>
          <w:sz w:val="22"/>
          <w:szCs w:val="22"/>
        </w:rPr>
        <w:t xml:space="preserve">TCP keep-alive packets detect dead connections. Configure keep-alive intervals (typically 30–120 seconds) to detect when the remote system has become unreachable.</w:t>
      </w:r>
    </w:p>
    <w:p>
      <w:pPr>
        <w:pStyle w:val="ListParagraph"/>
        <w:numPr>
          <w:ilvl w:val="0"/>
          <w:numId w:val="2"/>
        </w:numPr>
        <w:spacing w:before="40" w:after="40" w:line="310"/>
      </w:pPr>
      <w:r>
        <w:rPr>
          <w:rFonts w:ascii="Arial" w:cs="Arial" w:eastAsia="Arial" w:hAnsi="Arial"/>
          <w:b/>
          <w:bCs/>
          <w:color w:val="2C3E50"/>
          <w:sz w:val="22"/>
          <w:szCs w:val="22"/>
        </w:rPr>
        <w:t xml:space="preserve">Connection Pooling: </w:t>
      </w:r>
      <w:r>
        <w:rPr>
          <w:rFonts w:ascii="Arial" w:cs="Arial" w:eastAsia="Arial" w:hAnsi="Arial"/>
          <w:color w:val="2C3E50"/>
          <w:sz w:val="22"/>
          <w:szCs w:val="22"/>
        </w:rPr>
        <w:t xml:space="preserve">High-volume senders may maintain multiple concurrent MLLP connections to the same receiver for throughput. Integration engines manage connection pools with configurable pool sizes.</w:t>
      </w:r>
    </w:p>
    <w:p>
      <w:pPr>
        <w:pStyle w:val="ListParagraph"/>
        <w:numPr>
          <w:ilvl w:val="0"/>
          <w:numId w:val="2"/>
        </w:numPr>
        <w:spacing w:before="40" w:after="40" w:line="310"/>
      </w:pPr>
      <w:r>
        <w:rPr>
          <w:rFonts w:ascii="Arial" w:cs="Arial" w:eastAsia="Arial" w:hAnsi="Arial"/>
          <w:b/>
          <w:bCs/>
          <w:color w:val="2C3E50"/>
          <w:sz w:val="22"/>
          <w:szCs w:val="22"/>
        </w:rPr>
        <w:t xml:space="preserve">Graceful Shutdown: </w:t>
      </w:r>
      <w:r>
        <w:rPr>
          <w:rFonts w:ascii="Arial" w:cs="Arial" w:eastAsia="Arial" w:hAnsi="Arial"/>
          <w:color w:val="2C3E50"/>
          <w:sz w:val="22"/>
          <w:szCs w:val="22"/>
        </w:rPr>
        <w:t xml:space="preserve">Before taking a system offline for maintenance, drain the message queue and allow in-flight messages to complete before closing MLLP connections.</w:t>
      </w:r>
    </w:p>
    <w:p>
      <w:pPr>
        <w:spacing w:before="120" w:after="120"/>
      </w:pPr>
    </w:p>
    <w:p>
      <w:pPr>
        <w:pStyle w:val="Heading2"/>
        <w:spacing w:before="340" w:after="160"/>
      </w:pPr>
      <w:r>
        <w:rPr>
          <w:rFonts w:ascii="Arial" w:cs="Arial" w:eastAsia="Arial" w:hAnsi="Arial"/>
          <w:b/>
          <w:bCs/>
          <w:color w:val="1A6FA5"/>
          <w:sz w:val="30"/>
          <w:szCs w:val="30"/>
        </w:rPr>
        <w:t xml:space="preserve">5.3 Common MLLP Troubleshooting</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600"/>
        <w:gridCol w:w="3360"/>
      </w:tblGrid>
      <w:tr>
        <w:trPr>
          <w:tblHeader/>
        </w:trPr>
        <w:tc>
          <w:tcPr>
            <w:tcW w:type="dxa" w:w="16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18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26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Diagnostic Steps</w:t>
            </w:r>
          </w:p>
        </w:tc>
        <w:tc>
          <w:tcPr>
            <w:tcW w:type="dxa" w:w="33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Connection refused</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Server not listening on expected port</w:t>
            </w:r>
          </w:p>
        </w:tc>
        <w:tc>
          <w:tcPr>
            <w:tcW w:type="dxa" w:w="2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telnet/nc to target host:port; check ss -tlnp on server</w:t>
            </w:r>
          </w:p>
        </w:tc>
        <w:tc>
          <w:tcPr>
            <w:tcW w:type="dxa" w:w="33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Start listener; verify port; check firewall rules</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Connection timeout</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Firewall blocking; network routing issue</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traceroute to target; check firewall logs; verify ACLs</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Open firewall rule; fix routing; verify VPN</w:t>
            </w:r>
          </w:p>
        </w:tc>
      </w:tr>
      <w:tr>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TLS handshake failure</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Certificate expired, mismatched, or untrusted CA</w:t>
            </w:r>
          </w:p>
        </w:tc>
        <w:tc>
          <w:tcPr>
            <w:tcW w:type="dxa" w:w="2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openssl s_client -connect host:port; check cert dates</w:t>
            </w:r>
          </w:p>
        </w:tc>
        <w:tc>
          <w:tcPr>
            <w:tcW w:type="dxa" w:w="33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Renew cert; add CA to trust store; match SAN to hostname</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Messages queuing (not sending)</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Destination unreachable or slow to ACK</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Check destination logs; test connectivity; check ACK timeout</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Resolve destination issue; increase timeout; add retry logic</w:t>
            </w:r>
          </w:p>
        </w:tc>
      </w:tr>
      <w:tr>
        <w:tc>
          <w:tcPr>
            <w:tcW w:type="dxa" w:w="1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Garbled/incomplete messages</w:t>
            </w:r>
          </w:p>
        </w:tc>
        <w:tc>
          <w:tcPr>
            <w:tcW w:type="dxa" w:w="18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MLLP framing issue; wrong encoding</w:t>
            </w:r>
          </w:p>
        </w:tc>
        <w:tc>
          <w:tcPr>
            <w:tcW w:type="dxa" w:w="26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Capture raw bytes with Wireshark; check for missing VT/FS/CR</w:t>
            </w:r>
          </w:p>
        </w:tc>
        <w:tc>
          <w:tcPr>
            <w:tcW w:type="dxa" w:w="33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Fix framing; verify encoding characters; check for proxy interference</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Duplicate messages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ACK lost; sender retrying</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Check sender retry logs; compare message control IDs</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Implement idempotent receiver; check ACK delivery path</w:t>
            </w:r>
          </w:p>
        </w:tc>
      </w:tr>
    </w:tbl>
    <w:p>
      <w:r>
        <w:br w:type="page"/>
      </w:r>
    </w:p>
    <w:p>
      <w:pPr>
        <w:pStyle w:val="Heading1"/>
        <w:pBdr>
          <w:bottom w:val="single" w:color="1A6FA5" w:sz="4" w:space="8"/>
        </w:pBdr>
        <w:spacing w:before="400" w:after="200"/>
      </w:pPr>
      <w:r>
        <w:rPr>
          <w:rFonts w:ascii="Arial" w:cs="Arial" w:eastAsia="Arial" w:hAnsi="Arial"/>
          <w:b/>
          <w:bCs/>
          <w:color w:val="0D3B66"/>
          <w:sz w:val="36"/>
          <w:szCs w:val="36"/>
        </w:rPr>
        <w:t xml:space="preserve">6. Interface Specification Documents (ISDs)</w:t>
      </w:r>
    </w:p>
    <w:p>
      <w:pPr>
        <w:spacing w:before="60" w:after="100" w:line="340"/>
      </w:pPr>
      <w:r>
        <w:rPr>
          <w:rFonts w:ascii="Arial" w:cs="Arial" w:eastAsia="Arial" w:hAnsi="Arial"/>
          <w:color w:val="2C3E50"/>
          <w:sz w:val="22"/>
          <w:szCs w:val="22"/>
        </w:rPr>
        <w:t xml:space="preserve">The Interface Specification Document is the authoritative technical contract between two systems exchanging HL7 v2 messages. It is the single most important document a healthcare integration engineer produces.</w:t>
      </w:r>
    </w:p>
    <w:p>
      <w:pPr>
        <w:pStyle w:val="Heading2"/>
        <w:spacing w:before="340" w:after="160"/>
      </w:pPr>
      <w:r>
        <w:rPr>
          <w:rFonts w:ascii="Arial" w:cs="Arial" w:eastAsia="Arial" w:hAnsi="Arial"/>
          <w:b/>
          <w:bCs/>
          <w:color w:val="1A6FA5"/>
          <w:sz w:val="30"/>
          <w:szCs w:val="30"/>
        </w:rPr>
        <w:t xml:space="preserve">6.1 ISD Structure</w:t>
      </w:r>
    </w:p>
    <w:p>
      <w:pPr>
        <w:spacing w:before="60" w:after="100" w:line="340"/>
      </w:pPr>
      <w:r>
        <w:rPr>
          <w:rFonts w:ascii="Arial" w:cs="Arial" w:eastAsia="Arial" w:hAnsi="Arial"/>
          <w:color w:val="2C3E50"/>
          <w:sz w:val="22"/>
          <w:szCs w:val="22"/>
        </w:rPr>
        <w:t xml:space="preserve">A complete HL7 v2 ISD contains the following sections:</w:t>
      </w:r>
    </w:p>
    <w:p>
      <w:pPr>
        <w:pStyle w:val="ListParagraph"/>
        <w:numPr>
          <w:ilvl w:val="0"/>
          <w:numId w:val="3"/>
        </w:numPr>
        <w:spacing w:before="50" w:after="50" w:line="310"/>
      </w:pPr>
      <w:r>
        <w:rPr>
          <w:rFonts w:ascii="Arial" w:cs="Arial" w:eastAsia="Arial" w:hAnsi="Arial"/>
          <w:b/>
          <w:bCs/>
          <w:color w:val="2C3E50"/>
          <w:sz w:val="22"/>
          <w:szCs w:val="22"/>
        </w:rPr>
        <w:t xml:space="preserve">Header Information: </w:t>
      </w:r>
      <w:r>
        <w:rPr>
          <w:rFonts w:ascii="Arial" w:cs="Arial" w:eastAsia="Arial" w:hAnsi="Arial"/>
          <w:color w:val="2C3E50"/>
          <w:sz w:val="22"/>
          <w:szCs w:val="22"/>
        </w:rPr>
        <w:t xml:space="preserve">Document title, version, date, authors, reviewers, approval status, change log.</w:t>
      </w:r>
    </w:p>
    <w:p>
      <w:pPr>
        <w:pStyle w:val="ListParagraph"/>
        <w:numPr>
          <w:ilvl w:val="0"/>
          <w:numId w:val="3"/>
        </w:numPr>
        <w:spacing w:before="50" w:after="50" w:line="310"/>
      </w:pPr>
      <w:r>
        <w:rPr>
          <w:rFonts w:ascii="Arial" w:cs="Arial" w:eastAsia="Arial" w:hAnsi="Arial"/>
          <w:b/>
          <w:bCs/>
          <w:color w:val="2C3E50"/>
          <w:sz w:val="22"/>
          <w:szCs w:val="22"/>
        </w:rPr>
        <w:t xml:space="preserve">Interface Overview: </w:t>
      </w:r>
      <w:r>
        <w:rPr>
          <w:rFonts w:ascii="Arial" w:cs="Arial" w:eastAsia="Arial" w:hAnsi="Arial"/>
          <w:color w:val="2C3E50"/>
          <w:sz w:val="22"/>
          <w:szCs w:val="22"/>
        </w:rPr>
        <w:t xml:space="preserve">Purpose, business context, clinical workflow supported, triggering events.</w:t>
      </w:r>
    </w:p>
    <w:p>
      <w:pPr>
        <w:pStyle w:val="ListParagraph"/>
        <w:numPr>
          <w:ilvl w:val="0"/>
          <w:numId w:val="3"/>
        </w:numPr>
        <w:spacing w:before="50" w:after="50" w:line="310"/>
      </w:pPr>
      <w:r>
        <w:rPr>
          <w:rFonts w:ascii="Arial" w:cs="Arial" w:eastAsia="Arial" w:hAnsi="Arial"/>
          <w:b/>
          <w:bCs/>
          <w:color w:val="2C3E50"/>
          <w:sz w:val="22"/>
          <w:szCs w:val="22"/>
        </w:rPr>
        <w:t xml:space="preserve">System Endpoints: </w:t>
      </w:r>
      <w:r>
        <w:rPr>
          <w:rFonts w:ascii="Arial" w:cs="Arial" w:eastAsia="Arial" w:hAnsi="Arial"/>
          <w:color w:val="2C3E50"/>
          <w:sz w:val="22"/>
          <w:szCs w:val="22"/>
        </w:rPr>
        <w:t xml:space="preserve">Sending application/facility, receiving application/facility, network addresses, ports, protocol (MLLP/MLLP-S).</w:t>
      </w:r>
    </w:p>
    <w:p>
      <w:pPr>
        <w:pStyle w:val="ListParagraph"/>
        <w:numPr>
          <w:ilvl w:val="0"/>
          <w:numId w:val="3"/>
        </w:numPr>
        <w:spacing w:before="50" w:after="50" w:line="310"/>
      </w:pPr>
      <w:r>
        <w:rPr>
          <w:rFonts w:ascii="Arial" w:cs="Arial" w:eastAsia="Arial" w:hAnsi="Arial"/>
          <w:b/>
          <w:bCs/>
          <w:color w:val="2C3E50"/>
          <w:sz w:val="22"/>
          <w:szCs w:val="22"/>
        </w:rPr>
        <w:t xml:space="preserve">Message Specification: </w:t>
      </w:r>
      <w:r>
        <w:rPr>
          <w:rFonts w:ascii="Arial" w:cs="Arial" w:eastAsia="Arial" w:hAnsi="Arial"/>
          <w:color w:val="2C3E50"/>
          <w:sz w:val="22"/>
          <w:szCs w:val="22"/>
        </w:rPr>
        <w:t xml:space="preserve">For each message type: segment usage table showing which segments are required (R), optional (O), conditional (C), or not used (X).</w:t>
      </w:r>
    </w:p>
    <w:p>
      <w:pPr>
        <w:pStyle w:val="ListParagraph"/>
        <w:numPr>
          <w:ilvl w:val="0"/>
          <w:numId w:val="3"/>
        </w:numPr>
        <w:spacing w:before="50" w:after="50" w:line="310"/>
      </w:pPr>
      <w:r>
        <w:rPr>
          <w:rFonts w:ascii="Arial" w:cs="Arial" w:eastAsia="Arial" w:hAnsi="Arial"/>
          <w:b/>
          <w:bCs/>
          <w:color w:val="2C3E50"/>
          <w:sz w:val="22"/>
          <w:szCs w:val="22"/>
        </w:rPr>
        <w:t xml:space="preserve">Segment Detail: </w:t>
      </w:r>
      <w:r>
        <w:rPr>
          <w:rFonts w:ascii="Arial" w:cs="Arial" w:eastAsia="Arial" w:hAnsi="Arial"/>
          <w:color w:val="2C3E50"/>
          <w:sz w:val="22"/>
          <w:szCs w:val="22"/>
        </w:rPr>
        <w:t xml:space="preserve">For each segment: field-by-field specification with field number, name, data type, length, optionality, value set/coding system, and example values.</w:t>
      </w:r>
    </w:p>
    <w:p>
      <w:pPr>
        <w:pStyle w:val="ListParagraph"/>
        <w:numPr>
          <w:ilvl w:val="0"/>
          <w:numId w:val="3"/>
        </w:numPr>
        <w:spacing w:before="50" w:after="50" w:line="310"/>
      </w:pPr>
      <w:r>
        <w:rPr>
          <w:rFonts w:ascii="Arial" w:cs="Arial" w:eastAsia="Arial" w:hAnsi="Arial"/>
          <w:b/>
          <w:bCs/>
          <w:color w:val="2C3E50"/>
          <w:sz w:val="22"/>
          <w:szCs w:val="22"/>
        </w:rPr>
        <w:t xml:space="preserve">Data Mapping: </w:t>
      </w:r>
      <w:r>
        <w:rPr>
          <w:rFonts w:ascii="Arial" w:cs="Arial" w:eastAsia="Arial" w:hAnsi="Arial"/>
          <w:color w:val="2C3E50"/>
          <w:sz w:val="22"/>
          <w:szCs w:val="22"/>
        </w:rPr>
        <w:t xml:space="preserve">If transformation is required: source field → destination field mapping with transformation logic.</w:t>
      </w:r>
    </w:p>
    <w:p>
      <w:pPr>
        <w:pStyle w:val="ListParagraph"/>
        <w:numPr>
          <w:ilvl w:val="0"/>
          <w:numId w:val="3"/>
        </w:numPr>
        <w:spacing w:before="50" w:after="50" w:line="310"/>
      </w:pPr>
      <w:r>
        <w:rPr>
          <w:rFonts w:ascii="Arial" w:cs="Arial" w:eastAsia="Arial" w:hAnsi="Arial"/>
          <w:b/>
          <w:bCs/>
          <w:color w:val="2C3E50"/>
          <w:sz w:val="22"/>
          <w:szCs w:val="22"/>
        </w:rPr>
        <w:t xml:space="preserve">Code Translation Tables: </w:t>
      </w:r>
      <w:r>
        <w:rPr>
          <w:rFonts w:ascii="Arial" w:cs="Arial" w:eastAsia="Arial" w:hAnsi="Arial"/>
          <w:color w:val="2C3E50"/>
          <w:sz w:val="22"/>
          <w:szCs w:val="22"/>
        </w:rPr>
        <w:t xml:space="preserve">Mapping between local codes and standard codes (sex codes, patient class codes, result status codes, facility codes).</w:t>
      </w:r>
    </w:p>
    <w:p>
      <w:pPr>
        <w:pStyle w:val="ListParagraph"/>
        <w:numPr>
          <w:ilvl w:val="0"/>
          <w:numId w:val="3"/>
        </w:numPr>
        <w:spacing w:before="50" w:after="50" w:line="310"/>
      </w:pPr>
      <w:r>
        <w:rPr>
          <w:rFonts w:ascii="Arial" w:cs="Arial" w:eastAsia="Arial" w:hAnsi="Arial"/>
          <w:b/>
          <w:bCs/>
          <w:color w:val="2C3E50"/>
          <w:sz w:val="22"/>
          <w:szCs w:val="22"/>
        </w:rPr>
        <w:t xml:space="preserve">Acknowledgment Specification: </w:t>
      </w:r>
      <w:r>
        <w:rPr>
          <w:rFonts w:ascii="Arial" w:cs="Arial" w:eastAsia="Arial" w:hAnsi="Arial"/>
          <w:color w:val="2C3E50"/>
          <w:sz w:val="22"/>
          <w:szCs w:val="22"/>
        </w:rPr>
        <w:t xml:space="preserve">ACK mode (original/enhanced), expected ACK codes, timeout values, retry behavior.</w:t>
      </w:r>
    </w:p>
    <w:p>
      <w:pPr>
        <w:pStyle w:val="ListParagraph"/>
        <w:numPr>
          <w:ilvl w:val="0"/>
          <w:numId w:val="3"/>
        </w:numPr>
        <w:spacing w:before="50" w:after="50" w:line="310"/>
      </w:pPr>
      <w:r>
        <w:rPr>
          <w:rFonts w:ascii="Arial" w:cs="Arial" w:eastAsia="Arial" w:hAnsi="Arial"/>
          <w:b/>
          <w:bCs/>
          <w:color w:val="2C3E50"/>
          <w:sz w:val="22"/>
          <w:szCs w:val="22"/>
        </w:rPr>
        <w:t xml:space="preserve">Error Handling: </w:t>
      </w:r>
      <w:r>
        <w:rPr>
          <w:rFonts w:ascii="Arial" w:cs="Arial" w:eastAsia="Arial" w:hAnsi="Arial"/>
          <w:color w:val="2C3E50"/>
          <w:sz w:val="22"/>
          <w:szCs w:val="22"/>
        </w:rPr>
        <w:t xml:space="preserve">How errors are detected, classified, reported, escalated, and resolved.</w:t>
      </w:r>
    </w:p>
    <w:p>
      <w:pPr>
        <w:pStyle w:val="ListParagraph"/>
        <w:numPr>
          <w:ilvl w:val="0"/>
          <w:numId w:val="3"/>
        </w:numPr>
        <w:spacing w:before="50" w:after="50" w:line="310"/>
      </w:pPr>
      <w:r>
        <w:rPr>
          <w:rFonts w:ascii="Arial" w:cs="Arial" w:eastAsia="Arial" w:hAnsi="Arial"/>
          <w:b/>
          <w:bCs/>
          <w:color w:val="2C3E50"/>
          <w:sz w:val="22"/>
          <w:szCs w:val="22"/>
        </w:rPr>
        <w:t xml:space="preserve">Security: </w:t>
      </w:r>
      <w:r>
        <w:rPr>
          <w:rFonts w:ascii="Arial" w:cs="Arial" w:eastAsia="Arial" w:hAnsi="Arial"/>
          <w:color w:val="2C3E50"/>
          <w:sz w:val="22"/>
          <w:szCs w:val="22"/>
        </w:rPr>
        <w:t xml:space="preserve">TLS version requirements, mutual authentication, certificate management, PHI handling.</w:t>
      </w:r>
    </w:p>
    <w:p>
      <w:pPr>
        <w:pStyle w:val="ListParagraph"/>
        <w:numPr>
          <w:ilvl w:val="0"/>
          <w:numId w:val="3"/>
        </w:numPr>
        <w:spacing w:before="50" w:after="50" w:line="310"/>
      </w:pPr>
      <w:r>
        <w:rPr>
          <w:rFonts w:ascii="Arial" w:cs="Arial" w:eastAsia="Arial" w:hAnsi="Arial"/>
          <w:b/>
          <w:bCs/>
          <w:color w:val="2C3E50"/>
          <w:sz w:val="22"/>
          <w:szCs w:val="22"/>
        </w:rPr>
        <w:t xml:space="preserve">Testing Requirements: </w:t>
      </w:r>
      <w:r>
        <w:rPr>
          <w:rFonts w:ascii="Arial" w:cs="Arial" w:eastAsia="Arial" w:hAnsi="Arial"/>
          <w:color w:val="2C3E50"/>
          <w:sz w:val="22"/>
          <w:szCs w:val="22"/>
        </w:rPr>
        <w:t xml:space="preserve">Test scenarios, sample messages, acceptance criteria, testing environment details.</w:t>
      </w:r>
    </w:p>
    <w:p>
      <w:pPr>
        <w:pStyle w:val="ListParagraph"/>
        <w:numPr>
          <w:ilvl w:val="0"/>
          <w:numId w:val="3"/>
        </w:numPr>
        <w:spacing w:before="50" w:after="50" w:line="310"/>
      </w:pPr>
      <w:r>
        <w:rPr>
          <w:rFonts w:ascii="Arial" w:cs="Arial" w:eastAsia="Arial" w:hAnsi="Arial"/>
          <w:b/>
          <w:bCs/>
          <w:color w:val="2C3E50"/>
          <w:sz w:val="22"/>
          <w:szCs w:val="22"/>
        </w:rPr>
        <w:t xml:space="preserve">Operational Information: </w:t>
      </w:r>
      <w:r>
        <w:rPr>
          <w:rFonts w:ascii="Arial" w:cs="Arial" w:eastAsia="Arial" w:hAnsi="Arial"/>
          <w:color w:val="2C3E50"/>
          <w:sz w:val="22"/>
          <w:szCs w:val="22"/>
        </w:rPr>
        <w:t xml:space="preserve">Expected message volumes, peak hours, monitoring requirements, support contacts, maintenance windows.</w:t>
      </w:r>
    </w:p>
    <w:p>
      <w:pPr>
        <w:spacing w:before="120" w:after="120"/>
      </w:pPr>
    </w:p>
    <w:p>
      <w:pPr>
        <w:pStyle w:val="Heading2"/>
        <w:spacing w:before="340" w:after="160"/>
      </w:pPr>
      <w:r>
        <w:rPr>
          <w:rFonts w:ascii="Arial" w:cs="Arial" w:eastAsia="Arial" w:hAnsi="Arial"/>
          <w:b/>
          <w:bCs/>
          <w:color w:val="1A6FA5"/>
          <w:sz w:val="30"/>
          <w:szCs w:val="30"/>
        </w:rPr>
        <w:t xml:space="preserve">6.2 Segment Usage Table Example</w:t>
      </w:r>
    </w:p>
    <w:p>
      <w:pPr>
        <w:spacing w:before="60" w:after="100" w:line="340"/>
      </w:pPr>
      <w:r>
        <w:rPr>
          <w:rFonts w:ascii="Arial" w:cs="Arial" w:eastAsia="Arial" w:hAnsi="Arial"/>
          <w:color w:val="2C3E50"/>
          <w:sz w:val="22"/>
          <w:szCs w:val="22"/>
        </w:rPr>
        <w:t xml:space="preserve">The segment usage table defines which segments are present in each message type: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000"/>
        <w:gridCol w:w="1000"/>
        <w:gridCol w:w="1000"/>
        <w:gridCol w:w="4460"/>
      </w:tblGrid>
      <w:tr>
        <w:trPr>
          <w:tblHeader/>
        </w:trPr>
        <w:tc>
          <w:tcPr>
            <w:tcW w:type="dxa" w:w="9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10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ADT^A01</w:t>
            </w:r>
          </w:p>
        </w:tc>
        <w:tc>
          <w:tcPr>
            <w:tcW w:type="dxa" w:w="10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ADT^A03</w:t>
            </w:r>
          </w:p>
        </w:tc>
        <w:tc>
          <w:tcPr>
            <w:tcW w:type="dxa" w:w="10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ADT^A08</w:t>
            </w:r>
          </w:p>
        </w:tc>
        <w:tc>
          <w:tcPr>
            <w:tcW w:type="dxa" w:w="10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ADT^A34</w:t>
            </w:r>
          </w:p>
        </w:tc>
        <w:tc>
          <w:tcPr>
            <w:tcW w:type="dxa" w:w="44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tcPr>
          <w:p>
            <w:r>
              <w:rPr>
                <w:rFonts w:ascii="Arial" w:cs="Arial" w:eastAsia="Arial" w:hAnsi="Arial"/>
                <w:b/>
                <w:bCs/>
                <w:color w:val="FFFFFF"/>
                <w:sz w:val="20"/>
                <w:szCs w:val="20"/>
              </w:rPr>
              <w:t xml:space="preserve">Usage Notes</w:t>
            </w:r>
          </w:p>
        </w:tc>
      </w:tr>
      <w:tr>
        <w:tc>
          <w:tcPr>
            <w:tcW w:type="dxa" w:w="9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MSH</w:t>
            </w:r>
          </w:p>
        </w:tc>
        <w:tc>
          <w:tcPr>
            <w:tcW w:type="dxa" w:w="1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R</w:t>
            </w:r>
          </w:p>
        </w:tc>
        <w:tc>
          <w:tcPr>
            <w:tcW w:type="dxa" w:w="1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R</w:t>
            </w:r>
          </w:p>
        </w:tc>
        <w:tc>
          <w:tcPr>
            <w:tcW w:type="dxa" w:w="1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R</w:t>
            </w:r>
          </w:p>
        </w:tc>
        <w:tc>
          <w:tcPr>
            <w:tcW w:type="dxa" w:w="1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R</w:t>
            </w:r>
          </w:p>
        </w:tc>
        <w:tc>
          <w:tcPr>
            <w:tcW w:type="dxa" w:w="44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Required in all messages</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EVN</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w:t>
            </w:r>
          </w:p>
        </w:tc>
        <w:tc>
          <w:tcPr>
            <w:tcW w:type="dxa" w:w="44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Event type and timestamp</w:t>
            </w:r>
          </w:p>
        </w:tc>
      </w:tr>
      <w:tr>
        <w:tc>
          <w:tcPr>
            <w:tcW w:type="dxa" w:w="9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PID</w:t>
            </w:r>
          </w:p>
        </w:tc>
        <w:tc>
          <w:tcPr>
            <w:tcW w:type="dxa" w:w="1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R</w:t>
            </w:r>
          </w:p>
        </w:tc>
        <w:tc>
          <w:tcPr>
            <w:tcW w:type="dxa" w:w="1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R</w:t>
            </w:r>
          </w:p>
        </w:tc>
        <w:tc>
          <w:tcPr>
            <w:tcW w:type="dxa" w:w="1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R</w:t>
            </w:r>
          </w:p>
        </w:tc>
        <w:tc>
          <w:tcPr>
            <w:tcW w:type="dxa" w:w="1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R</w:t>
            </w:r>
          </w:p>
        </w:tc>
        <w:tc>
          <w:tcPr>
            <w:tcW w:type="dxa" w:w="44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Patient demographics</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PD1</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O</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O</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O</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X</w:t>
            </w:r>
          </w:p>
        </w:tc>
        <w:tc>
          <w:tcPr>
            <w:tcW w:type="dxa" w:w="44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Additional demographics (PCP, living will)</w:t>
            </w:r>
          </w:p>
        </w:tc>
      </w:tr>
      <w:tr>
        <w:tc>
          <w:tcPr>
            <w:tcW w:type="dxa" w:w="9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MRG</w:t>
            </w:r>
          </w:p>
        </w:tc>
        <w:tc>
          <w:tcPr>
            <w:tcW w:type="dxa" w:w="1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X</w:t>
            </w:r>
          </w:p>
        </w:tc>
        <w:tc>
          <w:tcPr>
            <w:tcW w:type="dxa" w:w="1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X</w:t>
            </w:r>
          </w:p>
        </w:tc>
        <w:tc>
          <w:tcPr>
            <w:tcW w:type="dxa" w:w="1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X</w:t>
            </w:r>
          </w:p>
        </w:tc>
        <w:tc>
          <w:tcPr>
            <w:tcW w:type="dxa" w:w="1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R</w:t>
            </w:r>
          </w:p>
        </w:tc>
        <w:tc>
          <w:tcPr>
            <w:tcW w:type="dxa" w:w="44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Required for merges: contains old MRN</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NK1</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O</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X</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O</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X</w:t>
            </w:r>
          </w:p>
        </w:tc>
        <w:tc>
          <w:tcPr>
            <w:tcW w:type="dxa" w:w="44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Next of kin — sent with admits and updates</w:t>
            </w:r>
          </w:p>
        </w:tc>
      </w:tr>
      <w:tr>
        <w:tc>
          <w:tcPr>
            <w:tcW w:type="dxa" w:w="9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PV1</w:t>
            </w:r>
          </w:p>
        </w:tc>
        <w:tc>
          <w:tcPr>
            <w:tcW w:type="dxa" w:w="1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R</w:t>
            </w:r>
          </w:p>
        </w:tc>
        <w:tc>
          <w:tcPr>
            <w:tcW w:type="dxa" w:w="1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R</w:t>
            </w:r>
          </w:p>
        </w:tc>
        <w:tc>
          <w:tcPr>
            <w:tcW w:type="dxa" w:w="1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R</w:t>
            </w:r>
          </w:p>
        </w:tc>
        <w:tc>
          <w:tcPr>
            <w:tcW w:type="dxa" w:w="1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O</w:t>
            </w:r>
          </w:p>
        </w:tc>
        <w:tc>
          <w:tcPr>
            <w:tcW w:type="dxa" w:w="44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Required for encounter-based events</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PV2</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O</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O</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O</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X</w:t>
            </w:r>
          </w:p>
        </w:tc>
        <w:tc>
          <w:tcPr>
            <w:tcW w:type="dxa" w:w="44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Additional visit info (admit reason, expected dates)</w:t>
            </w:r>
          </w:p>
        </w:tc>
      </w:tr>
      <w:tr>
        <w:tc>
          <w:tcPr>
            <w:tcW w:type="dxa" w:w="9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IN1</w:t>
            </w:r>
          </w:p>
        </w:tc>
        <w:tc>
          <w:tcPr>
            <w:tcW w:type="dxa" w:w="1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O</w:t>
            </w:r>
          </w:p>
        </w:tc>
        <w:tc>
          <w:tcPr>
            <w:tcW w:type="dxa" w:w="1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X</w:t>
            </w:r>
          </w:p>
        </w:tc>
        <w:tc>
          <w:tcPr>
            <w:tcW w:type="dxa" w:w="1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O</w:t>
            </w:r>
          </w:p>
        </w:tc>
        <w:tc>
          <w:tcPr>
            <w:tcW w:type="dxa" w:w="1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X</w:t>
            </w:r>
          </w:p>
        </w:tc>
        <w:tc>
          <w:tcPr>
            <w:tcW w:type="dxa" w:w="44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Insurance (primary, secondary)</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IN2</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O</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X</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O</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X</w:t>
            </w:r>
          </w:p>
        </w:tc>
        <w:tc>
          <w:tcPr>
            <w:tcW w:type="dxa" w:w="44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Additional insurance detail</w:t>
            </w:r>
          </w:p>
        </w:tc>
      </w:tr>
      <w:tr>
        <w:tc>
          <w:tcPr>
            <w:tcW w:type="dxa" w:w="9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DG1</w:t>
            </w:r>
          </w:p>
        </w:tc>
        <w:tc>
          <w:tcPr>
            <w:tcW w:type="dxa" w:w="1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O</w:t>
            </w:r>
          </w:p>
        </w:tc>
        <w:tc>
          <w:tcPr>
            <w:tcW w:type="dxa" w:w="1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R</w:t>
            </w:r>
          </w:p>
        </w:tc>
        <w:tc>
          <w:tcPr>
            <w:tcW w:type="dxa" w:w="1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O</w:t>
            </w:r>
          </w:p>
        </w:tc>
        <w:tc>
          <w:tcPr>
            <w:tcW w:type="dxa" w:w="1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X</w:t>
            </w:r>
          </w:p>
        </w:tc>
        <w:tc>
          <w:tcPr>
            <w:tcW w:type="dxa" w:w="44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Diagnoses (required at discharge for billing)</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GT1</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O</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X</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O</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X</w:t>
            </w:r>
          </w:p>
        </w:tc>
        <w:tc>
          <w:tcPr>
            <w:tcW w:type="dxa" w:w="44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Guarantor information</w:t>
            </w:r>
          </w:p>
        </w:tc>
      </w:tr>
      <w:tr>
        <w:tc>
          <w:tcPr>
            <w:tcW w:type="dxa" w:w="9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AL1</w:t>
            </w:r>
          </w:p>
        </w:tc>
        <w:tc>
          <w:tcPr>
            <w:tcW w:type="dxa" w:w="1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O</w:t>
            </w:r>
          </w:p>
        </w:tc>
        <w:tc>
          <w:tcPr>
            <w:tcW w:type="dxa" w:w="1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X</w:t>
            </w:r>
          </w:p>
        </w:tc>
        <w:tc>
          <w:tcPr>
            <w:tcW w:type="dxa" w:w="1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O</w:t>
            </w:r>
          </w:p>
        </w:tc>
        <w:tc>
          <w:tcPr>
            <w:tcW w:type="dxa" w:w="100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X</w:t>
            </w:r>
          </w:p>
        </w:tc>
        <w:tc>
          <w:tcPr>
            <w:tcW w:type="dxa" w:w="446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Arial" w:cs="Arial" w:eastAsia="Arial" w:hAnsi="Arial"/>
                <w:color w:val="2C3E50"/>
                <w:sz w:val="20"/>
                <w:szCs w:val="20"/>
              </w:rPr>
              <w:t xml:space="preserve">Allergies</w:t>
            </w:r>
          </w:p>
        </w:tc>
      </w:tr>
    </w:tbl>
    <w:p>
      <w:pPr>
        <w:spacing w:before="120" w:after="120"/>
      </w:pPr>
    </w:p>
    <w:p>
      <w:pPr>
        <w:pStyle w:val="Heading2"/>
        <w:spacing w:before="340" w:after="160"/>
      </w:pPr>
      <w:r>
        <w:rPr>
          <w:rFonts w:ascii="Arial" w:cs="Arial" w:eastAsia="Arial" w:hAnsi="Arial"/>
          <w:b/>
          <w:bCs/>
          <w:color w:val="1A6FA5"/>
          <w:sz w:val="30"/>
          <w:szCs w:val="30"/>
        </w:rPr>
        <w:t xml:space="preserve">6.3 Negotiating ISDs with Trading Partners</w:t>
      </w:r>
    </w:p>
    <w:p>
      <w:pPr>
        <w:spacing w:before="60" w:after="100" w:line="340"/>
      </w:pPr>
      <w:r>
        <w:rPr>
          <w:rFonts w:ascii="Arial" w:cs="Arial" w:eastAsia="Arial" w:hAnsi="Arial"/>
          <w:color w:val="2C3E50"/>
          <w:sz w:val="22"/>
          <w:szCs w:val="22"/>
        </w:rPr>
        <w:t xml:space="preserve">ISD negotiation is as much a communication skill as a technical skill:</w:t>
      </w:r>
    </w:p>
    <w:p>
      <w:pPr>
        <w:pStyle w:val="ListParagraph"/>
        <w:numPr>
          <w:ilvl w:val="0"/>
          <w:numId w:val="2"/>
        </w:numPr>
        <w:spacing w:before="40" w:after="40" w:line="310"/>
      </w:pPr>
      <w:r>
        <w:rPr>
          <w:rFonts w:ascii="Arial" w:cs="Arial" w:eastAsia="Arial" w:hAnsi="Arial"/>
          <w:b/>
          <w:bCs/>
          <w:color w:val="2C3E50"/>
          <w:sz w:val="22"/>
          <w:szCs w:val="22"/>
        </w:rPr>
        <w:t xml:space="preserve">Start with Their Specification: </w:t>
      </w:r>
      <w:r>
        <w:rPr>
          <w:rFonts w:ascii="Arial" w:cs="Arial" w:eastAsia="Arial" w:hAnsi="Arial"/>
          <w:color w:val="2C3E50"/>
          <w:sz w:val="22"/>
          <w:szCs w:val="22"/>
        </w:rPr>
        <w:t xml:space="preserve">Request the trading partner’s existing ISD first. It is easier to negotiate from their baseline than to start from scratch.</w:t>
      </w:r>
    </w:p>
    <w:p>
      <w:pPr>
        <w:pStyle w:val="ListParagraph"/>
        <w:numPr>
          <w:ilvl w:val="0"/>
          <w:numId w:val="2"/>
        </w:numPr>
        <w:spacing w:before="40" w:after="40" w:line="310"/>
      </w:pPr>
      <w:r>
        <w:rPr>
          <w:rFonts w:ascii="Arial" w:cs="Arial" w:eastAsia="Arial" w:hAnsi="Arial"/>
          <w:b/>
          <w:bCs/>
          <w:color w:val="2C3E50"/>
          <w:sz w:val="22"/>
          <w:szCs w:val="22"/>
        </w:rPr>
        <w:t xml:space="preserve">Identify Non-Negotiables: </w:t>
      </w:r>
      <w:r>
        <w:rPr>
          <w:rFonts w:ascii="Arial" w:cs="Arial" w:eastAsia="Arial" w:hAnsi="Arial"/>
          <w:color w:val="2C3E50"/>
          <w:sz w:val="22"/>
          <w:szCs w:val="22"/>
        </w:rPr>
        <w:t xml:space="preserve">Determine which fields your system absolutely requires (MRN, patient name, DOB) vs. nice-to-have fields.</w:t>
      </w:r>
    </w:p>
    <w:p>
      <w:pPr>
        <w:pStyle w:val="ListParagraph"/>
        <w:numPr>
          <w:ilvl w:val="0"/>
          <w:numId w:val="2"/>
        </w:numPr>
        <w:spacing w:before="40" w:after="40" w:line="310"/>
      </w:pPr>
      <w:r>
        <w:rPr>
          <w:rFonts w:ascii="Arial" w:cs="Arial" w:eastAsia="Arial" w:hAnsi="Arial"/>
          <w:b/>
          <w:bCs/>
          <w:color w:val="2C3E50"/>
          <w:sz w:val="22"/>
          <w:szCs w:val="22"/>
        </w:rPr>
        <w:t xml:space="preserve">Code System Alignment: </w:t>
      </w:r>
      <w:r>
        <w:rPr>
          <w:rFonts w:ascii="Arial" w:cs="Arial" w:eastAsia="Arial" w:hAnsi="Arial"/>
          <w:color w:val="2C3E50"/>
          <w:sz w:val="22"/>
          <w:szCs w:val="22"/>
        </w:rPr>
        <w:t xml:space="preserve">Agree on coding systems early (LOINC for labs, ICD-10 for diagnoses, RxNorm for meds). If the partner uses local codes, negotiate who is responsible for code translation.</w:t>
      </w:r>
    </w:p>
    <w:p>
      <w:pPr>
        <w:pStyle w:val="ListParagraph"/>
        <w:numPr>
          <w:ilvl w:val="0"/>
          <w:numId w:val="2"/>
        </w:numPr>
        <w:spacing w:before="40" w:after="40" w:line="310"/>
      </w:pPr>
      <w:r>
        <w:rPr>
          <w:rFonts w:ascii="Arial" w:cs="Arial" w:eastAsia="Arial" w:hAnsi="Arial"/>
          <w:b/>
          <w:bCs/>
          <w:color w:val="2C3E50"/>
          <w:sz w:val="22"/>
          <w:szCs w:val="22"/>
        </w:rPr>
        <w:t xml:space="preserve">Sample Messages: </w:t>
      </w:r>
      <w:r>
        <w:rPr>
          <w:rFonts w:ascii="Arial" w:cs="Arial" w:eastAsia="Arial" w:hAnsi="Arial"/>
          <w:color w:val="2C3E50"/>
          <w:sz w:val="22"/>
          <w:szCs w:val="22"/>
        </w:rPr>
        <w:t xml:space="preserve">Exchange sample messages early in the process. Nothing reveals misunderstandings faster than looking at real data. Request at least 10 representative samples covering normal and edge cases.</w:t>
      </w:r>
    </w:p>
    <w:p>
      <w:pPr>
        <w:pStyle w:val="ListParagraph"/>
        <w:numPr>
          <w:ilvl w:val="0"/>
          <w:numId w:val="2"/>
        </w:numPr>
        <w:spacing w:before="40" w:after="40" w:line="310"/>
      </w:pPr>
      <w:r>
        <w:rPr>
          <w:rFonts w:ascii="Arial" w:cs="Arial" w:eastAsia="Arial" w:hAnsi="Arial"/>
          <w:b/>
          <w:bCs/>
          <w:color w:val="2C3E50"/>
          <w:sz w:val="22"/>
          <w:szCs w:val="22"/>
        </w:rPr>
        <w:t xml:space="preserve">Version Control: </w:t>
      </w:r>
      <w:r>
        <w:rPr>
          <w:rFonts w:ascii="Arial" w:cs="Arial" w:eastAsia="Arial" w:hAnsi="Arial"/>
          <w:color w:val="2C3E50"/>
          <w:sz w:val="22"/>
          <w:szCs w:val="22"/>
        </w:rPr>
        <w:t xml:space="preserve">ISDs evolve. Establish a version control process and agree on how changes will be communicated, approved, and implemented.</w:t>
      </w:r>
    </w:p>
    <w:p>
      <w:pPr>
        <w:pStyle w:val="ListParagraph"/>
        <w:numPr>
          <w:ilvl w:val="0"/>
          <w:numId w:val="2"/>
        </w:numPr>
        <w:spacing w:before="40" w:after="40" w:line="310"/>
      </w:pPr>
      <w:r>
        <w:rPr>
          <w:rFonts w:ascii="Arial" w:cs="Arial" w:eastAsia="Arial" w:hAnsi="Arial"/>
          <w:b/>
          <w:bCs/>
          <w:color w:val="2C3E50"/>
          <w:sz w:val="22"/>
          <w:szCs w:val="22"/>
        </w:rPr>
        <w:t xml:space="preserve">Test Plan Agreement: </w:t>
      </w:r>
      <w:r>
        <w:rPr>
          <w:rFonts w:ascii="Arial" w:cs="Arial" w:eastAsia="Arial" w:hAnsi="Arial"/>
          <w:color w:val="2C3E50"/>
          <w:sz w:val="22"/>
          <w:szCs w:val="22"/>
        </w:rPr>
        <w:t xml:space="preserve">Include a joint testing plan in the ISD. Agree on test scenarios, who provides test data, acceptance criteria, and the go-live decision process.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8"/>
              <w:bottom w:val="single" w:color="1E8449" w:sz="1"/>
              <w:right w:val="single" w:color="1E8449" w:sz="1"/>
            </w:tcBorders>
            <w:shd w:fill="EAFAF1" w:val="clear"/>
            <w:tcMar>
              <w:top w:type="dxa" w:w="140"/>
              <w:left w:type="dxa" w:w="200"/>
              <w:bottom w:type="dxa" w:w="140"/>
              <w:right w:type="dxa" w:w="200"/>
            </w:tcMar>
          </w:tcPr>
          <w:p>
            <w:pPr>
              <w:spacing w:after="80"/>
            </w:pPr>
            <w:r>
              <w:rPr>
                <w:rFonts w:ascii="Arial" w:cs="Arial" w:eastAsia="Arial" w:hAnsi="Arial"/>
                <w:b/>
                <w:bCs/>
                <w:color w:val="0D3B66"/>
                <w:sz w:val="22"/>
                <w:szCs w:val="22"/>
              </w:rPr>
              <w:t xml:space="preserve">Level 2.2 Completion Checklist</w:t>
            </w:r>
          </w:p>
          <w:p>
            <w:pPr>
              <w:spacing w:before="40" w:after="40"/>
            </w:pPr>
            <w:r>
              <w:rPr>
                <w:rFonts w:ascii="Arial" w:cs="Arial" w:eastAsia="Arial" w:hAnsi="Arial"/>
                <w:color w:val="2C3E50"/>
                <w:sz w:val="20"/>
                <w:szCs w:val="20"/>
              </w:rPr>
              <w:t xml:space="preserve">You have achieved HL7 v2 messaging mastery when you can:</w:t>
            </w:r>
          </w:p>
          <w:p>
            <w:pPr>
              <w:spacing w:before="40" w:after="40"/>
            </w:pPr>
            <w:r>
              <w:rPr>
                <w:rFonts w:ascii="Arial" w:cs="Arial" w:eastAsia="Arial" w:hAnsi="Arial"/>
                <w:color w:val="2C3E50"/>
                <w:sz w:val="20"/>
                <w:szCs w:val="20"/>
              </w:rPr>
              <w:t xml:space="preserve">1. Read any raw HL7 v2 message and identify the event, patient, and clinical data at the field/component level.</w:t>
            </w:r>
          </w:p>
          <w:p>
            <w:pPr>
              <w:spacing w:before="40" w:after="40"/>
            </w:pPr>
            <w:r>
              <w:rPr>
                <w:rFonts w:ascii="Arial" w:cs="Arial" w:eastAsia="Arial" w:hAnsi="Arial"/>
                <w:color w:val="2C3E50"/>
                <w:sz w:val="20"/>
                <w:szCs w:val="20"/>
              </w:rPr>
              <w:t xml:space="preserve">2. Design interfaces for all ADT event types including merges (A34/A40) and cancel events (A11/A13).</w:t>
            </w:r>
          </w:p>
          <w:p>
            <w:pPr>
              <w:spacing w:before="40" w:after="40"/>
            </w:pPr>
            <w:r>
              <w:rPr>
                <w:rFonts w:ascii="Arial" w:cs="Arial" w:eastAsia="Arial" w:hAnsi="Arial"/>
                <w:color w:val="2C3E50"/>
                <w:sz w:val="20"/>
                <w:szCs w:val="20"/>
              </w:rPr>
              <w:t xml:space="preserve">3. Build ORU result interfaces that correctly handle preliminary, final, corrected, and cancelled results.</w:t>
            </w:r>
          </w:p>
          <w:p>
            <w:pPr>
              <w:spacing w:before="40" w:after="40"/>
            </w:pPr>
            <w:r>
              <w:rPr>
                <w:rFonts w:ascii="Arial" w:cs="Arial" w:eastAsia="Arial" w:hAnsi="Arial"/>
                <w:color w:val="2C3E50"/>
                <w:sz w:val="20"/>
                <w:szCs w:val="20"/>
              </w:rPr>
              <w:t xml:space="preserve">4. Design and document Z-segments following governance best practices.</w:t>
            </w:r>
          </w:p>
          <w:p>
            <w:pPr>
              <w:spacing w:before="40" w:after="40"/>
            </w:pPr>
            <w:r>
              <w:rPr>
                <w:rFonts w:ascii="Arial" w:cs="Arial" w:eastAsia="Arial" w:hAnsi="Arial"/>
                <w:color w:val="2C3E50"/>
                <w:sz w:val="20"/>
                <w:szCs w:val="20"/>
              </w:rPr>
              <w:t xml:space="preserve">5. Configure both Original and Enhanced mode acknowledgment patterns with proper error handling.</w:t>
            </w:r>
          </w:p>
          <w:p>
            <w:pPr>
              <w:spacing w:before="40" w:after="40"/>
            </w:pPr>
            <w:r>
              <w:rPr>
                <w:rFonts w:ascii="Arial" w:cs="Arial" w:eastAsia="Arial" w:hAnsi="Arial"/>
                <w:color w:val="2C3E50"/>
                <w:sz w:val="20"/>
                <w:szCs w:val="20"/>
              </w:rPr>
              <w:t xml:space="preserve">6. Troubleshoot MLLP connectivity issues using command-line tools (telnet, openssl, Wireshark).</w:t>
            </w:r>
          </w:p>
          <w:p>
            <w:pPr>
              <w:spacing w:before="40" w:after="40"/>
            </w:pPr>
            <w:r>
              <w:rPr>
                <w:rFonts w:ascii="Arial" w:cs="Arial" w:eastAsia="Arial" w:hAnsi="Arial"/>
                <w:color w:val="2C3E50"/>
                <w:sz w:val="20"/>
                <w:szCs w:val="20"/>
              </w:rPr>
              <w:t xml:space="preserve">7. Author a complete Interface Specification Document and negotiate it with a trading partner.</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BDC3C7"/>
        <w:sz w:val="18"/>
        <w:szCs w:val="18"/>
      </w:rPr>
      <w:t xml:space="preserve">Page </w:t>
    </w:r>
    <w:r>
      <w:rPr>
        <w:rFonts w:ascii="Arial" w:cs="Arial" w:eastAsia="Arial" w:hAnsi="Arial"/>
        <w:color w:val="BDC3C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E6F1" w:sz="2" w:space="4"/>
      </w:pBdr>
      <w:tabs>
        <w:tab w:val="right" w:pos="9026"/>
      </w:tabs>
    </w:pPr>
    <w:r>
      <w:rPr>
        <w:rFonts w:ascii="Arial" w:cs="Arial" w:eastAsia="Arial" w:hAnsi="Arial"/>
        <w:i/>
        <w:iCs/>
        <w:color w:val="1A6FA5"/>
        <w:sz w:val="18"/>
        <w:szCs w:val="18"/>
      </w:rPr>
      <w:t xml:space="preserve">Deep Dive: HL7 v2 Messaging</w:t>
    </w:r>
    <w:r>
      <w:rPr>
        <w:rFonts w:ascii="Arial" w:cs="Arial" w:eastAsia="Arial" w:hAnsi="Arial"/>
        <w:color w:val="1A6FA5"/>
        <w:sz w:val="18"/>
        <w:szCs w:val="18"/>
      </w:rPr>
      <w:t xml:space="preserve">	Section 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3B66"/>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A6FA5"/>
      <w:sz w:val="30"/>
      <w:szCs w:val="30"/>
    </w:rPr>
  </w:style>
  <w:style w:type="paragraph" w:styleId="Heading3">
    <w:name w:val="Heading 3"/>
    <w:basedOn w:val="Normal"/>
    <w:next w:val="Normal"/>
    <w:qFormat/>
    <w:pPr>
      <w:spacing w:before="260" w:after="120"/>
      <w:outlineLvl w:val="2"/>
    </w:pPr>
    <w:rPr>
      <w:rFonts w:ascii="Arial" w:cs="Arial" w:eastAsia="Arial" w:hAnsi="Arial"/>
      <w:b/>
      <w:bCs/>
      <w:color w:val="2980B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2026-02-27T10:27:17.327Z</dcterms:created>
  <dcterms:modified xsi:type="dcterms:W3CDTF">2026-02-27T10:27:17.328Z</dcterms:modified>
</cp:coreProperties>
</file>

<file path=docProps/custom.xml><?xml version="1.0" encoding="utf-8"?>
<Properties xmlns="http://schemas.openxmlformats.org/officeDocument/2006/custom-properties" xmlns:vt="http://schemas.openxmlformats.org/officeDocument/2006/docPropsVTypes"/>
</file>