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p>
    <w:p>
      <w:pPr>
        <w:spacing w:after="80"/>
        <w:jc w:val="center"/>
      </w:pPr>
      <w:r>
        <w:rPr>
          <w:rFonts w:ascii="Arial" w:cs="Arial" w:eastAsia="Arial" w:hAnsi="Arial"/>
          <w:b/>
          <w:bCs/>
          <w:color w:val="1A6FA5"/>
          <w:sz w:val="22"/>
          <w:szCs w:val="22"/>
        </w:rPr>
        <w:t xml:space="preserve">HEALTHCARE INTEGRATION ARCHITECT LEARNING PATH</w:t>
      </w:r>
    </w:p>
    <w:p>
      <w:pPr>
        <w:spacing w:after="40"/>
        <w:jc w:val="center"/>
      </w:pPr>
      <w:r>
        <w:rPr>
          <w:rFonts w:ascii="Arial" w:cs="Arial" w:eastAsia="Arial" w:hAnsi="Arial"/>
          <w:color w:val="7F8C8D"/>
          <w:sz w:val="22"/>
          <w:szCs w:val="22"/>
        </w:rPr>
        <w:t xml:space="preserve">Level 1  •  Section 1.3</w:t>
      </w:r>
    </w:p>
    <w:p>
      <w:pPr>
        <w:spacing w:before="200" w:after="200"/>
      </w:pPr>
    </w:p>
    <w:p>
      <w:pPr>
        <w:spacing w:after="100"/>
        <w:jc w:val="center"/>
      </w:pPr>
      <w:r>
        <w:rPr>
          <w:rFonts w:ascii="Arial" w:cs="Arial" w:eastAsia="Arial" w:hAnsi="Arial"/>
          <w:b/>
          <w:bCs/>
          <w:color w:val="0D3B66"/>
          <w:sz w:val="56"/>
          <w:szCs w:val="56"/>
        </w:rPr>
        <w:t xml:space="preserve">Introduction to</w:t>
      </w:r>
    </w:p>
    <w:p>
      <w:pPr>
        <w:spacing w:after="160"/>
        <w:jc w:val="center"/>
      </w:pPr>
      <w:r>
        <w:rPr>
          <w:rFonts w:ascii="Arial" w:cs="Arial" w:eastAsia="Arial" w:hAnsi="Arial"/>
          <w:b/>
          <w:bCs/>
          <w:color w:val="0D3B66"/>
          <w:sz w:val="56"/>
          <w:szCs w:val="56"/>
        </w:rPr>
        <w:t xml:space="preserve">Health IT Standards</w:t>
      </w:r>
    </w:p>
    <w:p>
      <w:pPr>
        <w:spacing w:before="80" w:after="80"/>
      </w:pPr>
    </w:p>
    <w:p>
      <w:pPr>
        <w:pBdr>
          <w:top w:val="single" w:color="1A6FA5" w:sz="3" w:space="10"/>
          <w:bottom w:val="single" w:color="1A6FA5" w:sz="3" w:space="10"/>
        </w:pBdr>
        <w:spacing w:before="80" w:after="80"/>
        <w:jc w:val="center"/>
      </w:pPr>
      <w:r>
        <w:rPr>
          <w:rFonts w:ascii="Arial" w:cs="Arial" w:eastAsia="Arial" w:hAnsi="Arial"/>
          <w:i/>
          <w:iCs/>
          <w:color w:val="2980B9"/>
          <w:sz w:val="24"/>
          <w:szCs w:val="24"/>
        </w:rPr>
        <w:t xml:space="preserve">A Complete In-Depth Technical Reference for Healthcare Integration Professionals</w:t>
      </w:r>
    </w:p>
    <w:p>
      <w:pPr>
        <w:spacing w:before="300" w:after="300"/>
      </w:pPr>
    </w:p>
    <w:p>
      <w:pPr>
        <w:jc w:val="center"/>
      </w:pPr>
      <w:r>
        <w:rPr>
          <w:rFonts w:ascii="Arial" w:cs="Arial" w:eastAsia="Arial" w:hAnsi="Arial"/>
          <w:color w:val="7F8C8D"/>
          <w:sz w:val="22"/>
          <w:szCs w:val="22"/>
        </w:rPr>
        <w:t xml:space="preserve">Covering:</w:t>
      </w:r>
    </w:p>
    <w:p>
      <w:pPr>
        <w:spacing w:before="80"/>
        <w:jc w:val="center"/>
      </w:pPr>
      <w:r>
        <w:rPr>
          <w:rFonts w:ascii="Arial" w:cs="Arial" w:eastAsia="Arial" w:hAnsi="Arial"/>
          <w:b/>
          <w:bCs/>
          <w:color w:val="2C3E50"/>
          <w:sz w:val="22"/>
          <w:szCs w:val="22"/>
        </w:rPr>
        <w:t xml:space="preserve">HL7 v2.x Messaging  •  FHIR  •  Terminology Systems  •  X12 EDI</w:t>
      </w:r>
    </w:p>
    <w:p>
      <w:pPr>
        <w:spacing w:before="600" w:after="600"/>
      </w:pPr>
    </w:p>
    <w:p>
      <w:pPr>
        <w:jc w:val="center"/>
      </w:pPr>
      <w:r>
        <w:rPr>
          <w:rFonts w:ascii="Arial" w:cs="Arial" w:eastAsia="Arial" w:hAnsi="Arial"/>
          <w:b/>
          <w:bCs/>
          <w:color w:val="0D3B66"/>
          <w:sz w:val="24"/>
          <w:szCs w:val="24"/>
        </w:rPr>
        <w:t xml:space="preserve">2026 Enhanced Edition</w:t>
      </w:r>
    </w:p>
    <w:p>
      <w:r>
        <w:br w:type="page"/>
      </w:r>
    </w:p>
    <w:p>
      <w:pPr>
        <w:sectPr>
          <w:pgSz w:w="12240" w:h="15840" w:orient="portrait"/>
          <w:pgMar w:top="1440" w:right="1440" w:bottom="1440" w:left="1440" w:header="708" w:footer="708" w:gutter="0"/>
          <w:pgNumType/>
          <w:docGrid w:linePitch="360"/>
        </w:sectPr>
      </w:pPr>
    </w:p>
    <w:p>
      <w:pPr>
        <w:pStyle w:val="Heading1"/>
        <w:spacing w:before="0" w:after="300"/>
      </w:pPr>
      <w:r>
        <w:rPr>
          <w:rFonts w:ascii="Arial" w:cs="Arial" w:eastAsia="Arial" w:hAnsi="Arial"/>
          <w:b/>
          <w:bCs/>
          <w:color w:val="0D3B6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Introduction</w:t>
      </w:r>
    </w:p>
    <w:p>
      <w:pPr>
        <w:spacing w:before="60" w:after="100" w:line="340"/>
      </w:pPr>
      <w:r>
        <w:rPr>
          <w:rFonts w:ascii="Arial" w:cs="Arial" w:eastAsia="Arial" w:hAnsi="Arial"/>
          <w:color w:val="2C3E50"/>
          <w:sz w:val="22"/>
          <w:szCs w:val="22"/>
        </w:rPr>
        <w:t xml:space="preserve">Health IT Standards are the formalized rules, formats, and protocols that enable healthcare systems to exchange data reliably and consistently. Without standards, every hospital, laboratory, pharmacy, and payer would store and transmit data in proprietary formats, making interoperability impossible. Standards are what transform healthcare data exchange from chaos into a structured, predictable, and scalable capability.</w:t>
      </w:r>
    </w:p>
    <w:p>
      <w:pPr>
        <w:spacing w:before="60" w:after="100" w:line="340"/>
      </w:pPr>
      <w:r>
        <w:rPr>
          <w:rFonts w:ascii="Arial" w:cs="Arial" w:eastAsia="Arial" w:hAnsi="Arial"/>
          <w:color w:val="2C3E50"/>
          <w:sz w:val="22"/>
          <w:szCs w:val="22"/>
        </w:rPr>
        <w:t xml:space="preserve">This document provides an exhaustive, in-depth exploration of the four foundational Health IT Standard areas defined in Section 1.3 of the Healthcare Integration Architect Learning Path. Each standard is explained from its history and purpose through its detailed technical structure, with real-world message examples, segment-by-segment breakdowns, and practical guidance on how these standards are implemented in actual healthcare integration environments.</w:t>
      </w:r>
    </w:p>
    <w:p>
      <w:pPr>
        <w:spacing w:before="60" w:after="100" w:line="340"/>
      </w:pPr>
      <w:r>
        <w:rPr>
          <w:rFonts w:ascii="Arial" w:cs="Arial" w:eastAsia="Arial" w:hAnsi="Arial"/>
          <w:color w:val="2C3E50"/>
          <w:sz w:val="22"/>
          <w:szCs w:val="22"/>
        </w:rPr>
        <w:t xml:space="preserve">The four foundational standard areas covered are:</w:t>
      </w:r>
    </w:p>
    <w:p>
      <w:pPr>
        <w:pStyle w:val="ListParagraph"/>
        <w:numPr>
          <w:ilvl w:val="0"/>
          <w:numId w:val="2"/>
        </w:numPr>
        <w:spacing w:before="40" w:after="40" w:line="310"/>
      </w:pPr>
      <w:r>
        <w:rPr>
          <w:rFonts w:ascii="Arial" w:cs="Arial" w:eastAsia="Arial" w:hAnsi="Arial"/>
          <w:b/>
          <w:bCs/>
          <w:color w:val="2C3E50"/>
          <w:sz w:val="22"/>
          <w:szCs w:val="22"/>
        </w:rPr>
        <w:t xml:space="preserve">HL7 v2.x Messaging — </w:t>
      </w:r>
      <w:r>
        <w:rPr>
          <w:rFonts w:ascii="Arial" w:cs="Arial" w:eastAsia="Arial" w:hAnsi="Arial"/>
          <w:color w:val="2C3E50"/>
          <w:sz w:val="22"/>
          <w:szCs w:val="22"/>
        </w:rPr>
        <w:t xml:space="preserve">The workhorse of healthcare data exchange, carrying billions of messages annually between EHRs, labs, pharmacies, radiology systems, and virtually every clinical application.</w:t>
      </w:r>
    </w:p>
    <w:p>
      <w:pPr>
        <w:pStyle w:val="ListParagraph"/>
        <w:numPr>
          <w:ilvl w:val="0"/>
          <w:numId w:val="2"/>
        </w:numPr>
        <w:spacing w:before="40" w:after="40" w:line="310"/>
      </w:pPr>
      <w:r>
        <w:rPr>
          <w:rFonts w:ascii="Arial" w:cs="Arial" w:eastAsia="Arial" w:hAnsi="Arial"/>
          <w:b/>
          <w:bCs/>
          <w:color w:val="2C3E50"/>
          <w:sz w:val="22"/>
          <w:szCs w:val="22"/>
        </w:rPr>
        <w:t xml:space="preserve">FHIR (Fast Healthcare Interoperability Resources) — </w:t>
      </w:r>
      <w:r>
        <w:rPr>
          <w:rFonts w:ascii="Arial" w:cs="Arial" w:eastAsia="Arial" w:hAnsi="Arial"/>
          <w:color w:val="2C3E50"/>
          <w:sz w:val="22"/>
          <w:szCs w:val="22"/>
        </w:rPr>
        <w:t xml:space="preserve">The modern, web-based standard that is transforming healthcare interoperability with RESTful APIs, JSON/XML resources, and a developer-friendly design.</w:t>
      </w:r>
    </w:p>
    <w:p>
      <w:pPr>
        <w:pStyle w:val="ListParagraph"/>
        <w:numPr>
          <w:ilvl w:val="0"/>
          <w:numId w:val="2"/>
        </w:numPr>
        <w:spacing w:before="40" w:after="40" w:line="310"/>
      </w:pPr>
      <w:r>
        <w:rPr>
          <w:rFonts w:ascii="Arial" w:cs="Arial" w:eastAsia="Arial" w:hAnsi="Arial"/>
          <w:b/>
          <w:bCs/>
          <w:color w:val="2C3E50"/>
          <w:sz w:val="22"/>
          <w:szCs w:val="22"/>
        </w:rPr>
        <w:t xml:space="preserve">Terminology Systems — </w:t>
      </w:r>
      <w:r>
        <w:rPr>
          <w:rFonts w:ascii="Arial" w:cs="Arial" w:eastAsia="Arial" w:hAnsi="Arial"/>
          <w:color w:val="2C3E50"/>
          <w:sz w:val="22"/>
          <w:szCs w:val="22"/>
        </w:rPr>
        <w:t xml:space="preserve">The standardized vocabularies (ICD-10, CPT, SNOMED CT, LOINC, RxNorm) that give meaning to clinical data and make it computable across systems.</w:t>
      </w:r>
    </w:p>
    <w:p>
      <w:pPr>
        <w:pStyle w:val="ListParagraph"/>
        <w:numPr>
          <w:ilvl w:val="0"/>
          <w:numId w:val="2"/>
        </w:numPr>
        <w:spacing w:before="40" w:after="40" w:line="310"/>
      </w:pPr>
      <w:r>
        <w:rPr>
          <w:rFonts w:ascii="Arial" w:cs="Arial" w:eastAsia="Arial" w:hAnsi="Arial"/>
          <w:b/>
          <w:bCs/>
          <w:color w:val="2C3E50"/>
          <w:sz w:val="22"/>
          <w:szCs w:val="22"/>
        </w:rPr>
        <w:t xml:space="preserve">X12 EDI — </w:t>
      </w:r>
      <w:r>
        <w:rPr>
          <w:rFonts w:ascii="Arial" w:cs="Arial" w:eastAsia="Arial" w:hAnsi="Arial"/>
          <w:color w:val="2C3E50"/>
          <w:sz w:val="22"/>
          <w:szCs w:val="22"/>
        </w:rPr>
        <w:t xml:space="preserve">The electronic data interchange standard that powers the financial side of healthcare: claims submission, eligibility verification, remittance advice, and claim status inquiries.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A5" w:sz="1"/>
              <w:left w:val="single" w:color="1A6FA5" w:sz="8"/>
              <w:bottom w:val="single" w:color="1A6FA5" w:sz="1"/>
              <w:right w:val="single" w:color="1A6FA5" w:sz="1"/>
            </w:tcBorders>
            <w:shd w:fill="EAF2F8"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Why Standards Matter for Integration Architects</w:t>
            </w:r>
          </w:p>
          <w:p>
            <w:pPr>
              <w:spacing w:before="40"/>
            </w:pPr>
            <w:r>
              <w:rPr>
                <w:rFonts w:ascii="Arial" w:cs="Arial" w:eastAsia="Arial" w:hAnsi="Arial"/>
                <w:color w:val="2C3E50"/>
                <w:sz w:val="20"/>
                <w:szCs w:val="20"/>
              </w:rPr>
              <w:t xml:space="preserve">Every interface you build is governed by one or more of these standards. An ADT feed between an EHR and a lab system uses HL7 v2. A patient-facing mobile app retrieves data via FHIR. A billing system submits claims using X12 EDI. Diagnosis codes in those messages use ICD-10, lab test identifiers use LOINC, and medications use RxNorm. Mastery of these standards is not optional — it is the core competency of a Healthcare Integration Architect.</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1. HL7 v2.x Messaging</w:t>
      </w:r>
    </w:p>
    <w:p>
      <w:pPr>
        <w:spacing w:before="60" w:after="100" w:line="340"/>
      </w:pPr>
      <w:r>
        <w:rPr>
          <w:rFonts w:ascii="Arial" w:cs="Arial" w:eastAsia="Arial" w:hAnsi="Arial"/>
          <w:color w:val="2C3E50"/>
          <w:sz w:val="22"/>
          <w:szCs w:val="22"/>
        </w:rPr>
        <w:t xml:space="preserve">HL7 version 2 (HL7 v2) is the most widely implemented healthcare messaging standard in the world. Originally developed in 1987, it has evolved through multiple versions (2.1 through 2.9) and remains the backbone of clinical data exchange in hospitals and health systems globally. Despite being over 35 years old, HL7 v2 carries the vast majority of real-time clinical messages between EHRs, laboratory systems, radiology systems, pharmacy systems, ADT systems, and ancillary applications.</w:t>
      </w:r>
    </w:p>
    <w:p>
      <w:pPr>
        <w:spacing w:before="60" w:after="100" w:line="340"/>
      </w:pPr>
      <w:r>
        <w:rPr>
          <w:rFonts w:ascii="Arial" w:cs="Arial" w:eastAsia="Arial" w:hAnsi="Arial"/>
          <w:color w:val="2C3E50"/>
          <w:sz w:val="22"/>
          <w:szCs w:val="22"/>
        </w:rPr>
        <w:t xml:space="preserve">Understanding HL7 v2 is non-negotiable for any healthcare integration professional. You will encounter HL7 v2 messages in virtually every healthcare organization, and the ability to read, parse, transform, and troubleshoot these messages is a foundational skill.</w:t>
      </w:r>
    </w:p>
    <w:p>
      <w:pPr>
        <w:pStyle w:val="Heading2"/>
        <w:spacing w:before="340" w:after="160"/>
      </w:pPr>
      <w:r>
        <w:rPr>
          <w:rFonts w:ascii="Arial" w:cs="Arial" w:eastAsia="Arial" w:hAnsi="Arial"/>
          <w:b/>
          <w:bCs/>
          <w:color w:val="1A6FA5"/>
          <w:sz w:val="30"/>
          <w:szCs w:val="30"/>
        </w:rPr>
        <w:t xml:space="preserve">1.1 History and Evolution of HL7 v2</w:t>
      </w:r>
    </w:p>
    <w:p>
      <w:pPr>
        <w:spacing w:before="60" w:after="100" w:line="340"/>
      </w:pPr>
      <w:r>
        <w:rPr>
          <w:rFonts w:ascii="Arial" w:cs="Arial" w:eastAsia="Arial" w:hAnsi="Arial"/>
          <w:color w:val="2C3E50"/>
          <w:sz w:val="22"/>
          <w:szCs w:val="22"/>
        </w:rPr>
        <w:t xml:space="preserve">Health Level Seven International (HL7) was founded in 1987 to develop standards for the exchange of clinical and administrative data between healthcare applications. The name refers to the seventh layer (Application) of the OSI networking model, reflecting the standard’s focus on application-level data exchange rather than network transport.</w:t>
      </w:r>
    </w:p>
    <w:p>
      <w:pPr>
        <w:pStyle w:val="ListParagraph"/>
        <w:numPr>
          <w:ilvl w:val="0"/>
          <w:numId w:val="2"/>
        </w:numPr>
        <w:spacing w:before="40" w:after="40" w:line="310"/>
      </w:pPr>
      <w:r>
        <w:rPr>
          <w:rFonts w:ascii="Arial" w:cs="Arial" w:eastAsia="Arial" w:hAnsi="Arial"/>
          <w:b/>
          <w:bCs/>
          <w:color w:val="2C3E50"/>
          <w:sz w:val="22"/>
          <w:szCs w:val="22"/>
        </w:rPr>
        <w:t xml:space="preserve">HL7 v2.1 (1990): </w:t>
      </w:r>
      <w:r>
        <w:rPr>
          <w:rFonts w:ascii="Arial" w:cs="Arial" w:eastAsia="Arial" w:hAnsi="Arial"/>
          <w:color w:val="2C3E50"/>
          <w:sz w:val="22"/>
          <w:szCs w:val="22"/>
        </w:rPr>
        <w:t xml:space="preserve">Initial release. Established basic message structure, limited message types.</w:t>
      </w:r>
    </w:p>
    <w:p>
      <w:pPr>
        <w:pStyle w:val="ListParagraph"/>
        <w:numPr>
          <w:ilvl w:val="0"/>
          <w:numId w:val="2"/>
        </w:numPr>
        <w:spacing w:before="40" w:after="40" w:line="310"/>
      </w:pPr>
      <w:r>
        <w:rPr>
          <w:rFonts w:ascii="Arial" w:cs="Arial" w:eastAsia="Arial" w:hAnsi="Arial"/>
          <w:b/>
          <w:bCs/>
          <w:color w:val="2C3E50"/>
          <w:sz w:val="22"/>
          <w:szCs w:val="22"/>
        </w:rPr>
        <w:t xml:space="preserve">HL7 v2.2 (1994): </w:t>
      </w:r>
      <w:r>
        <w:rPr>
          <w:rFonts w:ascii="Arial" w:cs="Arial" w:eastAsia="Arial" w:hAnsi="Arial"/>
          <w:color w:val="2C3E50"/>
          <w:sz w:val="22"/>
          <w:szCs w:val="22"/>
        </w:rPr>
        <w:t xml:space="preserve">Added query messages, expanded segment definitions, improved encoding rules.</w:t>
      </w:r>
    </w:p>
    <w:p>
      <w:pPr>
        <w:pStyle w:val="ListParagraph"/>
        <w:numPr>
          <w:ilvl w:val="0"/>
          <w:numId w:val="2"/>
        </w:numPr>
        <w:spacing w:before="40" w:after="40" w:line="310"/>
      </w:pPr>
      <w:r>
        <w:rPr>
          <w:rFonts w:ascii="Arial" w:cs="Arial" w:eastAsia="Arial" w:hAnsi="Arial"/>
          <w:b/>
          <w:bCs/>
          <w:color w:val="2C3E50"/>
          <w:sz w:val="22"/>
          <w:szCs w:val="22"/>
        </w:rPr>
        <w:t xml:space="preserve">HL7 v2.3 (1997): </w:t>
      </w:r>
      <w:r>
        <w:rPr>
          <w:rFonts w:ascii="Arial" w:cs="Arial" w:eastAsia="Arial" w:hAnsi="Arial"/>
          <w:color w:val="2C3E50"/>
          <w:sz w:val="22"/>
          <w:szCs w:val="22"/>
        </w:rPr>
        <w:t xml:space="preserve">Major expansion. Added many new message types and segments. The first widely adopted version.</w:t>
      </w:r>
    </w:p>
    <w:p>
      <w:pPr>
        <w:pStyle w:val="ListParagraph"/>
        <w:numPr>
          <w:ilvl w:val="0"/>
          <w:numId w:val="2"/>
        </w:numPr>
        <w:spacing w:before="40" w:after="40" w:line="310"/>
      </w:pPr>
      <w:r>
        <w:rPr>
          <w:rFonts w:ascii="Arial" w:cs="Arial" w:eastAsia="Arial" w:hAnsi="Arial"/>
          <w:b/>
          <w:bCs/>
          <w:color w:val="2C3E50"/>
          <w:sz w:val="22"/>
          <w:szCs w:val="22"/>
        </w:rPr>
        <w:t xml:space="preserve">HL7 v2.3.1 (1999): </w:t>
      </w:r>
      <w:r>
        <w:rPr>
          <w:rFonts w:ascii="Arial" w:cs="Arial" w:eastAsia="Arial" w:hAnsi="Arial"/>
          <w:color w:val="2C3E50"/>
          <w:sz w:val="22"/>
          <w:szCs w:val="22"/>
        </w:rPr>
        <w:t xml:space="preserve">Clarifications and corrections to 2.3. Very widely implemented and still in use today.</w:t>
      </w:r>
    </w:p>
    <w:p>
      <w:pPr>
        <w:pStyle w:val="ListParagraph"/>
        <w:numPr>
          <w:ilvl w:val="0"/>
          <w:numId w:val="2"/>
        </w:numPr>
        <w:spacing w:before="40" w:after="40" w:line="310"/>
      </w:pPr>
      <w:r>
        <w:rPr>
          <w:rFonts w:ascii="Arial" w:cs="Arial" w:eastAsia="Arial" w:hAnsi="Arial"/>
          <w:b/>
          <w:bCs/>
          <w:color w:val="2C3E50"/>
          <w:sz w:val="22"/>
          <w:szCs w:val="22"/>
        </w:rPr>
        <w:t xml:space="preserve">HL7 v2.4 (2000): </w:t>
      </w:r>
      <w:r>
        <w:rPr>
          <w:rFonts w:ascii="Arial" w:cs="Arial" w:eastAsia="Arial" w:hAnsi="Arial"/>
          <w:color w:val="2C3E50"/>
          <w:sz w:val="22"/>
          <w:szCs w:val="22"/>
        </w:rPr>
        <w:t xml:space="preserve">Added new segments for genomics, public health reporting, and enhanced order management.</w:t>
      </w:r>
    </w:p>
    <w:p>
      <w:pPr>
        <w:pStyle w:val="ListParagraph"/>
        <w:numPr>
          <w:ilvl w:val="0"/>
          <w:numId w:val="2"/>
        </w:numPr>
        <w:spacing w:before="40" w:after="40" w:line="310"/>
      </w:pPr>
      <w:r>
        <w:rPr>
          <w:rFonts w:ascii="Arial" w:cs="Arial" w:eastAsia="Arial" w:hAnsi="Arial"/>
          <w:b/>
          <w:bCs/>
          <w:color w:val="2C3E50"/>
          <w:sz w:val="22"/>
          <w:szCs w:val="22"/>
        </w:rPr>
        <w:t xml:space="preserve">HL7 v2.5 (2003): </w:t>
      </w:r>
      <w:r>
        <w:rPr>
          <w:rFonts w:ascii="Arial" w:cs="Arial" w:eastAsia="Arial" w:hAnsi="Arial"/>
          <w:color w:val="2C3E50"/>
          <w:sz w:val="22"/>
          <w:szCs w:val="22"/>
        </w:rPr>
        <w:t xml:space="preserve">Introduced conformance profiles, conditional predicates, and significant segment updates. Widely adopted.</w:t>
      </w:r>
    </w:p>
    <w:p>
      <w:pPr>
        <w:pStyle w:val="ListParagraph"/>
        <w:numPr>
          <w:ilvl w:val="0"/>
          <w:numId w:val="2"/>
        </w:numPr>
        <w:spacing w:before="40" w:after="40" w:line="310"/>
      </w:pPr>
      <w:r>
        <w:rPr>
          <w:rFonts w:ascii="Arial" w:cs="Arial" w:eastAsia="Arial" w:hAnsi="Arial"/>
          <w:b/>
          <w:bCs/>
          <w:color w:val="2C3E50"/>
          <w:sz w:val="22"/>
          <w:szCs w:val="22"/>
        </w:rPr>
        <w:t xml:space="preserve">HL7 v2.5.1 (2007): </w:t>
      </w:r>
      <w:r>
        <w:rPr>
          <w:rFonts w:ascii="Arial" w:cs="Arial" w:eastAsia="Arial" w:hAnsi="Arial"/>
          <w:color w:val="2C3E50"/>
          <w:sz w:val="22"/>
          <w:szCs w:val="22"/>
        </w:rPr>
        <w:t xml:space="preserve">Incremental update, used extensively by ONC for Meaningful Use requirements.</w:t>
      </w:r>
    </w:p>
    <w:p>
      <w:pPr>
        <w:pStyle w:val="ListParagraph"/>
        <w:numPr>
          <w:ilvl w:val="0"/>
          <w:numId w:val="2"/>
        </w:numPr>
        <w:spacing w:before="40" w:after="40" w:line="310"/>
      </w:pPr>
      <w:r>
        <w:rPr>
          <w:rFonts w:ascii="Arial" w:cs="Arial" w:eastAsia="Arial" w:hAnsi="Arial"/>
          <w:b/>
          <w:bCs/>
          <w:color w:val="2C3E50"/>
          <w:sz w:val="22"/>
          <w:szCs w:val="22"/>
        </w:rPr>
        <w:t xml:space="preserve">HL7 v2.6–2.9 (2007–2020): </w:t>
      </w:r>
      <w:r>
        <w:rPr>
          <w:rFonts w:ascii="Arial" w:cs="Arial" w:eastAsia="Arial" w:hAnsi="Arial"/>
          <w:color w:val="2C3E50"/>
          <w:sz w:val="22"/>
          <w:szCs w:val="22"/>
        </w:rPr>
        <w:t xml:space="preserve">Continued evolution adding new capabilities. Adoption varies; many organizations remain on v2.3.1 or v2.5.1.</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A5" w:sz="1"/>
              <w:left w:val="single" w:color="1A6FA5" w:sz="8"/>
              <w:bottom w:val="single" w:color="1A6FA5" w:sz="1"/>
              <w:right w:val="single" w:color="1A6FA5" w:sz="1"/>
            </w:tcBorders>
            <w:shd w:fill="EAF2F8"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Practical Reality</w:t>
            </w:r>
          </w:p>
          <w:p>
            <w:pPr>
              <w:spacing w:before="40"/>
            </w:pPr>
            <w:r>
              <w:rPr>
                <w:rFonts w:ascii="Arial" w:cs="Arial" w:eastAsia="Arial" w:hAnsi="Arial"/>
                <w:color w:val="2C3E50"/>
                <w:sz w:val="20"/>
                <w:szCs w:val="20"/>
              </w:rPr>
              <w:t xml:space="preserve">In production healthcare environments, you will encounter a mix of HL7 v2 versions. A single health system may have interfaces running v2.3, v2.3.1, v2.5, and v2.5.1 simultaneously. Integration engineers must be comfortable working across versions and handling the differences between them.</w:t>
            </w:r>
          </w:p>
        </w:tc>
      </w:tr>
    </w:tbl>
    <w:p>
      <w:pPr>
        <w:spacing w:before="120" w:after="120"/>
      </w:pPr>
    </w:p>
    <w:p>
      <w:pPr>
        <w:pStyle w:val="Heading2"/>
        <w:spacing w:before="340" w:after="160"/>
      </w:pPr>
      <w:r>
        <w:rPr>
          <w:rFonts w:ascii="Arial" w:cs="Arial" w:eastAsia="Arial" w:hAnsi="Arial"/>
          <w:b/>
          <w:bCs/>
          <w:color w:val="1A6FA5"/>
          <w:sz w:val="30"/>
          <w:szCs w:val="30"/>
        </w:rPr>
        <w:t xml:space="preserve">1.2 HL7 v2 Message Structure</w:t>
      </w:r>
    </w:p>
    <w:p>
      <w:pPr>
        <w:spacing w:before="60" w:after="100" w:line="340"/>
      </w:pPr>
      <w:r>
        <w:rPr>
          <w:rFonts w:ascii="Arial" w:cs="Arial" w:eastAsia="Arial" w:hAnsi="Arial"/>
          <w:color w:val="2C3E50"/>
          <w:sz w:val="22"/>
          <w:szCs w:val="22"/>
        </w:rPr>
        <w:t xml:space="preserve">Every HL7 v2 message follows a hierarchical structure composed of messages, segments, fields, components, and sub-components. Understanding this hierarchy is essential for reading, parsing, and transforming healthcare messages.</w:t>
      </w:r>
    </w:p>
    <w:p>
      <w:pPr>
        <w:pStyle w:val="Heading3"/>
        <w:spacing w:before="280" w:after="120"/>
      </w:pPr>
      <w:r>
        <w:rPr>
          <w:rFonts w:ascii="Arial" w:cs="Arial" w:eastAsia="Arial" w:hAnsi="Arial"/>
          <w:b/>
          <w:bCs/>
          <w:color w:val="2980B9"/>
          <w:sz w:val="26"/>
          <w:szCs w:val="26"/>
        </w:rPr>
        <w:t xml:space="preserve">Message Hierarchy</w:t>
      </w:r>
    </w:p>
    <w:p>
      <w:pPr>
        <w:spacing w:before="60" w:after="100" w:line="340"/>
      </w:pPr>
      <w:r>
        <w:rPr>
          <w:rFonts w:ascii="Arial" w:cs="Arial" w:eastAsia="Arial" w:hAnsi="Arial"/>
          <w:color w:val="2C3E50"/>
          <w:sz w:val="22"/>
          <w:szCs w:val="22"/>
        </w:rPr>
        <w:t xml:space="preserve">The HL7 v2 message structure has five levels, from the broadest (message) to the most granular (sub-component):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360"/>
      </w:tblGrid>
      <w:tr>
        <w:trPr>
          <w:tblHeader/>
        </w:trPr>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Delimiter</w:t>
            </w:r>
          </w:p>
        </w:tc>
        <w:tc>
          <w:tcPr>
            <w:tcW w:type="dxa" w:w="23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Message</w:t>
            </w:r>
          </w:p>
        </w:tc>
        <w:tc>
          <w:tcPr>
            <w:tcW w:type="dxa" w:w="3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Complete unit of data exchange; composed of segments</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Carriage return (\r) between segments</w:t>
            </w:r>
          </w:p>
        </w:tc>
        <w:tc>
          <w:tcPr>
            <w:tcW w:type="dxa" w:w="2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Full ADT^A01 message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Segment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 logical grouping of related fields, identified by a 3-character code</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Pipe character (|) between fields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PID|1||MRN001^^^Hospital||Smith^John||19580715|M</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Field</w:t>
            </w:r>
          </w:p>
        </w:tc>
        <w:tc>
          <w:tcPr>
            <w:tcW w:type="dxa" w:w="3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 single data element within a segment</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Pipe (|)</w:t>
            </w:r>
          </w:p>
        </w:tc>
        <w:tc>
          <w:tcPr>
            <w:tcW w:type="dxa" w:w="2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Smith^John (Patient Name field)</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Component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Sub-parts of a field</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Caret (^)</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Smith (last name component)</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Sub-Component</w:t>
            </w:r>
          </w:p>
        </w:tc>
        <w:tc>
          <w:tcPr>
            <w:tcW w:type="dxa" w:w="3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Sub-parts of a component</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Ampersand (&amp;)</w:t>
            </w:r>
          </w:p>
        </w:tc>
        <w:tc>
          <w:tcPr>
            <w:tcW w:type="dxa" w:w="2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Hospital&amp;1.2.3.4&amp;ISO (Assigning Authority)</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Repetition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Multiple values for the same field</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Tilde (~)</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Penicillin~Sulfa (multiple allergies)</w:t>
            </w:r>
          </w:p>
        </w:tc>
      </w:tr>
    </w:tbl>
    <w:p>
      <w:pPr>
        <w:spacing w:before="120" w:after="120"/>
      </w:pPr>
    </w:p>
    <w:p>
      <w:pPr>
        <w:pStyle w:val="Heading3"/>
        <w:spacing w:before="280" w:after="120"/>
      </w:pPr>
      <w:r>
        <w:rPr>
          <w:rFonts w:ascii="Arial" w:cs="Arial" w:eastAsia="Arial" w:hAnsi="Arial"/>
          <w:b/>
          <w:bCs/>
          <w:color w:val="2980B9"/>
          <w:sz w:val="26"/>
          <w:szCs w:val="26"/>
        </w:rPr>
        <w:t xml:space="preserve">Delimiters and Encoding Characters</w:t>
      </w:r>
    </w:p>
    <w:p>
      <w:pPr>
        <w:spacing w:before="60" w:after="100" w:line="340"/>
      </w:pPr>
      <w:r>
        <w:rPr>
          <w:rFonts w:ascii="Arial" w:cs="Arial" w:eastAsia="Arial" w:hAnsi="Arial"/>
          <w:color w:val="2C3E50"/>
          <w:sz w:val="22"/>
          <w:szCs w:val="22"/>
        </w:rPr>
        <w:t xml:space="preserve">The first segment of every HL7 v2 message (MSH) defines the delimiters used throughout the message. The standard default delimiters are: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200"/>
        <w:gridCol w:w="3160"/>
      </w:tblGrid>
      <w:tr>
        <w:trPr>
          <w:tblHeader/>
        </w:trPr>
        <w:tc>
          <w:tcPr>
            <w:tcW w:type="dxa" w:w="1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Position in MSH</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Pipe</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Field separator</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MSH-1 (Field Separator)</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Caret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Component separator</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MSH-2, position 1</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Tilde</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Repetition separator</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MSH-2, position 2</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Backslash</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Escape character</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MSH-2, position 3</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&amp;</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Ampersand</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Sub-component separator</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MSH-2, position 4</w:t>
            </w:r>
          </w:p>
        </w:tc>
      </w:tr>
    </w:tbl>
    <w:p>
      <w:pPr>
        <w:spacing w:before="120" w:after="120"/>
      </w:pPr>
    </w:p>
    <w:p>
      <w:pPr>
        <w:spacing w:before="60" w:after="100" w:line="340"/>
      </w:pPr>
      <w:r>
        <w:rPr>
          <w:rFonts w:ascii="Arial" w:cs="Arial" w:eastAsia="Arial" w:hAnsi="Arial"/>
          <w:color w:val="2C3E50"/>
          <w:sz w:val="22"/>
          <w:szCs w:val="22"/>
        </w:rPr>
        <w:t xml:space="preserve">The MSH-2 field (Encoding Characters) contains these four characters in order: ^~\&amp;. While custom delimiters are technically permitted, virtually all real-world implementations use the standard defaults. Integration engines should still read delimiters from MSH-1 and MSH-2 rather than hardcoding them.</w:t>
      </w:r>
    </w:p>
    <w:p>
      <w:pPr>
        <w:spacing w:before="120" w:after="120"/>
      </w:pPr>
    </w:p>
    <w:p>
      <w:pPr>
        <w:pStyle w:val="Heading3"/>
        <w:spacing w:before="280" w:after="120"/>
      </w:pPr>
      <w:r>
        <w:rPr>
          <w:rFonts w:ascii="Arial" w:cs="Arial" w:eastAsia="Arial" w:hAnsi="Arial"/>
          <w:b/>
          <w:bCs/>
          <w:color w:val="2980B9"/>
          <w:sz w:val="26"/>
          <w:szCs w:val="26"/>
        </w:rPr>
        <w:t xml:space="preserve">Critical HL7 v2 Segments</w:t>
      </w:r>
    </w:p>
    <w:p>
      <w:pPr>
        <w:spacing w:before="60" w:after="100" w:line="340"/>
      </w:pPr>
      <w:r>
        <w:rPr>
          <w:rFonts w:ascii="Arial" w:cs="Arial" w:eastAsia="Arial" w:hAnsi="Arial"/>
          <w:color w:val="2C3E50"/>
          <w:sz w:val="22"/>
          <w:szCs w:val="22"/>
        </w:rPr>
        <w:t xml:space="preserve">Segments are the building blocks of HL7 v2 messages. Each segment serves a specific purpose and contains defined fields. The following segments appear in the vast majority of clinical messages:</w:t>
      </w:r>
    </w:p>
    <w:p>
      <w:pPr>
        <w:spacing w:before="220" w:after="100"/>
      </w:pPr>
      <w:r>
        <w:rPr>
          <w:rFonts w:ascii="Arial" w:cs="Arial" w:eastAsia="Arial" w:hAnsi="Arial"/>
          <w:b/>
          <w:bCs/>
          <w:color w:val="0D3B66"/>
          <w:sz w:val="24"/>
          <w:szCs w:val="24"/>
          <w:u w:val="single"/>
        </w:rPr>
        <w:t xml:space="preserve">MSH — Message Header</w:t>
      </w:r>
    </w:p>
    <w:p>
      <w:pPr>
        <w:spacing w:before="60" w:after="100" w:line="340"/>
      </w:pPr>
      <w:r>
        <w:rPr>
          <w:rFonts w:ascii="Arial" w:cs="Arial" w:eastAsia="Arial" w:hAnsi="Arial"/>
          <w:color w:val="2C3E50"/>
          <w:sz w:val="22"/>
          <w:szCs w:val="22"/>
        </w:rPr>
        <w:t xml:space="preserve">The MSH segment is required in every HL7 v2 message and contains metadata about the message itself:</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200"/>
        <w:gridCol w:w="3160"/>
      </w:tblGrid>
      <w:tr>
        <w:trPr>
          <w:tblHeader/>
        </w:trPr>
        <w:tc>
          <w:tcPr>
            <w:tcW w:type="dxa" w:w="1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MSH-1</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Field Separator</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Defines the pipe delimiter</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MSH-2</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Encoding Characters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Defines component, repetition, escape, sub-component delimiters</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^~\&amp;</w:t>
            </w:r>
          </w:p>
        </w:tc>
      </w:tr>
      <w:tr>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MSH-3</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Sending Application</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Name of the application that created the message</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EPIC</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MSH-4</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Sending Facility</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Name of the facility sending the message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MAIN_HOSPITAL</w:t>
            </w:r>
          </w:p>
        </w:tc>
      </w:tr>
      <w:tr>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MSH-5</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Receiving Application</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Name of the intended recipient application</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LAB_LIS</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MSH-6</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Receiving Facility</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Name of the intended recipient facility</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QUEST_DIAGNOSTICS</w:t>
            </w:r>
          </w:p>
        </w:tc>
      </w:tr>
      <w:tr>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MSH-7</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Date/Time of Message</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When the message was created</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20260215103045</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MSH-9</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Message Type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Message type and trigger event</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ADT^A01^ADT_A01</w:t>
            </w:r>
          </w:p>
        </w:tc>
      </w:tr>
      <w:tr>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MSH-10</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Message Control ID</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Unique identifier for this message</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MSG000123456</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MSH-11</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Processing ID</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Production (P), Debugging (D), or Training (T)</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w:t>
            </w:r>
          </w:p>
        </w:tc>
      </w:tr>
      <w:tr>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MSH-12</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Version ID</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HL7 version number</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2.5.1</w:t>
            </w:r>
          </w:p>
        </w:tc>
      </w:tr>
    </w:tbl>
    <w:p>
      <w:pPr>
        <w:spacing w:before="120" w:after="120"/>
      </w:pPr>
    </w:p>
    <w:p>
      <w:pPr>
        <w:spacing w:before="220" w:after="100"/>
      </w:pPr>
      <w:r>
        <w:rPr>
          <w:rFonts w:ascii="Arial" w:cs="Arial" w:eastAsia="Arial" w:hAnsi="Arial"/>
          <w:b/>
          <w:bCs/>
          <w:color w:val="0D3B66"/>
          <w:sz w:val="24"/>
          <w:szCs w:val="24"/>
          <w:u w:val="single"/>
        </w:rPr>
        <w:t xml:space="preserve">PID — Patient Identification</w:t>
      </w:r>
    </w:p>
    <w:p>
      <w:pPr>
        <w:spacing w:before="60" w:after="100" w:line="340"/>
      </w:pPr>
      <w:r>
        <w:rPr>
          <w:rFonts w:ascii="Arial" w:cs="Arial" w:eastAsia="Arial" w:hAnsi="Arial"/>
          <w:color w:val="2C3E50"/>
          <w:sz w:val="22"/>
          <w:szCs w:val="22"/>
        </w:rPr>
        <w:t xml:space="preserve">The PID segment contains patient demographic data. It is present in virtually every clinical message type: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000"/>
        <w:gridCol w:w="3160"/>
      </w:tblGrid>
      <w:tr>
        <w:trPr>
          <w:tblHeader/>
        </w:trPr>
        <w:tc>
          <w:tcPr>
            <w:tcW w:type="dxa" w:w="1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PID-3</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Identifier List</w:t>
            </w:r>
          </w:p>
        </w:tc>
        <w:tc>
          <w:tcPr>
            <w:tcW w:type="dxa" w:w="3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MRN and other identifiers with assigning authority</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MRN001234^^^MainHosp^MR</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PID-5</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 Name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Family name, given name, middle, suffix, prefix</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Smith^John^Michael^^Mr.</w:t>
            </w:r>
          </w:p>
        </w:tc>
      </w:tr>
      <w:tr>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PID-7</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Date/Time of Birth</w:t>
            </w:r>
          </w:p>
        </w:tc>
        <w:tc>
          <w:tcPr>
            <w:tcW w:type="dxa" w:w="3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date of birth in HL7 date format</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19580715</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PID-8</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Administrative Sex</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 sex code (M, F, O, U, A, N)</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w:t>
            </w:r>
          </w:p>
        </w:tc>
      </w:tr>
      <w:tr>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PID-10</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Race</w:t>
            </w:r>
          </w:p>
        </w:tc>
        <w:tc>
          <w:tcPr>
            <w:tcW w:type="dxa" w:w="3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race code</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2106-3^White^CDCREC</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PID-11</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 Address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Street, city, state, ZIP, country</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123 Main St^^Springfield^IL^62701^USA</w:t>
            </w:r>
          </w:p>
        </w:tc>
      </w:tr>
      <w:tr>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PID-13</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Phone Number - Home</w:t>
            </w:r>
          </w:p>
        </w:tc>
        <w:tc>
          <w:tcPr>
            <w:tcW w:type="dxa" w:w="3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home phone</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(555)123-4567</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PID-18</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 Account Number</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Account number for the encounter</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ACCT00056789</w:t>
            </w:r>
          </w:p>
        </w:tc>
      </w:tr>
      <w:tr>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PID-19</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SSN Number</w:t>
            </w:r>
          </w:p>
        </w:tc>
        <w:tc>
          <w:tcPr>
            <w:tcW w:type="dxa" w:w="3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Social Security Number (use discouraged)</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123-45-6789</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PID-22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Ethnic Group</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 ethnicity code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N^Not Hispanic^HL70189</w:t>
            </w:r>
          </w:p>
        </w:tc>
      </w:tr>
    </w:tbl>
    <w:p>
      <w:pPr>
        <w:spacing w:before="120" w:after="120"/>
      </w:pPr>
    </w:p>
    <w:p>
      <w:pPr>
        <w:spacing w:before="220" w:after="100"/>
      </w:pPr>
      <w:r>
        <w:rPr>
          <w:rFonts w:ascii="Arial" w:cs="Arial" w:eastAsia="Arial" w:hAnsi="Arial"/>
          <w:b/>
          <w:bCs/>
          <w:color w:val="0D3B66"/>
          <w:sz w:val="24"/>
          <w:szCs w:val="24"/>
          <w:u w:val="single"/>
        </w:rPr>
        <w:t xml:space="preserve">PV1 — Patient Visit</w:t>
      </w:r>
    </w:p>
    <w:p>
      <w:pPr>
        <w:spacing w:before="60" w:after="100" w:line="340"/>
      </w:pPr>
      <w:r>
        <w:rPr>
          <w:rFonts w:ascii="Arial" w:cs="Arial" w:eastAsia="Arial" w:hAnsi="Arial"/>
          <w:color w:val="2C3E50"/>
          <w:sz w:val="22"/>
          <w:szCs w:val="22"/>
        </w:rPr>
        <w:t xml:space="preserve">The PV1 segment contains encounter-level information such as the patient class, attending physician, and location:</w:t>
      </w:r>
    </w:p>
    <w:p>
      <w:pPr>
        <w:pStyle w:val="ListParagraph"/>
        <w:numPr>
          <w:ilvl w:val="0"/>
          <w:numId w:val="2"/>
        </w:numPr>
        <w:spacing w:before="40" w:after="40" w:line="310"/>
      </w:pPr>
      <w:r>
        <w:rPr>
          <w:rFonts w:ascii="Arial" w:cs="Arial" w:eastAsia="Arial" w:hAnsi="Arial"/>
          <w:b/>
          <w:bCs/>
          <w:color w:val="2C3E50"/>
          <w:sz w:val="22"/>
          <w:szCs w:val="22"/>
        </w:rPr>
        <w:t xml:space="preserve">PV1-2 Patient Class: </w:t>
      </w:r>
      <w:r>
        <w:rPr>
          <w:rFonts w:ascii="Arial" w:cs="Arial" w:eastAsia="Arial" w:hAnsi="Arial"/>
          <w:color w:val="2C3E50"/>
          <w:sz w:val="22"/>
          <w:szCs w:val="22"/>
        </w:rPr>
        <w:t xml:space="preserve">Inpatient (I), Outpatient (O), Emergency (E), Pre-admit (P), Recurring (R), Observation (B). Drives routing logic in many integration engines.</w:t>
      </w:r>
    </w:p>
    <w:p>
      <w:pPr>
        <w:pStyle w:val="ListParagraph"/>
        <w:numPr>
          <w:ilvl w:val="0"/>
          <w:numId w:val="2"/>
        </w:numPr>
        <w:spacing w:before="40" w:after="40" w:line="310"/>
      </w:pPr>
      <w:r>
        <w:rPr>
          <w:rFonts w:ascii="Arial" w:cs="Arial" w:eastAsia="Arial" w:hAnsi="Arial"/>
          <w:b/>
          <w:bCs/>
          <w:color w:val="2C3E50"/>
          <w:sz w:val="22"/>
          <w:szCs w:val="22"/>
        </w:rPr>
        <w:t xml:space="preserve">PV1-3 Assigned Patient Location: </w:t>
      </w:r>
      <w:r>
        <w:rPr>
          <w:rFonts w:ascii="Arial" w:cs="Arial" w:eastAsia="Arial" w:hAnsi="Arial"/>
          <w:color w:val="2C3E50"/>
          <w:sz w:val="22"/>
          <w:szCs w:val="22"/>
        </w:rPr>
        <w:t xml:space="preserve">Nursing unit, room, and bed. Format: Unit^Room^Bed (e.g., 4N^401^A). Critical for ADT tracking.</w:t>
      </w:r>
    </w:p>
    <w:p>
      <w:pPr>
        <w:pStyle w:val="ListParagraph"/>
        <w:numPr>
          <w:ilvl w:val="0"/>
          <w:numId w:val="2"/>
        </w:numPr>
        <w:spacing w:before="40" w:after="40" w:line="310"/>
      </w:pPr>
      <w:r>
        <w:rPr>
          <w:rFonts w:ascii="Arial" w:cs="Arial" w:eastAsia="Arial" w:hAnsi="Arial"/>
          <w:b/>
          <w:bCs/>
          <w:color w:val="2C3E50"/>
          <w:sz w:val="22"/>
          <w:szCs w:val="22"/>
        </w:rPr>
        <w:t xml:space="preserve">PV1-7 Attending Doctor: </w:t>
      </w:r>
      <w:r>
        <w:rPr>
          <w:rFonts w:ascii="Arial" w:cs="Arial" w:eastAsia="Arial" w:hAnsi="Arial"/>
          <w:color w:val="2C3E50"/>
          <w:sz w:val="22"/>
          <w:szCs w:val="22"/>
        </w:rPr>
        <w:t xml:space="preserve">Provider ID, family name, given name, and credentials. Links to provider directories and credentialing systems.</w:t>
      </w:r>
    </w:p>
    <w:p>
      <w:pPr>
        <w:pStyle w:val="ListParagraph"/>
        <w:numPr>
          <w:ilvl w:val="0"/>
          <w:numId w:val="2"/>
        </w:numPr>
        <w:spacing w:before="40" w:after="40" w:line="310"/>
      </w:pPr>
      <w:r>
        <w:rPr>
          <w:rFonts w:ascii="Arial" w:cs="Arial" w:eastAsia="Arial" w:hAnsi="Arial"/>
          <w:b/>
          <w:bCs/>
          <w:color w:val="2C3E50"/>
          <w:sz w:val="22"/>
          <w:szCs w:val="22"/>
        </w:rPr>
        <w:t xml:space="preserve">PV1-19 Visit Number: </w:t>
      </w:r>
      <w:r>
        <w:rPr>
          <w:rFonts w:ascii="Arial" w:cs="Arial" w:eastAsia="Arial" w:hAnsi="Arial"/>
          <w:color w:val="2C3E50"/>
          <w:sz w:val="22"/>
          <w:szCs w:val="22"/>
        </w:rPr>
        <w:t xml:space="preserve">Unique identifier for this specific patient visit/encounter. Essential for linking orders and results to encounters.</w:t>
      </w:r>
    </w:p>
    <w:p>
      <w:pPr>
        <w:pStyle w:val="ListParagraph"/>
        <w:numPr>
          <w:ilvl w:val="0"/>
          <w:numId w:val="2"/>
        </w:numPr>
        <w:spacing w:before="40" w:after="40" w:line="310"/>
      </w:pPr>
      <w:r>
        <w:rPr>
          <w:rFonts w:ascii="Arial" w:cs="Arial" w:eastAsia="Arial" w:hAnsi="Arial"/>
          <w:b/>
          <w:bCs/>
          <w:color w:val="2C3E50"/>
          <w:sz w:val="22"/>
          <w:szCs w:val="22"/>
        </w:rPr>
        <w:t xml:space="preserve">PV1-44 Admit Date/Time: </w:t>
      </w:r>
      <w:r>
        <w:rPr>
          <w:rFonts w:ascii="Arial" w:cs="Arial" w:eastAsia="Arial" w:hAnsi="Arial"/>
          <w:color w:val="2C3E50"/>
          <w:sz w:val="22"/>
          <w:szCs w:val="22"/>
        </w:rPr>
        <w:t xml:space="preserve">When the patient was admitted. Combined with PV1-45 (Discharge Date) for length-of-stay calculations.</w:t>
      </w:r>
    </w:p>
    <w:p>
      <w:pPr>
        <w:spacing w:before="120" w:after="120"/>
      </w:pPr>
    </w:p>
    <w:p>
      <w:pPr>
        <w:spacing w:before="220" w:after="100"/>
      </w:pPr>
      <w:r>
        <w:rPr>
          <w:rFonts w:ascii="Arial" w:cs="Arial" w:eastAsia="Arial" w:hAnsi="Arial"/>
          <w:b/>
          <w:bCs/>
          <w:color w:val="0D3B66"/>
          <w:sz w:val="24"/>
          <w:szCs w:val="24"/>
          <w:u w:val="single"/>
        </w:rPr>
        <w:t xml:space="preserve">OBR — Observation Request</w:t>
      </w:r>
    </w:p>
    <w:p>
      <w:pPr>
        <w:spacing w:before="60" w:after="100" w:line="340"/>
      </w:pPr>
      <w:r>
        <w:rPr>
          <w:rFonts w:ascii="Arial" w:cs="Arial" w:eastAsia="Arial" w:hAnsi="Arial"/>
          <w:color w:val="2C3E50"/>
          <w:sz w:val="22"/>
          <w:szCs w:val="22"/>
        </w:rPr>
        <w:t xml:space="preserve">The OBR segment contains information about a diagnostic order (lab test, radiology exam, procedure):</w:t>
      </w:r>
    </w:p>
    <w:p>
      <w:pPr>
        <w:pStyle w:val="ListParagraph"/>
        <w:numPr>
          <w:ilvl w:val="0"/>
          <w:numId w:val="2"/>
        </w:numPr>
        <w:spacing w:before="40" w:after="40" w:line="310"/>
      </w:pPr>
      <w:r>
        <w:rPr>
          <w:rFonts w:ascii="Arial" w:cs="Arial" w:eastAsia="Arial" w:hAnsi="Arial"/>
          <w:b/>
          <w:bCs/>
          <w:color w:val="2C3E50"/>
          <w:sz w:val="22"/>
          <w:szCs w:val="22"/>
        </w:rPr>
        <w:t xml:space="preserve">OBR-2 Placer Order Number: </w:t>
      </w:r>
      <w:r>
        <w:rPr>
          <w:rFonts w:ascii="Arial" w:cs="Arial" w:eastAsia="Arial" w:hAnsi="Arial"/>
          <w:color w:val="2C3E50"/>
          <w:sz w:val="22"/>
          <w:szCs w:val="22"/>
        </w:rPr>
        <w:t xml:space="preserve">The ordering system’s unique identifier for the order. Used to match results back to original orders.</w:t>
      </w:r>
    </w:p>
    <w:p>
      <w:pPr>
        <w:pStyle w:val="ListParagraph"/>
        <w:numPr>
          <w:ilvl w:val="0"/>
          <w:numId w:val="2"/>
        </w:numPr>
        <w:spacing w:before="40" w:after="40" w:line="310"/>
      </w:pPr>
      <w:r>
        <w:rPr>
          <w:rFonts w:ascii="Arial" w:cs="Arial" w:eastAsia="Arial" w:hAnsi="Arial"/>
          <w:b/>
          <w:bCs/>
          <w:color w:val="2C3E50"/>
          <w:sz w:val="22"/>
          <w:szCs w:val="22"/>
        </w:rPr>
        <w:t xml:space="preserve">OBR-3 Filler Order Number: </w:t>
      </w:r>
      <w:r>
        <w:rPr>
          <w:rFonts w:ascii="Arial" w:cs="Arial" w:eastAsia="Arial" w:hAnsi="Arial"/>
          <w:color w:val="2C3E50"/>
          <w:sz w:val="22"/>
          <w:szCs w:val="22"/>
        </w:rPr>
        <w:t xml:space="preserve">The performing system’s unique identifier. Assigned when the order is received and accessioned by the lab or radiology department.</w:t>
      </w:r>
    </w:p>
    <w:p>
      <w:pPr>
        <w:pStyle w:val="ListParagraph"/>
        <w:numPr>
          <w:ilvl w:val="0"/>
          <w:numId w:val="2"/>
        </w:numPr>
        <w:spacing w:before="40" w:after="40" w:line="310"/>
      </w:pPr>
      <w:r>
        <w:rPr>
          <w:rFonts w:ascii="Arial" w:cs="Arial" w:eastAsia="Arial" w:hAnsi="Arial"/>
          <w:b/>
          <w:bCs/>
          <w:color w:val="2C3E50"/>
          <w:sz w:val="22"/>
          <w:szCs w:val="22"/>
        </w:rPr>
        <w:t xml:space="preserve">OBR-4 Universal Service Identifier: </w:t>
      </w:r>
      <w:r>
        <w:rPr>
          <w:rFonts w:ascii="Arial" w:cs="Arial" w:eastAsia="Arial" w:hAnsi="Arial"/>
          <w:color w:val="2C3E50"/>
          <w:sz w:val="22"/>
          <w:szCs w:val="22"/>
        </w:rPr>
        <w:t xml:space="preserve">The ordered test or procedure, coded with LOINC or local codes. Example: 2093-3^Cholesterol^LN.</w:t>
      </w:r>
    </w:p>
    <w:p>
      <w:pPr>
        <w:pStyle w:val="ListParagraph"/>
        <w:numPr>
          <w:ilvl w:val="0"/>
          <w:numId w:val="2"/>
        </w:numPr>
        <w:spacing w:before="40" w:after="40" w:line="310"/>
      </w:pPr>
      <w:r>
        <w:rPr>
          <w:rFonts w:ascii="Arial" w:cs="Arial" w:eastAsia="Arial" w:hAnsi="Arial"/>
          <w:b/>
          <w:bCs/>
          <w:color w:val="2C3E50"/>
          <w:sz w:val="22"/>
          <w:szCs w:val="22"/>
        </w:rPr>
        <w:t xml:space="preserve">OBR-7 Observation Date/Time: </w:t>
      </w:r>
      <w:r>
        <w:rPr>
          <w:rFonts w:ascii="Arial" w:cs="Arial" w:eastAsia="Arial" w:hAnsi="Arial"/>
          <w:color w:val="2C3E50"/>
          <w:sz w:val="22"/>
          <w:szCs w:val="22"/>
        </w:rPr>
        <w:t xml:space="preserve">When the specimen was collected or the observation was made.</w:t>
      </w:r>
    </w:p>
    <w:p>
      <w:pPr>
        <w:pStyle w:val="ListParagraph"/>
        <w:numPr>
          <w:ilvl w:val="0"/>
          <w:numId w:val="2"/>
        </w:numPr>
        <w:spacing w:before="40" w:after="40" w:line="310"/>
      </w:pPr>
      <w:r>
        <w:rPr>
          <w:rFonts w:ascii="Arial" w:cs="Arial" w:eastAsia="Arial" w:hAnsi="Arial"/>
          <w:b/>
          <w:bCs/>
          <w:color w:val="2C3E50"/>
          <w:sz w:val="22"/>
          <w:szCs w:val="22"/>
        </w:rPr>
        <w:t xml:space="preserve">OBR-25 Result Status: </w:t>
      </w:r>
      <w:r>
        <w:rPr>
          <w:rFonts w:ascii="Arial" w:cs="Arial" w:eastAsia="Arial" w:hAnsi="Arial"/>
          <w:color w:val="2C3E50"/>
          <w:sz w:val="22"/>
          <w:szCs w:val="22"/>
        </w:rPr>
        <w:t xml:space="preserve">F (Final), P (Preliminary), C (Correction), X (Cancelled). Drives workflow in receiving systems.</w:t>
      </w:r>
    </w:p>
    <w:p>
      <w:pPr>
        <w:spacing w:before="120" w:after="120"/>
      </w:pPr>
    </w:p>
    <w:p>
      <w:pPr>
        <w:spacing w:before="220" w:after="100"/>
      </w:pPr>
      <w:r>
        <w:rPr>
          <w:rFonts w:ascii="Arial" w:cs="Arial" w:eastAsia="Arial" w:hAnsi="Arial"/>
          <w:b/>
          <w:bCs/>
          <w:color w:val="0D3B66"/>
          <w:sz w:val="24"/>
          <w:szCs w:val="24"/>
          <w:u w:val="single"/>
        </w:rPr>
        <w:t xml:space="preserve">OBX — Observation Result</w:t>
      </w:r>
    </w:p>
    <w:p>
      <w:pPr>
        <w:spacing w:before="60" w:after="100" w:line="340"/>
      </w:pPr>
      <w:r>
        <w:rPr>
          <w:rFonts w:ascii="Arial" w:cs="Arial" w:eastAsia="Arial" w:hAnsi="Arial"/>
          <w:color w:val="2C3E50"/>
          <w:sz w:val="22"/>
          <w:szCs w:val="22"/>
        </w:rPr>
        <w:t xml:space="preserve">The OBX segment carries individual observation/result values. Multiple OBX segments typically follow an OBR to report all results for an order:</w:t>
      </w:r>
    </w:p>
    <w:p>
      <w:pPr>
        <w:pStyle w:val="ListParagraph"/>
        <w:numPr>
          <w:ilvl w:val="0"/>
          <w:numId w:val="2"/>
        </w:numPr>
        <w:spacing w:before="40" w:after="40" w:line="310"/>
      </w:pPr>
      <w:r>
        <w:rPr>
          <w:rFonts w:ascii="Arial" w:cs="Arial" w:eastAsia="Arial" w:hAnsi="Arial"/>
          <w:b/>
          <w:bCs/>
          <w:color w:val="2C3E50"/>
          <w:sz w:val="22"/>
          <w:szCs w:val="22"/>
        </w:rPr>
        <w:t xml:space="preserve">OBX-1 Set ID: </w:t>
      </w:r>
      <w:r>
        <w:rPr>
          <w:rFonts w:ascii="Arial" w:cs="Arial" w:eastAsia="Arial" w:hAnsi="Arial"/>
          <w:color w:val="2C3E50"/>
          <w:sz w:val="22"/>
          <w:szCs w:val="22"/>
        </w:rPr>
        <w:t xml:space="preserve">Sequential number identifying this OBX within the group (1, 2, 3...).</w:t>
      </w:r>
    </w:p>
    <w:p>
      <w:pPr>
        <w:pStyle w:val="ListParagraph"/>
        <w:numPr>
          <w:ilvl w:val="0"/>
          <w:numId w:val="2"/>
        </w:numPr>
        <w:spacing w:before="40" w:after="40" w:line="310"/>
      </w:pPr>
      <w:r>
        <w:rPr>
          <w:rFonts w:ascii="Arial" w:cs="Arial" w:eastAsia="Arial" w:hAnsi="Arial"/>
          <w:b/>
          <w:bCs/>
          <w:color w:val="2C3E50"/>
          <w:sz w:val="22"/>
          <w:szCs w:val="22"/>
        </w:rPr>
        <w:t xml:space="preserve">OBX-2 Value Type: </w:t>
      </w:r>
      <w:r>
        <w:rPr>
          <w:rFonts w:ascii="Arial" w:cs="Arial" w:eastAsia="Arial" w:hAnsi="Arial"/>
          <w:color w:val="2C3E50"/>
          <w:sz w:val="22"/>
          <w:szCs w:val="22"/>
        </w:rPr>
        <w:t xml:space="preserve">Data type of the result value: NM (Numeric), ST (String), CE (Coded Entry), TX (Text), FT (Formatted Text), ED (Encapsulated Data).</w:t>
      </w:r>
    </w:p>
    <w:p>
      <w:pPr>
        <w:pStyle w:val="ListParagraph"/>
        <w:numPr>
          <w:ilvl w:val="0"/>
          <w:numId w:val="2"/>
        </w:numPr>
        <w:spacing w:before="40" w:after="40" w:line="310"/>
      </w:pPr>
      <w:r>
        <w:rPr>
          <w:rFonts w:ascii="Arial" w:cs="Arial" w:eastAsia="Arial" w:hAnsi="Arial"/>
          <w:b/>
          <w:bCs/>
          <w:color w:val="2C3E50"/>
          <w:sz w:val="22"/>
          <w:szCs w:val="22"/>
        </w:rPr>
        <w:t xml:space="preserve">OBX-3 Observation Identifier: </w:t>
      </w:r>
      <w:r>
        <w:rPr>
          <w:rFonts w:ascii="Arial" w:cs="Arial" w:eastAsia="Arial" w:hAnsi="Arial"/>
          <w:color w:val="2C3E50"/>
          <w:sz w:val="22"/>
          <w:szCs w:val="22"/>
        </w:rPr>
        <w:t xml:space="preserve">The specific test being reported, coded with LOINC. Example: 2093-3^Cholesterol [Mass/volume] in Serum or Plasma^LN.</w:t>
      </w:r>
    </w:p>
    <w:p>
      <w:pPr>
        <w:pStyle w:val="ListParagraph"/>
        <w:numPr>
          <w:ilvl w:val="0"/>
          <w:numId w:val="2"/>
        </w:numPr>
        <w:spacing w:before="40" w:after="40" w:line="310"/>
      </w:pPr>
      <w:r>
        <w:rPr>
          <w:rFonts w:ascii="Arial" w:cs="Arial" w:eastAsia="Arial" w:hAnsi="Arial"/>
          <w:b/>
          <w:bCs/>
          <w:color w:val="2C3E50"/>
          <w:sz w:val="22"/>
          <w:szCs w:val="22"/>
        </w:rPr>
        <w:t xml:space="preserve">OBX-5 Observation Value: </w:t>
      </w:r>
      <w:r>
        <w:rPr>
          <w:rFonts w:ascii="Arial" w:cs="Arial" w:eastAsia="Arial" w:hAnsi="Arial"/>
          <w:color w:val="2C3E50"/>
          <w:sz w:val="22"/>
          <w:szCs w:val="22"/>
        </w:rPr>
        <w:t xml:space="preserve">The actual result value. For numeric results: 185. For coded results: a coded entry. For text: narrative interpretation.</w:t>
      </w:r>
    </w:p>
    <w:p>
      <w:pPr>
        <w:pStyle w:val="ListParagraph"/>
        <w:numPr>
          <w:ilvl w:val="0"/>
          <w:numId w:val="2"/>
        </w:numPr>
        <w:spacing w:before="40" w:after="40" w:line="310"/>
      </w:pPr>
      <w:r>
        <w:rPr>
          <w:rFonts w:ascii="Arial" w:cs="Arial" w:eastAsia="Arial" w:hAnsi="Arial"/>
          <w:b/>
          <w:bCs/>
          <w:color w:val="2C3E50"/>
          <w:sz w:val="22"/>
          <w:szCs w:val="22"/>
        </w:rPr>
        <w:t xml:space="preserve">OBX-6 Units: </w:t>
      </w:r>
      <w:r>
        <w:rPr>
          <w:rFonts w:ascii="Arial" w:cs="Arial" w:eastAsia="Arial" w:hAnsi="Arial"/>
          <w:color w:val="2C3E50"/>
          <w:sz w:val="22"/>
          <w:szCs w:val="22"/>
        </w:rPr>
        <w:t xml:space="preserve">Units of measure. Example: mg/dL^milligrams per deciliter^UCUM.</w:t>
      </w:r>
    </w:p>
    <w:p>
      <w:pPr>
        <w:pStyle w:val="ListParagraph"/>
        <w:numPr>
          <w:ilvl w:val="0"/>
          <w:numId w:val="2"/>
        </w:numPr>
        <w:spacing w:before="40" w:after="40" w:line="310"/>
      </w:pPr>
      <w:r>
        <w:rPr>
          <w:rFonts w:ascii="Arial" w:cs="Arial" w:eastAsia="Arial" w:hAnsi="Arial"/>
          <w:b/>
          <w:bCs/>
          <w:color w:val="2C3E50"/>
          <w:sz w:val="22"/>
          <w:szCs w:val="22"/>
        </w:rPr>
        <w:t xml:space="preserve">OBX-7 Reference Range: </w:t>
      </w:r>
      <w:r>
        <w:rPr>
          <w:rFonts w:ascii="Arial" w:cs="Arial" w:eastAsia="Arial" w:hAnsi="Arial"/>
          <w:color w:val="2C3E50"/>
          <w:sz w:val="22"/>
          <w:szCs w:val="22"/>
        </w:rPr>
        <w:t xml:space="preserve">Normal range for the test. Example: 125-200. Used by receiving systems to flag abnormal results.</w:t>
      </w:r>
    </w:p>
    <w:p>
      <w:pPr>
        <w:pStyle w:val="ListParagraph"/>
        <w:numPr>
          <w:ilvl w:val="0"/>
          <w:numId w:val="2"/>
        </w:numPr>
        <w:spacing w:before="40" w:after="40" w:line="310"/>
      </w:pPr>
      <w:r>
        <w:rPr>
          <w:rFonts w:ascii="Arial" w:cs="Arial" w:eastAsia="Arial" w:hAnsi="Arial"/>
          <w:b/>
          <w:bCs/>
          <w:color w:val="2C3E50"/>
          <w:sz w:val="22"/>
          <w:szCs w:val="22"/>
        </w:rPr>
        <w:t xml:space="preserve">OBX-8 Abnormal Flags: </w:t>
      </w:r>
      <w:r>
        <w:rPr>
          <w:rFonts w:ascii="Arial" w:cs="Arial" w:eastAsia="Arial" w:hAnsi="Arial"/>
          <w:color w:val="2C3E50"/>
          <w:sz w:val="22"/>
          <w:szCs w:val="22"/>
        </w:rPr>
        <w:t xml:space="preserve">H (High), L (Low), HH (Critical High), LL (Critical Low), A (Abnormal), N (Normal). Drives clinical alerts.</w:t>
      </w:r>
    </w:p>
    <w:p>
      <w:pPr>
        <w:pStyle w:val="ListParagraph"/>
        <w:numPr>
          <w:ilvl w:val="0"/>
          <w:numId w:val="2"/>
        </w:numPr>
        <w:spacing w:before="40" w:after="40" w:line="310"/>
      </w:pPr>
      <w:r>
        <w:rPr>
          <w:rFonts w:ascii="Arial" w:cs="Arial" w:eastAsia="Arial" w:hAnsi="Arial"/>
          <w:b/>
          <w:bCs/>
          <w:color w:val="2C3E50"/>
          <w:sz w:val="22"/>
          <w:szCs w:val="22"/>
        </w:rPr>
        <w:t xml:space="preserve">OBX-11 Observation Result Status: </w:t>
      </w:r>
      <w:r>
        <w:rPr>
          <w:rFonts w:ascii="Arial" w:cs="Arial" w:eastAsia="Arial" w:hAnsi="Arial"/>
          <w:color w:val="2C3E50"/>
          <w:sz w:val="22"/>
          <w:szCs w:val="22"/>
        </w:rPr>
        <w:t xml:space="preserve">F (Final), P (Preliminary), C (Corrected), D (Delete), X (Cannot be obtained).</w:t>
      </w:r>
    </w:p>
    <w:p>
      <w:pPr>
        <w:spacing w:before="120" w:after="120"/>
      </w:pPr>
    </w:p>
    <w:p>
      <w:pPr>
        <w:pStyle w:val="Heading2"/>
        <w:spacing w:before="340" w:after="160"/>
      </w:pPr>
      <w:r>
        <w:rPr>
          <w:rFonts w:ascii="Arial" w:cs="Arial" w:eastAsia="Arial" w:hAnsi="Arial"/>
          <w:b/>
          <w:bCs/>
          <w:color w:val="1A6FA5"/>
          <w:sz w:val="30"/>
          <w:szCs w:val="30"/>
        </w:rPr>
        <w:t xml:space="preserve">1.3 HL7 v2 Message Types</w:t>
      </w:r>
    </w:p>
    <w:p>
      <w:pPr>
        <w:spacing w:before="60" w:after="100" w:line="340"/>
      </w:pPr>
      <w:r>
        <w:rPr>
          <w:rFonts w:ascii="Arial" w:cs="Arial" w:eastAsia="Arial" w:hAnsi="Arial"/>
          <w:color w:val="2C3E50"/>
          <w:sz w:val="22"/>
          <w:szCs w:val="22"/>
        </w:rPr>
        <w:t xml:space="preserve">HL7 v2 defines message types as a combination of a Message Type code and a Trigger Event code, expressed as TYPE^EVENT (e.g., ADT^A01). Each combination represents a specific clinical or administrative event.</w:t>
      </w:r>
    </w:p>
    <w:p>
      <w:pPr>
        <w:spacing w:before="120" w:after="120"/>
      </w:pPr>
    </w:p>
    <w:p>
      <w:pPr>
        <w:pStyle w:val="Heading3"/>
        <w:spacing w:before="280" w:after="120"/>
      </w:pPr>
      <w:r>
        <w:rPr>
          <w:rFonts w:ascii="Arial" w:cs="Arial" w:eastAsia="Arial" w:hAnsi="Arial"/>
          <w:b/>
          <w:bCs/>
          <w:color w:val="2980B9"/>
          <w:sz w:val="26"/>
          <w:szCs w:val="26"/>
        </w:rPr>
        <w:t xml:space="preserve">ADT — Admit/Discharge/Transfer Messages</w:t>
      </w:r>
    </w:p>
    <w:p>
      <w:pPr>
        <w:spacing w:before="60" w:after="100" w:line="340"/>
      </w:pPr>
      <w:r>
        <w:rPr>
          <w:rFonts w:ascii="Arial" w:cs="Arial" w:eastAsia="Arial" w:hAnsi="Arial"/>
          <w:color w:val="2C3E50"/>
          <w:sz w:val="22"/>
          <w:szCs w:val="22"/>
        </w:rPr>
        <w:t xml:space="preserve">ADT messages are the most common HL7 v2 message type, broadcasting patient movement events throughout the healthcare enterprise: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200"/>
        <w:gridCol w:w="4660"/>
      </w:tblGrid>
      <w:tr>
        <w:trPr>
          <w:tblHeader/>
        </w:trPr>
        <w:tc>
          <w:tcPr>
            <w:tcW w:type="dxa" w:w="7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6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Downstream Impact</w:t>
            </w:r>
          </w:p>
        </w:tc>
      </w:tr>
      <w:tr>
        <w:tc>
          <w:tcPr>
            <w:tcW w:type="dxa" w:w="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A01</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Admit/Visit Notification</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is admitted to inpatient</w:t>
            </w:r>
          </w:p>
        </w:tc>
        <w:tc>
          <w:tcPr>
            <w:tcW w:type="dxa" w:w="46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Notify lab, pharmacy, dietary, bed management; create encounter in downstream systems</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A02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Transfer a Patient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 moves to different unit/bed</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Update patient location in all systems; notify receiving unit</w:t>
            </w:r>
          </w:p>
        </w:tc>
      </w:tr>
      <w:tr>
        <w:tc>
          <w:tcPr>
            <w:tcW w:type="dxa" w:w="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A03</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Discharge a Patient</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is discharged</w:t>
            </w:r>
          </w:p>
        </w:tc>
        <w:tc>
          <w:tcPr>
            <w:tcW w:type="dxa" w:w="46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Trigger billing/coding; notify PCP via HIE; update bed availability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A04</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Register a Patient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Outpatient/ED registration</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Create encounter in downstream systems; verify insurance</w:t>
            </w:r>
          </w:p>
        </w:tc>
      </w:tr>
      <w:tr>
        <w:tc>
          <w:tcPr>
            <w:tcW w:type="dxa" w:w="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A05</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Pre-Admit a Patient</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Scheduled admission created</w:t>
            </w:r>
          </w:p>
        </w:tc>
        <w:tc>
          <w:tcPr>
            <w:tcW w:type="dxa" w:w="46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Reserve bed; schedule pre-admission testing; verify insurance</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A08</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Update Patient Information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Demographics or visit info updated</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Update patient data across all connected systems</w:t>
            </w:r>
          </w:p>
        </w:tc>
      </w:tr>
      <w:tr>
        <w:tc>
          <w:tcPr>
            <w:tcW w:type="dxa" w:w="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A11</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Cancel Admit</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Admission entered in error</w:t>
            </w:r>
          </w:p>
        </w:tc>
        <w:tc>
          <w:tcPr>
            <w:tcW w:type="dxa" w:w="46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Reverse downstream encounter creation; restore bed availability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A13</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Cancel Discharge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Discharge entered in error</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Reactivate encounter in downstream systems</w:t>
            </w:r>
          </w:p>
        </w:tc>
      </w:tr>
      <w:tr>
        <w:tc>
          <w:tcPr>
            <w:tcW w:type="dxa" w:w="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A17</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Swap Patients</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Two patients exchange beds</w:t>
            </w:r>
          </w:p>
        </w:tc>
        <w:tc>
          <w:tcPr>
            <w:tcW w:type="dxa" w:w="46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Update bed assignments in all tracking systems</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A28</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Add Person Information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New patient record created (MPI)</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Add to Master Patient Index; propagate to all systems</w:t>
            </w:r>
          </w:p>
        </w:tc>
      </w:tr>
      <w:tr>
        <w:tc>
          <w:tcPr>
            <w:tcW w:type="dxa" w:w="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A31</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Update Person Information</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MPI-level demographic update</w:t>
            </w:r>
          </w:p>
        </w:tc>
        <w:tc>
          <w:tcPr>
            <w:tcW w:type="dxa" w:w="46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Propagate demographic changes across enterprise</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A34</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Merge Patient - Patient ID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Two patient records merged</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Critical: update all references to the retired MRN across every system</w:t>
            </w:r>
          </w:p>
        </w:tc>
      </w:tr>
      <w:tr>
        <w:tc>
          <w:tcPr>
            <w:tcW w:type="dxa" w:w="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A40</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Merge Patient - Account</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Two accounts merged</w:t>
            </w:r>
          </w:p>
        </w:tc>
        <w:tc>
          <w:tcPr>
            <w:tcW w:type="dxa" w:w="46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Update billing and encounter references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8"/>
              <w:bottom w:val="single" w:color="E67E22" w:sz="1"/>
              <w:right w:val="single" w:color="E67E22" w:sz="1"/>
            </w:tcBorders>
            <w:shd w:fill="FDEDEC"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Critical Integration Alert: Patient Merges (A34/A40)</w:t>
            </w:r>
          </w:p>
          <w:p>
            <w:pPr>
              <w:spacing w:before="40"/>
            </w:pPr>
            <w:r>
              <w:rPr>
                <w:rFonts w:ascii="Arial" w:cs="Arial" w:eastAsia="Arial" w:hAnsi="Arial"/>
                <w:color w:val="2C3E50"/>
                <w:sz w:val="20"/>
                <w:szCs w:val="20"/>
              </w:rPr>
              <w:t xml:space="preserve">Patient merge events are among the most complex and high-risk messages in healthcare integration. When two patient records are merged (because they were discovered to be the same person), every downstream system must update its references from the old MRN to the surviving MRN. A missed merge can result in split patient records, misattributed results, and patient safety risks. Always test merge handling exhaustively.</w:t>
            </w:r>
          </w:p>
        </w:tc>
      </w:tr>
    </w:tbl>
    <w:p>
      <w:pPr>
        <w:spacing w:before="120" w:after="120"/>
      </w:pPr>
    </w:p>
    <w:p>
      <w:pPr>
        <w:pStyle w:val="Heading3"/>
        <w:spacing w:before="280" w:after="120"/>
      </w:pPr>
      <w:r>
        <w:rPr>
          <w:rFonts w:ascii="Arial" w:cs="Arial" w:eastAsia="Arial" w:hAnsi="Arial"/>
          <w:b/>
          <w:bCs/>
          <w:color w:val="2980B9"/>
          <w:sz w:val="26"/>
          <w:szCs w:val="26"/>
        </w:rPr>
        <w:t xml:space="preserve">ORM/OML — Order Messages</w:t>
      </w:r>
    </w:p>
    <w:p>
      <w:pPr>
        <w:spacing w:before="60" w:after="100" w:line="340"/>
      </w:pPr>
      <w:r>
        <w:rPr>
          <w:rFonts w:ascii="Arial" w:cs="Arial" w:eastAsia="Arial" w:hAnsi="Arial"/>
          <w:color w:val="2C3E50"/>
          <w:sz w:val="22"/>
          <w:szCs w:val="22"/>
        </w:rPr>
        <w:t xml:space="preserve">Order messages transmit clinical orders from the ordering system (usually the EHR) to the performing system (lab, radiology, pharmacy):</w:t>
      </w:r>
    </w:p>
    <w:p>
      <w:pPr>
        <w:pStyle w:val="ListParagraph"/>
        <w:numPr>
          <w:ilvl w:val="0"/>
          <w:numId w:val="2"/>
        </w:numPr>
        <w:spacing w:before="40" w:after="40" w:line="310"/>
      </w:pPr>
      <w:r>
        <w:rPr>
          <w:rFonts w:ascii="Arial" w:cs="Arial" w:eastAsia="Arial" w:hAnsi="Arial"/>
          <w:b/>
          <w:bCs/>
          <w:color w:val="2C3E50"/>
          <w:sz w:val="22"/>
          <w:szCs w:val="22"/>
        </w:rPr>
        <w:t xml:space="preserve">ORM^O01 (General Order): </w:t>
      </w:r>
      <w:r>
        <w:rPr>
          <w:rFonts w:ascii="Arial" w:cs="Arial" w:eastAsia="Arial" w:hAnsi="Arial"/>
          <w:color w:val="2C3E50"/>
          <w:sz w:val="22"/>
          <w:szCs w:val="22"/>
        </w:rPr>
        <w:t xml:space="preserve">The original order message format. Carries lab, radiology, and procedure orders. Contains MSH, PID, PV1, ORC (Common Order), and OBR segments.</w:t>
      </w:r>
    </w:p>
    <w:p>
      <w:pPr>
        <w:pStyle w:val="ListParagraph"/>
        <w:numPr>
          <w:ilvl w:val="0"/>
          <w:numId w:val="2"/>
        </w:numPr>
        <w:spacing w:before="40" w:after="40" w:line="310"/>
      </w:pPr>
      <w:r>
        <w:rPr>
          <w:rFonts w:ascii="Arial" w:cs="Arial" w:eastAsia="Arial" w:hAnsi="Arial"/>
          <w:b/>
          <w:bCs/>
          <w:color w:val="2C3E50"/>
          <w:sz w:val="22"/>
          <w:szCs w:val="22"/>
        </w:rPr>
        <w:t xml:space="preserve">OML^O21 (Laboratory Order): </w:t>
      </w:r>
      <w:r>
        <w:rPr>
          <w:rFonts w:ascii="Arial" w:cs="Arial" w:eastAsia="Arial" w:hAnsi="Arial"/>
          <w:color w:val="2C3E50"/>
          <w:sz w:val="22"/>
          <w:szCs w:val="22"/>
        </w:rPr>
        <w:t xml:space="preserve">Newer laboratory-specific order format introduced in v2.5. Provides better support for specimen information and complex lab workflows.</w:t>
      </w:r>
    </w:p>
    <w:p>
      <w:pPr>
        <w:pStyle w:val="ListParagraph"/>
        <w:numPr>
          <w:ilvl w:val="0"/>
          <w:numId w:val="2"/>
        </w:numPr>
        <w:spacing w:before="40" w:after="40" w:line="310"/>
      </w:pPr>
      <w:r>
        <w:rPr>
          <w:rFonts w:ascii="Arial" w:cs="Arial" w:eastAsia="Arial" w:hAnsi="Arial"/>
          <w:b/>
          <w:bCs/>
          <w:color w:val="2C3E50"/>
          <w:sz w:val="22"/>
          <w:szCs w:val="22"/>
        </w:rPr>
        <w:t xml:space="preserve">ORC (Common Order Segment): </w:t>
      </w:r>
      <w:r>
        <w:rPr>
          <w:rFonts w:ascii="Arial" w:cs="Arial" w:eastAsia="Arial" w:hAnsi="Arial"/>
          <w:color w:val="2C3E50"/>
          <w:sz w:val="22"/>
          <w:szCs w:val="22"/>
        </w:rPr>
        <w:t xml:space="preserve">Contains order control information: order status (NW=New, CA=Cancel, DC=Discontinue, XO=Change), placer and filler order numbers, ordering provider, and order date/time.</w:t>
      </w:r>
    </w:p>
    <w:p>
      <w:pPr>
        <w:spacing w:before="120" w:after="120"/>
      </w:pPr>
    </w:p>
    <w:p>
      <w:pPr>
        <w:pStyle w:val="Heading3"/>
        <w:spacing w:before="280" w:after="120"/>
      </w:pPr>
      <w:r>
        <w:rPr>
          <w:rFonts w:ascii="Arial" w:cs="Arial" w:eastAsia="Arial" w:hAnsi="Arial"/>
          <w:b/>
          <w:bCs/>
          <w:color w:val="2980B9"/>
          <w:sz w:val="26"/>
          <w:szCs w:val="26"/>
        </w:rPr>
        <w:t xml:space="preserve">ORU — Observation Result Messages</w:t>
      </w:r>
    </w:p>
    <w:p>
      <w:pPr>
        <w:spacing w:before="60" w:after="100" w:line="340"/>
      </w:pPr>
      <w:r>
        <w:rPr>
          <w:rFonts w:ascii="Arial" w:cs="Arial" w:eastAsia="Arial" w:hAnsi="Arial"/>
          <w:color w:val="2C3E50"/>
          <w:sz w:val="22"/>
          <w:szCs w:val="22"/>
        </w:rPr>
        <w:t xml:space="preserve">ORU messages carry clinical results from performing systems back to the ordering system and other interested systems:</w:t>
      </w:r>
    </w:p>
    <w:p>
      <w:pPr>
        <w:pStyle w:val="ListParagraph"/>
        <w:numPr>
          <w:ilvl w:val="0"/>
          <w:numId w:val="2"/>
        </w:numPr>
        <w:spacing w:before="40" w:after="40" w:line="310"/>
      </w:pPr>
      <w:r>
        <w:rPr>
          <w:rFonts w:ascii="Arial" w:cs="Arial" w:eastAsia="Arial" w:hAnsi="Arial"/>
          <w:b/>
          <w:bCs/>
          <w:color w:val="2C3E50"/>
          <w:sz w:val="22"/>
          <w:szCs w:val="22"/>
        </w:rPr>
        <w:t xml:space="preserve">ORU^R01 (Unsolicited Observation Result): </w:t>
      </w:r>
      <w:r>
        <w:rPr>
          <w:rFonts w:ascii="Arial" w:cs="Arial" w:eastAsia="Arial" w:hAnsi="Arial"/>
          <w:color w:val="2C3E50"/>
          <w:sz w:val="22"/>
          <w:szCs w:val="22"/>
        </w:rPr>
        <w:t xml:space="preserve">The most common result message. Carries lab results, radiology reports, microbiology results, pathology reports, and any other diagnostic observations.</w:t>
      </w:r>
    </w:p>
    <w:p>
      <w:pPr>
        <w:pStyle w:val="ListParagraph"/>
        <w:numPr>
          <w:ilvl w:val="0"/>
          <w:numId w:val="2"/>
        </w:numPr>
        <w:spacing w:before="40" w:after="40" w:line="310"/>
      </w:pPr>
      <w:r>
        <w:rPr>
          <w:rFonts w:ascii="Arial" w:cs="Arial" w:eastAsia="Arial" w:hAnsi="Arial"/>
          <w:b/>
          <w:bCs/>
          <w:color w:val="2C3E50"/>
          <w:sz w:val="22"/>
          <w:szCs w:val="22"/>
        </w:rPr>
        <w:t xml:space="preserve">Structure: </w:t>
      </w:r>
      <w:r>
        <w:rPr>
          <w:rFonts w:ascii="Arial" w:cs="Arial" w:eastAsia="Arial" w:hAnsi="Arial"/>
          <w:color w:val="2C3E50"/>
          <w:sz w:val="22"/>
          <w:szCs w:val="22"/>
        </w:rPr>
        <w:t xml:space="preserve">MSH | PID | PV1 | {ORC | OBR | {OBX}} — where braces indicate repeating groups. One OBR per order with multiple OBX segments per OBR for individual result values.</w:t>
      </w:r>
    </w:p>
    <w:p>
      <w:pPr>
        <w:pStyle w:val="ListParagraph"/>
        <w:numPr>
          <w:ilvl w:val="0"/>
          <w:numId w:val="2"/>
        </w:numPr>
        <w:spacing w:before="40" w:after="40" w:line="310"/>
      </w:pPr>
      <w:r>
        <w:rPr>
          <w:rFonts w:ascii="Arial" w:cs="Arial" w:eastAsia="Arial" w:hAnsi="Arial"/>
          <w:b/>
          <w:bCs/>
          <w:color w:val="2C3E50"/>
          <w:sz w:val="22"/>
          <w:szCs w:val="22"/>
        </w:rPr>
        <w:t xml:space="preserve">Result Status Workflow: </w:t>
      </w:r>
      <w:r>
        <w:rPr>
          <w:rFonts w:ascii="Arial" w:cs="Arial" w:eastAsia="Arial" w:hAnsi="Arial"/>
          <w:color w:val="2C3E50"/>
          <w:sz w:val="22"/>
          <w:szCs w:val="22"/>
        </w:rPr>
        <w:t xml:space="preserve">Results typically flow as: Preliminary (P) → Final (F). Corrections are sent as (C) with updated values. The receiving system must handle each status appropriately.</w:t>
      </w:r>
    </w:p>
    <w:p>
      <w:pPr>
        <w:spacing w:before="120" w:after="120"/>
      </w:pPr>
    </w:p>
    <w:p>
      <w:pPr>
        <w:pStyle w:val="Heading3"/>
        <w:spacing w:before="280" w:after="120"/>
      </w:pPr>
      <w:r>
        <w:rPr>
          <w:rFonts w:ascii="Arial" w:cs="Arial" w:eastAsia="Arial" w:hAnsi="Arial"/>
          <w:b/>
          <w:bCs/>
          <w:color w:val="2980B9"/>
          <w:sz w:val="26"/>
          <w:szCs w:val="26"/>
        </w:rPr>
        <w:t xml:space="preserve">SIU — Scheduling Messages</w:t>
      </w:r>
    </w:p>
    <w:p>
      <w:pPr>
        <w:pStyle w:val="ListParagraph"/>
        <w:numPr>
          <w:ilvl w:val="0"/>
          <w:numId w:val="2"/>
        </w:numPr>
        <w:spacing w:before="40" w:after="40" w:line="310"/>
      </w:pPr>
      <w:r>
        <w:rPr>
          <w:rFonts w:ascii="Arial" w:cs="Arial" w:eastAsia="Arial" w:hAnsi="Arial"/>
          <w:b/>
          <w:bCs/>
          <w:color w:val="2C3E50"/>
          <w:sz w:val="22"/>
          <w:szCs w:val="22"/>
        </w:rPr>
        <w:t xml:space="preserve">SIU^S12 (Notification of New Appointment): </w:t>
      </w:r>
      <w:r>
        <w:rPr>
          <w:rFonts w:ascii="Arial" w:cs="Arial" w:eastAsia="Arial" w:hAnsi="Arial"/>
          <w:color w:val="2C3E50"/>
          <w:sz w:val="22"/>
          <w:szCs w:val="22"/>
        </w:rPr>
        <w:t xml:space="preserve">Sent when a new appointment is scheduled. Contains appointment date/time, resource, location, and reason.</w:t>
      </w:r>
    </w:p>
    <w:p>
      <w:pPr>
        <w:pStyle w:val="ListParagraph"/>
        <w:numPr>
          <w:ilvl w:val="0"/>
          <w:numId w:val="2"/>
        </w:numPr>
        <w:spacing w:before="40" w:after="40" w:line="310"/>
      </w:pPr>
      <w:r>
        <w:rPr>
          <w:rFonts w:ascii="Arial" w:cs="Arial" w:eastAsia="Arial" w:hAnsi="Arial"/>
          <w:b/>
          <w:bCs/>
          <w:color w:val="2C3E50"/>
          <w:sz w:val="22"/>
          <w:szCs w:val="22"/>
        </w:rPr>
        <w:t xml:space="preserve">SIU^S13 (Notification of Appointment Rescheduled): </w:t>
      </w:r>
      <w:r>
        <w:rPr>
          <w:rFonts w:ascii="Arial" w:cs="Arial" w:eastAsia="Arial" w:hAnsi="Arial"/>
          <w:color w:val="2C3E50"/>
          <w:sz w:val="22"/>
          <w:szCs w:val="22"/>
        </w:rPr>
        <w:t xml:space="preserve">Sent when an existing appointment is moved to a different date, time, or provider.</w:t>
      </w:r>
    </w:p>
    <w:p>
      <w:pPr>
        <w:pStyle w:val="ListParagraph"/>
        <w:numPr>
          <w:ilvl w:val="0"/>
          <w:numId w:val="2"/>
        </w:numPr>
        <w:spacing w:before="40" w:after="40" w:line="310"/>
      </w:pPr>
      <w:r>
        <w:rPr>
          <w:rFonts w:ascii="Arial" w:cs="Arial" w:eastAsia="Arial" w:hAnsi="Arial"/>
          <w:b/>
          <w:bCs/>
          <w:color w:val="2C3E50"/>
          <w:sz w:val="22"/>
          <w:szCs w:val="22"/>
        </w:rPr>
        <w:t xml:space="preserve">SIU^S15 (Notification of Appointment Cancellation): </w:t>
      </w:r>
      <w:r>
        <w:rPr>
          <w:rFonts w:ascii="Arial" w:cs="Arial" w:eastAsia="Arial" w:hAnsi="Arial"/>
          <w:color w:val="2C3E50"/>
          <w:sz w:val="22"/>
          <w:szCs w:val="22"/>
        </w:rPr>
        <w:t xml:space="preserve">Sent when an appointment is cancelled. Downstream systems should free the associated resources.</w:t>
      </w:r>
    </w:p>
    <w:p>
      <w:pPr>
        <w:spacing w:before="120" w:after="120"/>
      </w:pPr>
    </w:p>
    <w:p>
      <w:pPr>
        <w:pStyle w:val="Heading3"/>
        <w:spacing w:before="280" w:after="120"/>
      </w:pPr>
      <w:r>
        <w:rPr>
          <w:rFonts w:ascii="Arial" w:cs="Arial" w:eastAsia="Arial" w:hAnsi="Arial"/>
          <w:b/>
          <w:bCs/>
          <w:color w:val="2980B9"/>
          <w:sz w:val="26"/>
          <w:szCs w:val="26"/>
        </w:rPr>
        <w:t xml:space="preserve">Other Important Message Types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Message</w:t>
            </w:r>
          </w:p>
        </w:tc>
        <w:tc>
          <w:tcPr>
            <w:tcW w:type="dxa" w:w="2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3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MDM^T02</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Document Notification with Content</w:t>
            </w:r>
          </w:p>
        </w:tc>
        <w:tc>
          <w:tcPr>
            <w:tcW w:type="dxa" w:w="5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Transmit clinical documents (transcriptions, reports) with the document text included</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DFT^P03</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Detail Financial Transaction</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Transmit charge information from clinical systems to billing systems</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BAR^P01</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Add Patient Account</w:t>
            </w:r>
          </w:p>
        </w:tc>
        <w:tc>
          <w:tcPr>
            <w:tcW w:type="dxa" w:w="5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Create patient account and post charges for billing</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MFN^M02</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Master File Notification - Staff</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Distribute provider/staff master file updates across systems</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VXU^V04</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Unsolicited Vaccination Record Update</w:t>
            </w:r>
          </w:p>
        </w:tc>
        <w:tc>
          <w:tcPr>
            <w:tcW w:type="dxa" w:w="5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Report immunization administrations to registries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ACK</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General Acknowledgment</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Confirm receipt and acceptance/rejection of a message</w:t>
            </w:r>
          </w:p>
        </w:tc>
      </w:tr>
    </w:tbl>
    <w:p>
      <w:pPr>
        <w:spacing w:before="120" w:after="120"/>
      </w:pPr>
    </w:p>
    <w:p>
      <w:pPr>
        <w:pStyle w:val="Heading2"/>
        <w:spacing w:before="340" w:after="160"/>
      </w:pPr>
      <w:r>
        <w:rPr>
          <w:rFonts w:ascii="Arial" w:cs="Arial" w:eastAsia="Arial" w:hAnsi="Arial"/>
          <w:b/>
          <w:bCs/>
          <w:color w:val="1A6FA5"/>
          <w:sz w:val="30"/>
          <w:szCs w:val="30"/>
        </w:rPr>
        <w:t xml:space="preserve">1.4 HL7 v2 Acknowledgment Patterns</w:t>
      </w:r>
    </w:p>
    <w:p>
      <w:pPr>
        <w:spacing w:before="60" w:after="100" w:line="340"/>
      </w:pPr>
      <w:r>
        <w:rPr>
          <w:rFonts w:ascii="Arial" w:cs="Arial" w:eastAsia="Arial" w:hAnsi="Arial"/>
          <w:color w:val="2C3E50"/>
          <w:sz w:val="22"/>
          <w:szCs w:val="22"/>
        </w:rPr>
        <w:t xml:space="preserve">Acknowledgments (ACKs) are critical for reliable message delivery. The sending system must know whether the receiving system successfully processed a message or encountered an error.</w:t>
      </w:r>
    </w:p>
    <w:p>
      <w:pPr>
        <w:pStyle w:val="Heading3"/>
        <w:spacing w:before="280" w:after="120"/>
      </w:pPr>
      <w:r>
        <w:rPr>
          <w:rFonts w:ascii="Arial" w:cs="Arial" w:eastAsia="Arial" w:hAnsi="Arial"/>
          <w:b/>
          <w:bCs/>
          <w:color w:val="2980B9"/>
          <w:sz w:val="26"/>
          <w:szCs w:val="26"/>
        </w:rPr>
        <w:t xml:space="preserve">Original Mode Acknowledgment</w:t>
      </w:r>
    </w:p>
    <w:p>
      <w:pPr>
        <w:spacing w:before="60" w:after="100" w:line="340"/>
      </w:pPr>
      <w:r>
        <w:rPr>
          <w:rFonts w:ascii="Arial" w:cs="Arial" w:eastAsia="Arial" w:hAnsi="Arial"/>
          <w:color w:val="2C3E50"/>
          <w:sz w:val="22"/>
          <w:szCs w:val="22"/>
        </w:rPr>
        <w:t xml:space="preserve">In original mode (the most common pattern), the receiver sends a single ACK after processing the message:</w:t>
      </w:r>
    </w:p>
    <w:p>
      <w:pPr>
        <w:pStyle w:val="ListParagraph"/>
        <w:numPr>
          <w:ilvl w:val="0"/>
          <w:numId w:val="2"/>
        </w:numPr>
        <w:spacing w:before="40" w:after="40" w:line="310"/>
      </w:pPr>
      <w:r>
        <w:rPr>
          <w:rFonts w:ascii="Arial" w:cs="Arial" w:eastAsia="Arial" w:hAnsi="Arial"/>
          <w:b/>
          <w:bCs/>
          <w:color w:val="2C3E50"/>
          <w:sz w:val="22"/>
          <w:szCs w:val="22"/>
        </w:rPr>
        <w:t xml:space="preserve">AA (Application Accept): </w:t>
      </w:r>
      <w:r>
        <w:rPr>
          <w:rFonts w:ascii="Arial" w:cs="Arial" w:eastAsia="Arial" w:hAnsi="Arial"/>
          <w:color w:val="2C3E50"/>
          <w:sz w:val="22"/>
          <w:szCs w:val="22"/>
        </w:rPr>
        <w:t xml:space="preserve">Message received and successfully processed. The sender can consider this message delivered.</w:t>
      </w:r>
    </w:p>
    <w:p>
      <w:pPr>
        <w:pStyle w:val="ListParagraph"/>
        <w:numPr>
          <w:ilvl w:val="0"/>
          <w:numId w:val="2"/>
        </w:numPr>
        <w:spacing w:before="40" w:after="40" w:line="310"/>
      </w:pPr>
      <w:r>
        <w:rPr>
          <w:rFonts w:ascii="Arial" w:cs="Arial" w:eastAsia="Arial" w:hAnsi="Arial"/>
          <w:b/>
          <w:bCs/>
          <w:color w:val="2C3E50"/>
          <w:sz w:val="22"/>
          <w:szCs w:val="22"/>
        </w:rPr>
        <w:t xml:space="preserve">AE (Application Error): </w:t>
      </w:r>
      <w:r>
        <w:rPr>
          <w:rFonts w:ascii="Arial" w:cs="Arial" w:eastAsia="Arial" w:hAnsi="Arial"/>
          <w:color w:val="2C3E50"/>
          <w:sz w:val="22"/>
          <w:szCs w:val="22"/>
        </w:rPr>
        <w:t xml:space="preserve">Message received but contains errors that prevent processing. The sender should investigate and potentially resend a corrected message.</w:t>
      </w:r>
    </w:p>
    <w:p>
      <w:pPr>
        <w:pStyle w:val="ListParagraph"/>
        <w:numPr>
          <w:ilvl w:val="0"/>
          <w:numId w:val="2"/>
        </w:numPr>
        <w:spacing w:before="40" w:after="40" w:line="310"/>
      </w:pPr>
      <w:r>
        <w:rPr>
          <w:rFonts w:ascii="Arial" w:cs="Arial" w:eastAsia="Arial" w:hAnsi="Arial"/>
          <w:b/>
          <w:bCs/>
          <w:color w:val="2C3E50"/>
          <w:sz w:val="22"/>
          <w:szCs w:val="22"/>
        </w:rPr>
        <w:t xml:space="preserve">AR (Application Reject): </w:t>
      </w:r>
      <w:r>
        <w:rPr>
          <w:rFonts w:ascii="Arial" w:cs="Arial" w:eastAsia="Arial" w:hAnsi="Arial"/>
          <w:color w:val="2C3E50"/>
          <w:sz w:val="22"/>
          <w:szCs w:val="22"/>
        </w:rPr>
        <w:t xml:space="preserve">Message received but rejected (e.g., unsupported message type, security failure). The sender should not retry without addressing the root cause.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Example: ACK Message for a Successful ADT^A01</w:t>
            </w:r>
          </w:p>
          <w:p>
            <w:pPr>
              <w:spacing w:before="20" w:after="20"/>
            </w:pPr>
            <w:r>
              <w:rPr>
                <w:rFonts w:ascii="Consolas" w:cs="Consolas" w:eastAsia="Consolas" w:hAnsi="Consolas"/>
                <w:color w:val="1C2833"/>
                <w:sz w:val="18"/>
                <w:szCs w:val="18"/>
              </w:rPr>
              <w:t xml:space="preserve">MSH|^~\&amp;|LAB_LIS|QUEST|EPIC|MAIN_HOSPITAL|20260215103100||ACK^A01|ACK000123456|P|2.5.1</w:t>
            </w:r>
          </w:p>
          <w:p>
            <w:pPr>
              <w:spacing w:before="20" w:after="20"/>
            </w:pPr>
            <w:r>
              <w:rPr>
                <w:rFonts w:ascii="Consolas" w:cs="Consolas" w:eastAsia="Consolas" w:hAnsi="Consolas"/>
                <w:color w:val="1C2833"/>
                <w:sz w:val="18"/>
                <w:szCs w:val="18"/>
              </w:rPr>
              <w:t xml:space="preserve">MSA|AA|MSG000123456||</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 MSA-1 = AA (Application Accept)</w:t>
            </w:r>
          </w:p>
          <w:p>
            <w:pPr>
              <w:spacing w:before="20" w:after="20"/>
            </w:pPr>
            <w:r>
              <w:rPr>
                <w:rFonts w:ascii="Consolas" w:cs="Consolas" w:eastAsia="Consolas" w:hAnsi="Consolas"/>
                <w:color w:val="1C2833"/>
                <w:sz w:val="18"/>
                <w:szCs w:val="18"/>
              </w:rPr>
              <w:t xml:space="preserve">-- MSA-2 = MSG000123456 (references the original message control ID)</w:t>
            </w:r>
          </w:p>
        </w:tc>
      </w:tr>
    </w:tbl>
    <w:p>
      <w:pPr>
        <w:spacing w:before="120" w:after="120"/>
      </w:pPr>
    </w:p>
    <w:p>
      <w:pPr>
        <w:pStyle w:val="Heading3"/>
        <w:spacing w:before="280" w:after="120"/>
      </w:pPr>
      <w:r>
        <w:rPr>
          <w:rFonts w:ascii="Arial" w:cs="Arial" w:eastAsia="Arial" w:hAnsi="Arial"/>
          <w:b/>
          <w:bCs/>
          <w:color w:val="2980B9"/>
          <w:sz w:val="26"/>
          <w:szCs w:val="26"/>
        </w:rPr>
        <w:t xml:space="preserve">Enhanced Mode Acknowledgment</w:t>
      </w:r>
    </w:p>
    <w:p>
      <w:pPr>
        <w:spacing w:before="60" w:after="100" w:line="340"/>
      </w:pPr>
      <w:r>
        <w:rPr>
          <w:rFonts w:ascii="Arial" w:cs="Arial" w:eastAsia="Arial" w:hAnsi="Arial"/>
          <w:color w:val="2C3E50"/>
          <w:sz w:val="22"/>
          <w:szCs w:val="22"/>
        </w:rPr>
        <w:t xml:space="preserve">Enhanced mode separates the acknowledgment into two phases:</w:t>
      </w:r>
    </w:p>
    <w:p>
      <w:pPr>
        <w:pStyle w:val="ListParagraph"/>
        <w:numPr>
          <w:ilvl w:val="0"/>
          <w:numId w:val="2"/>
        </w:numPr>
        <w:spacing w:before="40" w:after="40" w:line="310"/>
      </w:pPr>
      <w:r>
        <w:rPr>
          <w:rFonts w:ascii="Arial" w:cs="Arial" w:eastAsia="Arial" w:hAnsi="Arial"/>
          <w:b/>
          <w:bCs/>
          <w:color w:val="2C3E50"/>
          <w:sz w:val="22"/>
          <w:szCs w:val="22"/>
        </w:rPr>
        <w:t xml:space="preserve">Commit Acknowledgment (CA/CE/CR): </w:t>
      </w:r>
      <w:r>
        <w:rPr>
          <w:rFonts w:ascii="Arial" w:cs="Arial" w:eastAsia="Arial" w:hAnsi="Arial"/>
          <w:color w:val="2C3E50"/>
          <w:sz w:val="22"/>
          <w:szCs w:val="22"/>
        </w:rPr>
        <w:t xml:space="preserve">Confirms the message was safely received and stored (committed). Sent immediately upon receipt.</w:t>
      </w:r>
    </w:p>
    <w:p>
      <w:pPr>
        <w:pStyle w:val="ListParagraph"/>
        <w:numPr>
          <w:ilvl w:val="0"/>
          <w:numId w:val="2"/>
        </w:numPr>
        <w:spacing w:before="40" w:after="40" w:line="310"/>
      </w:pPr>
      <w:r>
        <w:rPr>
          <w:rFonts w:ascii="Arial" w:cs="Arial" w:eastAsia="Arial" w:hAnsi="Arial"/>
          <w:b/>
          <w:bCs/>
          <w:color w:val="2C3E50"/>
          <w:sz w:val="22"/>
          <w:szCs w:val="22"/>
        </w:rPr>
        <w:t xml:space="preserve">Application Acknowledgment (AA/AE/AR): </w:t>
      </w:r>
      <w:r>
        <w:rPr>
          <w:rFonts w:ascii="Arial" w:cs="Arial" w:eastAsia="Arial" w:hAnsi="Arial"/>
          <w:color w:val="2C3E50"/>
          <w:sz w:val="22"/>
          <w:szCs w:val="22"/>
        </w:rPr>
        <w:t xml:space="preserve">Confirms the message was successfully processed by the application. Sent after processing is complete.</w:t>
      </w:r>
    </w:p>
    <w:p>
      <w:pPr>
        <w:spacing w:before="60" w:after="100" w:line="340"/>
      </w:pPr>
      <w:r>
        <w:rPr>
          <w:rFonts w:ascii="Arial" w:cs="Arial" w:eastAsia="Arial" w:hAnsi="Arial"/>
          <w:color w:val="2C3E50"/>
          <w:sz w:val="22"/>
          <w:szCs w:val="22"/>
        </w:rPr>
        <w:t xml:space="preserve">Enhanced mode is used in high-reliability scenarios where the sender needs to know both that the message was safely stored AND that it was successfully processed.</w:t>
      </w:r>
    </w:p>
    <w:p>
      <w:pPr>
        <w:spacing w:before="120" w:after="120"/>
      </w:pPr>
    </w:p>
    <w:p>
      <w:pPr>
        <w:pStyle w:val="Heading2"/>
        <w:spacing w:before="340" w:after="160"/>
      </w:pPr>
      <w:r>
        <w:rPr>
          <w:rFonts w:ascii="Arial" w:cs="Arial" w:eastAsia="Arial" w:hAnsi="Arial"/>
          <w:b/>
          <w:bCs/>
          <w:color w:val="1A6FA5"/>
          <w:sz w:val="30"/>
          <w:szCs w:val="30"/>
        </w:rPr>
        <w:t xml:space="preserve">1.5 HL7 v2 Transport: MLLP</w:t>
      </w:r>
    </w:p>
    <w:p>
      <w:pPr>
        <w:spacing w:before="60" w:after="100" w:line="340"/>
      </w:pPr>
      <w:r>
        <w:rPr>
          <w:rFonts w:ascii="Arial" w:cs="Arial" w:eastAsia="Arial" w:hAnsi="Arial"/>
          <w:color w:val="2C3E50"/>
          <w:sz w:val="22"/>
          <w:szCs w:val="22"/>
        </w:rPr>
        <w:t xml:space="preserve">Minimum Lower Layer Protocol (MLLP) is the standard transport protocol for HL7 v2 messages. MLLP wraps each message with start and end delimiters so the receiving system knows where one message ends and the next begins.</w:t>
      </w:r>
    </w:p>
    <w:p>
      <w:pPr>
        <w:pStyle w:val="ListParagraph"/>
        <w:numPr>
          <w:ilvl w:val="0"/>
          <w:numId w:val="2"/>
        </w:numPr>
        <w:spacing w:before="40" w:after="40" w:line="310"/>
      </w:pPr>
      <w:r>
        <w:rPr>
          <w:rFonts w:ascii="Arial" w:cs="Arial" w:eastAsia="Arial" w:hAnsi="Arial"/>
          <w:b/>
          <w:bCs/>
          <w:color w:val="2C3E50"/>
          <w:sz w:val="22"/>
          <w:szCs w:val="22"/>
        </w:rPr>
        <w:t xml:space="preserve">Start Block: </w:t>
      </w:r>
      <w:r>
        <w:rPr>
          <w:rFonts w:ascii="Arial" w:cs="Arial" w:eastAsia="Arial" w:hAnsi="Arial"/>
          <w:color w:val="2C3E50"/>
          <w:sz w:val="22"/>
          <w:szCs w:val="22"/>
        </w:rPr>
        <w:t xml:space="preserve">Vertical Tab character (0x0B / VT / ASCII 11). Marks the beginning of an HL7 message.</w:t>
      </w:r>
    </w:p>
    <w:p>
      <w:pPr>
        <w:pStyle w:val="ListParagraph"/>
        <w:numPr>
          <w:ilvl w:val="0"/>
          <w:numId w:val="2"/>
        </w:numPr>
        <w:spacing w:before="40" w:after="40" w:line="310"/>
      </w:pPr>
      <w:r>
        <w:rPr>
          <w:rFonts w:ascii="Arial" w:cs="Arial" w:eastAsia="Arial" w:hAnsi="Arial"/>
          <w:b/>
          <w:bCs/>
          <w:color w:val="2C3E50"/>
          <w:sz w:val="22"/>
          <w:szCs w:val="22"/>
        </w:rPr>
        <w:t xml:space="preserve">End Block: </w:t>
      </w:r>
      <w:r>
        <w:rPr>
          <w:rFonts w:ascii="Arial" w:cs="Arial" w:eastAsia="Arial" w:hAnsi="Arial"/>
          <w:color w:val="2C3E50"/>
          <w:sz w:val="22"/>
          <w:szCs w:val="22"/>
        </w:rPr>
        <w:t xml:space="preserve">File Separator (0x1C / FS / ASCII 28) followed by Carriage Return (0x0D / CR / ASCII 13). Marks the end of an HL7 message.</w:t>
      </w:r>
    </w:p>
    <w:p>
      <w:pPr>
        <w:pStyle w:val="ListParagraph"/>
        <w:numPr>
          <w:ilvl w:val="0"/>
          <w:numId w:val="2"/>
        </w:numPr>
        <w:spacing w:before="40" w:after="40" w:line="310"/>
      </w:pPr>
      <w:r>
        <w:rPr>
          <w:rFonts w:ascii="Arial" w:cs="Arial" w:eastAsia="Arial" w:hAnsi="Arial"/>
          <w:b/>
          <w:bCs/>
          <w:color w:val="2C3E50"/>
          <w:sz w:val="22"/>
          <w:szCs w:val="22"/>
        </w:rPr>
        <w:t xml:space="preserve">Wire Format: </w:t>
      </w:r>
      <w:r>
        <w:rPr>
          <w:rFonts w:ascii="Arial" w:cs="Arial" w:eastAsia="Arial" w:hAnsi="Arial"/>
          <w:color w:val="2C3E50"/>
          <w:sz w:val="22"/>
          <w:szCs w:val="22"/>
        </w:rPr>
        <w:t xml:space="preserve">&lt;VT&gt;MSH|^~\&amp;|...&lt;FS&gt;&lt;CR&gt;</w:t>
      </w:r>
    </w:p>
    <w:p>
      <w:pPr>
        <w:spacing w:before="60" w:after="100" w:line="340"/>
      </w:pPr>
      <w:r>
        <w:rPr>
          <w:rFonts w:ascii="Arial" w:cs="Arial" w:eastAsia="Arial" w:hAnsi="Arial"/>
          <w:color w:val="2C3E50"/>
          <w:sz w:val="22"/>
          <w:szCs w:val="22"/>
        </w:rPr>
        <w:t xml:space="preserve">MLLP typically runs over persistent TCP connections. The connection remains open between messages, and both sides send and receive on the same socket. Integration engines manage connection pooling, keep-alive, and reconnection logic.</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Complete HL7 v2 ADT^A01 Message Example</w:t>
            </w:r>
          </w:p>
          <w:p>
            <w:pPr>
              <w:spacing w:before="20" w:after="20"/>
            </w:pPr>
            <w:r>
              <w:rPr>
                <w:rFonts w:ascii="Consolas" w:cs="Consolas" w:eastAsia="Consolas" w:hAnsi="Consolas"/>
                <w:color w:val="1C2833"/>
                <w:sz w:val="18"/>
                <w:szCs w:val="18"/>
              </w:rPr>
              <w:t xml:space="preserve">MSH|^~\&amp;|EPIC|MAIN_HOSPITAL|LAB_LIS|QUEST|20260215103045||ADT^A01^ADT_A01|MSG000123456|P|2.5.1|||AL|NE</w:t>
            </w:r>
          </w:p>
          <w:p>
            <w:pPr>
              <w:spacing w:before="20" w:after="20"/>
            </w:pPr>
            <w:r>
              <w:rPr>
                <w:rFonts w:ascii="Consolas" w:cs="Consolas" w:eastAsia="Consolas" w:hAnsi="Consolas"/>
                <w:color w:val="1C2833"/>
                <w:sz w:val="18"/>
                <w:szCs w:val="18"/>
              </w:rPr>
              <w:t xml:space="preserve">EVN|A01|20260215103045</w:t>
            </w:r>
          </w:p>
          <w:p>
            <w:pPr>
              <w:spacing w:before="20" w:after="20"/>
            </w:pPr>
            <w:r>
              <w:rPr>
                <w:rFonts w:ascii="Consolas" w:cs="Consolas" w:eastAsia="Consolas" w:hAnsi="Consolas"/>
                <w:color w:val="1C2833"/>
                <w:sz w:val="18"/>
                <w:szCs w:val="18"/>
              </w:rPr>
              <w:t xml:space="preserve">PID|1||MRN001234^^^MainHosp^MR||Smith^John^Michael^^Mr.||19580715|M|||123 Main St^^Springfield^IL^62701||</w:t>
            </w:r>
          </w:p>
          <w:p>
            <w:pPr>
              <w:spacing w:before="20" w:after="20"/>
            </w:pPr>
            <w:r>
              <w:rPr>
                <w:rFonts w:ascii="Consolas" w:cs="Consolas" w:eastAsia="Consolas" w:hAnsi="Consolas"/>
                <w:color w:val="1C2833"/>
                <w:sz w:val="18"/>
                <w:szCs w:val="18"/>
              </w:rPr>
              <w:t xml:space="preserve">  (555)123-4567||EN|M|CHR|ACCT00056789|||N^Not Hispanic^HL70189||||||N</w:t>
            </w:r>
          </w:p>
          <w:p>
            <w:pPr>
              <w:spacing w:before="20" w:after="20"/>
            </w:pPr>
            <w:r>
              <w:rPr>
                <w:rFonts w:ascii="Consolas" w:cs="Consolas" w:eastAsia="Consolas" w:hAnsi="Consolas"/>
                <w:color w:val="1C2833"/>
                <w:sz w:val="18"/>
                <w:szCs w:val="18"/>
              </w:rPr>
              <w:t xml:space="preserve">PV1|1|I|4N^401^A^MainHosp||||1234567^Jones^Sarah^M^^^MD|9876543^Adams^Robert^P^^^MD||MED|||||||</w:t>
            </w:r>
          </w:p>
          <w:p>
            <w:pPr>
              <w:spacing w:before="20" w:after="20"/>
            </w:pPr>
            <w:r>
              <w:rPr>
                <w:rFonts w:ascii="Consolas" w:cs="Consolas" w:eastAsia="Consolas" w:hAnsi="Consolas"/>
                <w:color w:val="1C2833"/>
                <w:sz w:val="18"/>
                <w:szCs w:val="18"/>
              </w:rPr>
              <w:t xml:space="preserve">  1234567^Jones^Sarah^M^^^MD|IP||SI|||||||||||||||||||MainHosp||AI|||20260215103000</w:t>
            </w:r>
          </w:p>
          <w:p>
            <w:pPr>
              <w:spacing w:before="20" w:after="20"/>
            </w:pPr>
            <w:r>
              <w:rPr>
                <w:rFonts w:ascii="Consolas" w:cs="Consolas" w:eastAsia="Consolas" w:hAnsi="Consolas"/>
                <w:color w:val="1C2833"/>
                <w:sz w:val="18"/>
                <w:szCs w:val="18"/>
              </w:rPr>
              <w:t xml:space="preserve">NK1|1|Smith^Jane^^|SPO||(555)234-5678</w:t>
            </w:r>
          </w:p>
          <w:p>
            <w:pPr>
              <w:spacing w:before="20" w:after="20"/>
            </w:pPr>
            <w:r>
              <w:rPr>
                <w:rFonts w:ascii="Consolas" w:cs="Consolas" w:eastAsia="Consolas" w:hAnsi="Consolas"/>
                <w:color w:val="1C2833"/>
                <w:sz w:val="18"/>
                <w:szCs w:val="18"/>
              </w:rPr>
              <w:t xml:space="preserve">IN1|1|BCBS001|BlueCross BlueShield|PO Box 2000^^Chicago^IL^60601||(800)555-1234|GRP00123||ACME Corp|</w:t>
            </w:r>
          </w:p>
          <w:p>
            <w:pPr>
              <w:spacing w:before="20" w:after="20"/>
            </w:pPr>
            <w:r>
              <w:rPr>
                <w:rFonts w:ascii="Consolas" w:cs="Consolas" w:eastAsia="Consolas" w:hAnsi="Consolas"/>
                <w:color w:val="1C2833"/>
                <w:sz w:val="18"/>
                <w:szCs w:val="18"/>
              </w:rPr>
              <w:t xml:space="preserve">  ||20250101|20261231||COM|Smith^John^M|SELF|19580715|123 Main St^^Springfield^IL^62701|||||||||||||</w:t>
            </w:r>
          </w:p>
          <w:p>
            <w:pPr>
              <w:spacing w:before="20" w:after="20"/>
            </w:pPr>
            <w:r>
              <w:rPr>
                <w:rFonts w:ascii="Consolas" w:cs="Consolas" w:eastAsia="Consolas" w:hAnsi="Consolas"/>
                <w:color w:val="1C2833"/>
                <w:sz w:val="18"/>
                <w:szCs w:val="18"/>
              </w:rPr>
              <w:t xml:space="preserve">  |||||||POL123456789</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2. FHIR (Fast Healthcare Interoperability Resources)</w:t>
      </w:r>
    </w:p>
    <w:p>
      <w:pPr>
        <w:spacing w:before="60" w:after="100" w:line="340"/>
      </w:pPr>
      <w:r>
        <w:rPr>
          <w:rFonts w:ascii="Arial" w:cs="Arial" w:eastAsia="Arial" w:hAnsi="Arial"/>
          <w:color w:val="2C3E50"/>
          <w:sz w:val="22"/>
          <w:szCs w:val="22"/>
        </w:rPr>
        <w:t xml:space="preserve">FHIR (pronounced "fire") is the modern healthcare interoperability standard developed by HL7 International. First published as a Draft Standard for Trial Use (DSTU) in 2014, FHIR reached normative status with Release 4 (R4) in 2019. FHIR represents a fundamental shift in healthcare data exchange: from point-to-point messaging to web-based APIs, from proprietary implementations to a developer-friendly, standards-based ecosystem.</w:t>
      </w:r>
    </w:p>
    <w:p>
      <w:pPr>
        <w:spacing w:before="60" w:after="100" w:line="340"/>
      </w:pPr>
      <w:r>
        <w:rPr>
          <w:rFonts w:ascii="Arial" w:cs="Arial" w:eastAsia="Arial" w:hAnsi="Arial"/>
          <w:color w:val="2C3E50"/>
          <w:sz w:val="22"/>
          <w:szCs w:val="22"/>
        </w:rPr>
        <w:t xml:space="preserve">FHIR is not a replacement for HL7 v2 — both standards coexist and serve different purposes. HL7 v2 excels at high-volume, real-time event messaging within and between organizations. FHIR excels at on-demand data access, application integration, and patient-facing data sharing. Understanding both is essential for modern healthcare integration professionals.</w:t>
      </w:r>
    </w:p>
    <w:p>
      <w:pPr>
        <w:pStyle w:val="Heading2"/>
        <w:spacing w:before="340" w:after="160"/>
      </w:pPr>
      <w:r>
        <w:rPr>
          <w:rFonts w:ascii="Arial" w:cs="Arial" w:eastAsia="Arial" w:hAnsi="Arial"/>
          <w:b/>
          <w:bCs/>
          <w:color w:val="1A6FA5"/>
          <w:sz w:val="30"/>
          <w:szCs w:val="30"/>
        </w:rPr>
        <w:t xml:space="preserve">2.1 Why FHIR Was Created</w:t>
      </w:r>
    </w:p>
    <w:p>
      <w:pPr>
        <w:pStyle w:val="ListParagraph"/>
        <w:numPr>
          <w:ilvl w:val="0"/>
          <w:numId w:val="2"/>
        </w:numPr>
        <w:spacing w:before="40" w:after="40" w:line="310"/>
      </w:pPr>
      <w:r>
        <w:rPr>
          <w:rFonts w:ascii="Arial" w:cs="Arial" w:eastAsia="Arial" w:hAnsi="Arial"/>
          <w:b/>
          <w:bCs/>
          <w:color w:val="2C3E50"/>
          <w:sz w:val="22"/>
          <w:szCs w:val="22"/>
        </w:rPr>
        <w:t xml:space="preserve">HL7 v2 Limitations: </w:t>
      </w:r>
      <w:r>
        <w:rPr>
          <w:rFonts w:ascii="Arial" w:cs="Arial" w:eastAsia="Arial" w:hAnsi="Arial"/>
          <w:color w:val="2C3E50"/>
          <w:sz w:val="22"/>
          <w:szCs w:val="22"/>
        </w:rPr>
        <w:t xml:space="preserve">Despite its success, HL7 v2 suffers from excessive optionality (the specification allows too many variations), inconsistent implementations between vendors, and difficulty adapting to modern web technologies.</w:t>
      </w:r>
    </w:p>
    <w:p>
      <w:pPr>
        <w:pStyle w:val="ListParagraph"/>
        <w:numPr>
          <w:ilvl w:val="0"/>
          <w:numId w:val="2"/>
        </w:numPr>
        <w:spacing w:before="40" w:after="40" w:line="310"/>
      </w:pPr>
      <w:r>
        <w:rPr>
          <w:rFonts w:ascii="Arial" w:cs="Arial" w:eastAsia="Arial" w:hAnsi="Arial"/>
          <w:b/>
          <w:bCs/>
          <w:color w:val="2C3E50"/>
          <w:sz w:val="22"/>
          <w:szCs w:val="22"/>
        </w:rPr>
        <w:t xml:space="preserve">HL7 v3/CDA Complexity: </w:t>
      </w:r>
      <w:r>
        <w:rPr>
          <w:rFonts w:ascii="Arial" w:cs="Arial" w:eastAsia="Arial" w:hAnsi="Arial"/>
          <w:color w:val="2C3E50"/>
          <w:sz w:val="22"/>
          <w:szCs w:val="22"/>
        </w:rPr>
        <w:t xml:space="preserve">HL7 v3 and CDA attempted to address v2’s limitations with rigorous data modeling (RIM) but resulted in specifications so complex that adoption was slow and implementation was difficult.</w:t>
      </w:r>
    </w:p>
    <w:p>
      <w:pPr>
        <w:pStyle w:val="ListParagraph"/>
        <w:numPr>
          <w:ilvl w:val="0"/>
          <w:numId w:val="2"/>
        </w:numPr>
        <w:spacing w:before="40" w:after="40" w:line="310"/>
      </w:pPr>
      <w:r>
        <w:rPr>
          <w:rFonts w:ascii="Arial" w:cs="Arial" w:eastAsia="Arial" w:hAnsi="Arial"/>
          <w:b/>
          <w:bCs/>
          <w:color w:val="2C3E50"/>
          <w:sz w:val="22"/>
          <w:szCs w:val="22"/>
        </w:rPr>
        <w:t xml:space="preserve">Web Technology Evolution: </w:t>
      </w:r>
      <w:r>
        <w:rPr>
          <w:rFonts w:ascii="Arial" w:cs="Arial" w:eastAsia="Arial" w:hAnsi="Arial"/>
          <w:color w:val="2C3E50"/>
          <w:sz w:val="22"/>
          <w:szCs w:val="22"/>
        </w:rPr>
        <w:t xml:space="preserve">REST APIs, JSON, OAuth 2.0, and mobile applications became dominant in the broader technology industry, but healthcare standards lagged behind.</w:t>
      </w:r>
    </w:p>
    <w:p>
      <w:pPr>
        <w:pStyle w:val="ListParagraph"/>
        <w:numPr>
          <w:ilvl w:val="0"/>
          <w:numId w:val="2"/>
        </w:numPr>
        <w:spacing w:before="40" w:after="40" w:line="310"/>
      </w:pPr>
      <w:r>
        <w:rPr>
          <w:rFonts w:ascii="Arial" w:cs="Arial" w:eastAsia="Arial" w:hAnsi="Arial"/>
          <w:b/>
          <w:bCs/>
          <w:color w:val="2C3E50"/>
          <w:sz w:val="22"/>
          <w:szCs w:val="22"/>
        </w:rPr>
        <w:t xml:space="preserve">Regulatory Drivers: </w:t>
      </w:r>
      <w:r>
        <w:rPr>
          <w:rFonts w:ascii="Arial" w:cs="Arial" w:eastAsia="Arial" w:hAnsi="Arial"/>
          <w:color w:val="2C3E50"/>
          <w:sz w:val="22"/>
          <w:szCs w:val="22"/>
        </w:rPr>
        <w:t xml:space="preserve">The 21st Century Cures Act and ONC regulations mandated standardized APIs for patient data access, creating regulatory demand for a modern, API-based standard.</w:t>
      </w:r>
    </w:p>
    <w:p>
      <w:pPr>
        <w:spacing w:before="120" w:after="120"/>
      </w:pPr>
    </w:p>
    <w:p>
      <w:pPr>
        <w:pStyle w:val="Heading2"/>
        <w:spacing w:before="340" w:after="160"/>
      </w:pPr>
      <w:r>
        <w:rPr>
          <w:rFonts w:ascii="Arial" w:cs="Arial" w:eastAsia="Arial" w:hAnsi="Arial"/>
          <w:b/>
          <w:bCs/>
          <w:color w:val="1A6FA5"/>
          <w:sz w:val="30"/>
          <w:szCs w:val="30"/>
        </w:rPr>
        <w:t xml:space="preserve">2.2 FHIR Core Concepts</w:t>
      </w:r>
    </w:p>
    <w:p>
      <w:pPr>
        <w:pStyle w:val="Heading3"/>
        <w:spacing w:before="280" w:after="120"/>
      </w:pPr>
      <w:r>
        <w:rPr>
          <w:rFonts w:ascii="Arial" w:cs="Arial" w:eastAsia="Arial" w:hAnsi="Arial"/>
          <w:b/>
          <w:bCs/>
          <w:color w:val="2980B9"/>
          <w:sz w:val="26"/>
          <w:szCs w:val="26"/>
        </w:rPr>
        <w:t xml:space="preserve">Resources</w:t>
      </w:r>
    </w:p>
    <w:p>
      <w:pPr>
        <w:spacing w:before="60" w:after="100" w:line="340"/>
      </w:pPr>
      <w:r>
        <w:rPr>
          <w:rFonts w:ascii="Arial" w:cs="Arial" w:eastAsia="Arial" w:hAnsi="Arial"/>
          <w:color w:val="2C3E50"/>
          <w:sz w:val="22"/>
          <w:szCs w:val="22"/>
        </w:rPr>
        <w:t xml:space="preserve">The fundamental unit of FHIR is the Resource. A resource is a discrete, independently identifiable unit of healthcare data. FHIR R4 defines approximately 150 resource types organized into categories: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rPr>
          <w:tblHeader/>
        </w:trPr>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Key Resources</w:t>
            </w:r>
          </w:p>
        </w:tc>
        <w:tc>
          <w:tcPr>
            <w:tcW w:type="dxa" w:w="44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Individuals</w:t>
            </w:r>
          </w:p>
        </w:tc>
        <w:tc>
          <w:tcPr>
            <w:tcW w:type="dxa" w:w="3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Practitioner, RelatedPerson, PractitionerRole</w:t>
            </w:r>
          </w:p>
        </w:tc>
        <w:tc>
          <w:tcPr>
            <w:tcW w:type="dxa" w:w="4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People involved in healthcare</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Entities</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Organization, Location, Endpoint, HealthcareService</w:t>
            </w:r>
          </w:p>
        </w:tc>
        <w:tc>
          <w:tcPr>
            <w:tcW w:type="dxa" w:w="4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Organizations and their locations/services</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Workflow</w:t>
            </w:r>
          </w:p>
        </w:tc>
        <w:tc>
          <w:tcPr>
            <w:tcW w:type="dxa" w:w="3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Encounter, EpisodeOfCare, Appointment, Schedule, Slot</w:t>
            </w:r>
          </w:p>
        </w:tc>
        <w:tc>
          <w:tcPr>
            <w:tcW w:type="dxa" w:w="4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Clinical events and scheduling</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Clinical</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Condition, Observation, Procedure, AllergyIntolerance, FamilyMemberHistory</w:t>
            </w:r>
          </w:p>
        </w:tc>
        <w:tc>
          <w:tcPr>
            <w:tcW w:type="dxa" w:w="4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Clinical findings and events</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Diagnostics</w:t>
            </w:r>
          </w:p>
        </w:tc>
        <w:tc>
          <w:tcPr>
            <w:tcW w:type="dxa" w:w="3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DiagnosticReport, ImagingStudy, Specimen, ServiceRequest</w:t>
            </w:r>
          </w:p>
        </w:tc>
        <w:tc>
          <w:tcPr>
            <w:tcW w:type="dxa" w:w="4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Diagnostic orders and results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Medications</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Medication, MedicationRequest, MedicationAdministration, MedicationStatement, Immunization</w:t>
            </w:r>
          </w:p>
        </w:tc>
        <w:tc>
          <w:tcPr>
            <w:tcW w:type="dxa" w:w="4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Medication lifecycle</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Documents</w:t>
            </w:r>
          </w:p>
        </w:tc>
        <w:tc>
          <w:tcPr>
            <w:tcW w:type="dxa" w:w="3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DocumentReference, Composition, Binary</w:t>
            </w:r>
          </w:p>
        </w:tc>
        <w:tc>
          <w:tcPr>
            <w:tcW w:type="dxa" w:w="4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Clinical documents and attachments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Financial</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Claim, ClaimResponse, Coverage, ExplanationOfBenefit</w:t>
            </w:r>
          </w:p>
        </w:tc>
        <w:tc>
          <w:tcPr>
            <w:tcW w:type="dxa" w:w="4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Billing and insurance</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Conformance</w:t>
            </w:r>
          </w:p>
        </w:tc>
        <w:tc>
          <w:tcPr>
            <w:tcW w:type="dxa" w:w="3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CapabilityStatement, StructureDefinition, ValueSet, CodeSystem</w:t>
            </w:r>
          </w:p>
        </w:tc>
        <w:tc>
          <w:tcPr>
            <w:tcW w:type="dxa" w:w="4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Server capabilities and data definitions</w:t>
            </w:r>
          </w:p>
        </w:tc>
      </w:tr>
    </w:tbl>
    <w:p>
      <w:pPr>
        <w:spacing w:before="120" w:after="120"/>
      </w:pPr>
    </w:p>
    <w:p>
      <w:pPr>
        <w:pStyle w:val="Heading3"/>
        <w:spacing w:before="280" w:after="120"/>
      </w:pPr>
      <w:r>
        <w:rPr>
          <w:rFonts w:ascii="Arial" w:cs="Arial" w:eastAsia="Arial" w:hAnsi="Arial"/>
          <w:b/>
          <w:bCs/>
          <w:color w:val="2980B9"/>
          <w:sz w:val="26"/>
          <w:szCs w:val="26"/>
        </w:rPr>
        <w:t xml:space="preserve">Resource Structure</w:t>
      </w:r>
    </w:p>
    <w:p>
      <w:pPr>
        <w:spacing w:before="60" w:after="100" w:line="340"/>
      </w:pPr>
      <w:r>
        <w:rPr>
          <w:rFonts w:ascii="Arial" w:cs="Arial" w:eastAsia="Arial" w:hAnsi="Arial"/>
          <w:color w:val="2C3E50"/>
          <w:sz w:val="22"/>
          <w:szCs w:val="22"/>
        </w:rPr>
        <w:t xml:space="preserve">Every FHIR resource shares a common structure:</w:t>
      </w:r>
    </w:p>
    <w:p>
      <w:pPr>
        <w:pStyle w:val="ListParagraph"/>
        <w:numPr>
          <w:ilvl w:val="0"/>
          <w:numId w:val="2"/>
        </w:numPr>
        <w:spacing w:before="40" w:after="40" w:line="310"/>
      </w:pPr>
      <w:r>
        <w:rPr>
          <w:rFonts w:ascii="Arial" w:cs="Arial" w:eastAsia="Arial" w:hAnsi="Arial"/>
          <w:b/>
          <w:bCs/>
          <w:color w:val="2C3E50"/>
          <w:sz w:val="22"/>
          <w:szCs w:val="22"/>
        </w:rPr>
        <w:t xml:space="preserve">resourceType: </w:t>
      </w:r>
      <w:r>
        <w:rPr>
          <w:rFonts w:ascii="Arial" w:cs="Arial" w:eastAsia="Arial" w:hAnsi="Arial"/>
          <w:color w:val="2C3E50"/>
          <w:sz w:val="22"/>
          <w:szCs w:val="22"/>
        </w:rPr>
        <w:t xml:space="preserve">Identifies the type of resource (Patient, Observation, etc.). Always the first field in JSON representation.</w:t>
      </w:r>
    </w:p>
    <w:p>
      <w:pPr>
        <w:pStyle w:val="ListParagraph"/>
        <w:numPr>
          <w:ilvl w:val="0"/>
          <w:numId w:val="2"/>
        </w:numPr>
        <w:spacing w:before="40" w:after="40" w:line="310"/>
      </w:pPr>
      <w:r>
        <w:rPr>
          <w:rFonts w:ascii="Arial" w:cs="Arial" w:eastAsia="Arial" w:hAnsi="Arial"/>
          <w:b/>
          <w:bCs/>
          <w:color w:val="2C3E50"/>
          <w:sz w:val="22"/>
          <w:szCs w:val="22"/>
        </w:rPr>
        <w:t xml:space="preserve">id: </w:t>
      </w:r>
      <w:r>
        <w:rPr>
          <w:rFonts w:ascii="Arial" w:cs="Arial" w:eastAsia="Arial" w:hAnsi="Arial"/>
          <w:color w:val="2C3E50"/>
          <w:sz w:val="22"/>
          <w:szCs w:val="22"/>
        </w:rPr>
        <w:t xml:space="preserve">Server-assigned unique identifier for this resource instance.</w:t>
      </w:r>
    </w:p>
    <w:p>
      <w:pPr>
        <w:pStyle w:val="ListParagraph"/>
        <w:numPr>
          <w:ilvl w:val="0"/>
          <w:numId w:val="2"/>
        </w:numPr>
        <w:spacing w:before="40" w:after="40" w:line="310"/>
      </w:pPr>
      <w:r>
        <w:rPr>
          <w:rFonts w:ascii="Arial" w:cs="Arial" w:eastAsia="Arial" w:hAnsi="Arial"/>
          <w:b/>
          <w:bCs/>
          <w:color w:val="2C3E50"/>
          <w:sz w:val="22"/>
          <w:szCs w:val="22"/>
        </w:rPr>
        <w:t xml:space="preserve">meta: </w:t>
      </w:r>
      <w:r>
        <w:rPr>
          <w:rFonts w:ascii="Arial" w:cs="Arial" w:eastAsia="Arial" w:hAnsi="Arial"/>
          <w:color w:val="2C3E50"/>
          <w:sz w:val="22"/>
          <w:szCs w:val="22"/>
        </w:rPr>
        <w:t xml:space="preserve">Metadata including version ID, last updated timestamp, profile declarations, and security labels.</w:t>
      </w:r>
    </w:p>
    <w:p>
      <w:pPr>
        <w:pStyle w:val="ListParagraph"/>
        <w:numPr>
          <w:ilvl w:val="0"/>
          <w:numId w:val="2"/>
        </w:numPr>
        <w:spacing w:before="40" w:after="40" w:line="310"/>
      </w:pPr>
      <w:r>
        <w:rPr>
          <w:rFonts w:ascii="Arial" w:cs="Arial" w:eastAsia="Arial" w:hAnsi="Arial"/>
          <w:b/>
          <w:bCs/>
          <w:color w:val="2C3E50"/>
          <w:sz w:val="22"/>
          <w:szCs w:val="22"/>
        </w:rPr>
        <w:t xml:space="preserve">text: </w:t>
      </w:r>
      <w:r>
        <w:rPr>
          <w:rFonts w:ascii="Arial" w:cs="Arial" w:eastAsia="Arial" w:hAnsi="Arial"/>
          <w:color w:val="2C3E50"/>
          <w:sz w:val="22"/>
          <w:szCs w:val="22"/>
        </w:rPr>
        <w:t xml:space="preserve">Human-readable narrative summary (XHTML). Generated from the structured data for human review.</w:t>
      </w:r>
    </w:p>
    <w:p>
      <w:pPr>
        <w:pStyle w:val="ListParagraph"/>
        <w:numPr>
          <w:ilvl w:val="0"/>
          <w:numId w:val="2"/>
        </w:numPr>
        <w:spacing w:before="40" w:after="40" w:line="310"/>
      </w:pPr>
      <w:r>
        <w:rPr>
          <w:rFonts w:ascii="Arial" w:cs="Arial" w:eastAsia="Arial" w:hAnsi="Arial"/>
          <w:b/>
          <w:bCs/>
          <w:color w:val="2C3E50"/>
          <w:sz w:val="22"/>
          <w:szCs w:val="22"/>
        </w:rPr>
        <w:t xml:space="preserve">extension: </w:t>
      </w:r>
      <w:r>
        <w:rPr>
          <w:rFonts w:ascii="Arial" w:cs="Arial" w:eastAsia="Arial" w:hAnsi="Arial"/>
          <w:color w:val="2C3E50"/>
          <w:sz w:val="22"/>
          <w:szCs w:val="22"/>
        </w:rPr>
        <w:t xml:space="preserve">Additional data elements not part of the base resource definition. US Core profiles define extensions for race, ethnicity, birth sex, and other US-specific data.</w:t>
      </w:r>
    </w:p>
    <w:p>
      <w:pPr>
        <w:pStyle w:val="ListParagraph"/>
        <w:numPr>
          <w:ilvl w:val="0"/>
          <w:numId w:val="2"/>
        </w:numPr>
        <w:spacing w:before="40" w:after="40" w:line="310"/>
      </w:pPr>
      <w:r>
        <w:rPr>
          <w:rFonts w:ascii="Arial" w:cs="Arial" w:eastAsia="Arial" w:hAnsi="Arial"/>
          <w:b/>
          <w:bCs/>
          <w:color w:val="2C3E50"/>
          <w:sz w:val="22"/>
          <w:szCs w:val="22"/>
        </w:rPr>
        <w:t xml:space="preserve">Data Elements: </w:t>
      </w:r>
      <w:r>
        <w:rPr>
          <w:rFonts w:ascii="Arial" w:cs="Arial" w:eastAsia="Arial" w:hAnsi="Arial"/>
          <w:color w:val="2C3E50"/>
          <w:sz w:val="22"/>
          <w:szCs w:val="22"/>
        </w:rPr>
        <w:t xml:space="preserve">Resource-specific fields (e.g., Patient has name, birthDate, gender; Observation has code, value, effectiveDateTime).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FHIR Patient Resource Example (JSON)</w:t>
            </w:r>
          </w:p>
          <w:p>
            <w:pPr>
              <w:spacing w:before="20" w:after="20"/>
            </w:pPr>
            <w:r>
              <w:rPr>
                <w:rFonts w:ascii="Consolas" w:cs="Consolas" w:eastAsia="Consolas" w:hAnsi="Consolas"/>
                <w:color w:val="1C2833"/>
                <w:sz w:val="18"/>
                <w:szCs w:val="18"/>
              </w:rPr>
              <w:t xml:space="preserve">{</w:t>
            </w:r>
          </w:p>
          <w:p>
            <w:pPr>
              <w:spacing w:before="20" w:after="20"/>
            </w:pPr>
            <w:r>
              <w:rPr>
                <w:rFonts w:ascii="Consolas" w:cs="Consolas" w:eastAsia="Consolas" w:hAnsi="Consolas"/>
                <w:color w:val="1C2833"/>
                <w:sz w:val="18"/>
                <w:szCs w:val="18"/>
              </w:rPr>
              <w:t xml:space="preserve">  "resourceType": "Patient",</w:t>
            </w:r>
          </w:p>
          <w:p>
            <w:pPr>
              <w:spacing w:before="20" w:after="20"/>
            </w:pPr>
            <w:r>
              <w:rPr>
                <w:rFonts w:ascii="Consolas" w:cs="Consolas" w:eastAsia="Consolas" w:hAnsi="Consolas"/>
                <w:color w:val="1C2833"/>
                <w:sz w:val="18"/>
                <w:szCs w:val="18"/>
              </w:rPr>
              <w:t xml:space="preserve">  "id": "patient-001",</w:t>
            </w:r>
          </w:p>
          <w:p>
            <w:pPr>
              <w:spacing w:before="20" w:after="20"/>
            </w:pPr>
            <w:r>
              <w:rPr>
                <w:rFonts w:ascii="Consolas" w:cs="Consolas" w:eastAsia="Consolas" w:hAnsi="Consolas"/>
                <w:color w:val="1C2833"/>
                <w:sz w:val="18"/>
                <w:szCs w:val="18"/>
              </w:rPr>
              <w:t xml:space="preserve">  "meta": {</w:t>
            </w:r>
          </w:p>
          <w:p>
            <w:pPr>
              <w:spacing w:before="20" w:after="20"/>
            </w:pPr>
            <w:r>
              <w:rPr>
                <w:rFonts w:ascii="Consolas" w:cs="Consolas" w:eastAsia="Consolas" w:hAnsi="Consolas"/>
                <w:color w:val="1C2833"/>
                <w:sz w:val="18"/>
                <w:szCs w:val="18"/>
              </w:rPr>
              <w:t xml:space="preserve">    "versionId": "3",</w:t>
            </w:r>
          </w:p>
          <w:p>
            <w:pPr>
              <w:spacing w:before="20" w:after="20"/>
            </w:pPr>
            <w:r>
              <w:rPr>
                <w:rFonts w:ascii="Consolas" w:cs="Consolas" w:eastAsia="Consolas" w:hAnsi="Consolas"/>
                <w:color w:val="1C2833"/>
                <w:sz w:val="18"/>
                <w:szCs w:val="18"/>
              </w:rPr>
              <w:t xml:space="preserve">    "lastUpdated": "2026-02-15T10:30:00.000Z",</w:t>
            </w:r>
          </w:p>
          <w:p>
            <w:pPr>
              <w:spacing w:before="20" w:after="20"/>
            </w:pPr>
            <w:r>
              <w:rPr>
                <w:rFonts w:ascii="Consolas" w:cs="Consolas" w:eastAsia="Consolas" w:hAnsi="Consolas"/>
                <w:color w:val="1C2833"/>
                <w:sz w:val="18"/>
                <w:szCs w:val="18"/>
              </w:rPr>
              <w:t xml:space="preserve">    "profile": ["http://hl7.org/fhir/us/core/StructureDefinition/us-core-patient"]</w:t>
            </w:r>
          </w:p>
          <w:p>
            <w:pPr>
              <w:spacing w:before="20" w:after="20"/>
            </w:pPr>
            <w:r>
              <w:rPr>
                <w:rFonts w:ascii="Consolas" w:cs="Consolas" w:eastAsia="Consolas" w:hAnsi="Consolas"/>
                <w:color w:val="1C2833"/>
                <w:sz w:val="18"/>
                <w:szCs w:val="18"/>
              </w:rPr>
              <w:t xml:space="preserve">  },</w:t>
            </w:r>
          </w:p>
          <w:p>
            <w:pPr>
              <w:spacing w:before="20" w:after="20"/>
            </w:pPr>
            <w:r>
              <w:rPr>
                <w:rFonts w:ascii="Consolas" w:cs="Consolas" w:eastAsia="Consolas" w:hAnsi="Consolas"/>
                <w:color w:val="1C2833"/>
                <w:sz w:val="18"/>
                <w:szCs w:val="18"/>
              </w:rPr>
              <w:t xml:space="preserve">  "identifier": [{</w:t>
            </w:r>
          </w:p>
          <w:p>
            <w:pPr>
              <w:spacing w:before="20" w:after="20"/>
            </w:pPr>
            <w:r>
              <w:rPr>
                <w:rFonts w:ascii="Consolas" w:cs="Consolas" w:eastAsia="Consolas" w:hAnsi="Consolas"/>
                <w:color w:val="1C2833"/>
                <w:sz w:val="18"/>
                <w:szCs w:val="18"/>
              </w:rPr>
              <w:t xml:space="preserve">    "system": "http://hospital.org/mrn",</w:t>
            </w:r>
          </w:p>
          <w:p>
            <w:pPr>
              <w:spacing w:before="20" w:after="20"/>
            </w:pPr>
            <w:r>
              <w:rPr>
                <w:rFonts w:ascii="Consolas" w:cs="Consolas" w:eastAsia="Consolas" w:hAnsi="Consolas"/>
                <w:color w:val="1C2833"/>
                <w:sz w:val="18"/>
                <w:szCs w:val="18"/>
              </w:rPr>
              <w:t xml:space="preserve">    "value": "MRN001234"</w:t>
            </w:r>
          </w:p>
          <w:p>
            <w:pPr>
              <w:spacing w:before="20" w:after="20"/>
            </w:pPr>
            <w:r>
              <w:rPr>
                <w:rFonts w:ascii="Consolas" w:cs="Consolas" w:eastAsia="Consolas" w:hAnsi="Consolas"/>
                <w:color w:val="1C2833"/>
                <w:sz w:val="18"/>
                <w:szCs w:val="18"/>
              </w:rPr>
              <w:t xml:space="preserve">  }],</w:t>
            </w:r>
          </w:p>
          <w:p>
            <w:pPr>
              <w:spacing w:before="20" w:after="20"/>
            </w:pPr>
            <w:r>
              <w:rPr>
                <w:rFonts w:ascii="Consolas" w:cs="Consolas" w:eastAsia="Consolas" w:hAnsi="Consolas"/>
                <w:color w:val="1C2833"/>
                <w:sz w:val="18"/>
                <w:szCs w:val="18"/>
              </w:rPr>
              <w:t xml:space="preserve">  "name": [{</w:t>
            </w:r>
          </w:p>
          <w:p>
            <w:pPr>
              <w:spacing w:before="20" w:after="20"/>
            </w:pPr>
            <w:r>
              <w:rPr>
                <w:rFonts w:ascii="Consolas" w:cs="Consolas" w:eastAsia="Consolas" w:hAnsi="Consolas"/>
                <w:color w:val="1C2833"/>
                <w:sz w:val="18"/>
                <w:szCs w:val="18"/>
              </w:rPr>
              <w:t xml:space="preserve">    "use": "official",</w:t>
            </w:r>
          </w:p>
          <w:p>
            <w:pPr>
              <w:spacing w:before="20" w:after="20"/>
            </w:pPr>
            <w:r>
              <w:rPr>
                <w:rFonts w:ascii="Consolas" w:cs="Consolas" w:eastAsia="Consolas" w:hAnsi="Consolas"/>
                <w:color w:val="1C2833"/>
                <w:sz w:val="18"/>
                <w:szCs w:val="18"/>
              </w:rPr>
              <w:t xml:space="preserve">    "family": "Smith",</w:t>
            </w:r>
          </w:p>
          <w:p>
            <w:pPr>
              <w:spacing w:before="20" w:after="20"/>
            </w:pPr>
            <w:r>
              <w:rPr>
                <w:rFonts w:ascii="Consolas" w:cs="Consolas" w:eastAsia="Consolas" w:hAnsi="Consolas"/>
                <w:color w:val="1C2833"/>
                <w:sz w:val="18"/>
                <w:szCs w:val="18"/>
              </w:rPr>
              <w:t xml:space="preserve">    "given": ["John", "Michael"]</w:t>
            </w:r>
          </w:p>
          <w:p>
            <w:pPr>
              <w:spacing w:before="20" w:after="20"/>
            </w:pPr>
            <w:r>
              <w:rPr>
                <w:rFonts w:ascii="Consolas" w:cs="Consolas" w:eastAsia="Consolas" w:hAnsi="Consolas"/>
                <w:color w:val="1C2833"/>
                <w:sz w:val="18"/>
                <w:szCs w:val="18"/>
              </w:rPr>
              <w:t xml:space="preserve">  }],</w:t>
            </w:r>
          </w:p>
          <w:p>
            <w:pPr>
              <w:spacing w:before="20" w:after="20"/>
            </w:pPr>
            <w:r>
              <w:rPr>
                <w:rFonts w:ascii="Consolas" w:cs="Consolas" w:eastAsia="Consolas" w:hAnsi="Consolas"/>
                <w:color w:val="1C2833"/>
                <w:sz w:val="18"/>
                <w:szCs w:val="18"/>
              </w:rPr>
              <w:t xml:space="preserve">  "gender": "male",</w:t>
            </w:r>
          </w:p>
          <w:p>
            <w:pPr>
              <w:spacing w:before="20" w:after="20"/>
            </w:pPr>
            <w:r>
              <w:rPr>
                <w:rFonts w:ascii="Consolas" w:cs="Consolas" w:eastAsia="Consolas" w:hAnsi="Consolas"/>
                <w:color w:val="1C2833"/>
                <w:sz w:val="18"/>
                <w:szCs w:val="18"/>
              </w:rPr>
              <w:t xml:space="preserve">  "birthDate": "1958-07-15",</w:t>
            </w:r>
          </w:p>
          <w:p>
            <w:pPr>
              <w:spacing w:before="20" w:after="20"/>
            </w:pPr>
            <w:r>
              <w:rPr>
                <w:rFonts w:ascii="Consolas" w:cs="Consolas" w:eastAsia="Consolas" w:hAnsi="Consolas"/>
                <w:color w:val="1C2833"/>
                <w:sz w:val="18"/>
                <w:szCs w:val="18"/>
              </w:rPr>
              <w:t xml:space="preserve">  "address": [{</w:t>
            </w:r>
          </w:p>
          <w:p>
            <w:pPr>
              <w:spacing w:before="20" w:after="20"/>
            </w:pPr>
            <w:r>
              <w:rPr>
                <w:rFonts w:ascii="Consolas" w:cs="Consolas" w:eastAsia="Consolas" w:hAnsi="Consolas"/>
                <w:color w:val="1C2833"/>
                <w:sz w:val="18"/>
                <w:szCs w:val="18"/>
              </w:rPr>
              <w:t xml:space="preserve">    "line": ["123 Main St"],</w:t>
            </w:r>
          </w:p>
          <w:p>
            <w:pPr>
              <w:spacing w:before="20" w:after="20"/>
            </w:pPr>
            <w:r>
              <w:rPr>
                <w:rFonts w:ascii="Consolas" w:cs="Consolas" w:eastAsia="Consolas" w:hAnsi="Consolas"/>
                <w:color w:val="1C2833"/>
                <w:sz w:val="18"/>
                <w:szCs w:val="18"/>
              </w:rPr>
              <w:t xml:space="preserve">    "city": "Springfield",</w:t>
            </w:r>
          </w:p>
          <w:p>
            <w:pPr>
              <w:spacing w:before="20" w:after="20"/>
            </w:pPr>
            <w:r>
              <w:rPr>
                <w:rFonts w:ascii="Consolas" w:cs="Consolas" w:eastAsia="Consolas" w:hAnsi="Consolas"/>
                <w:color w:val="1C2833"/>
                <w:sz w:val="18"/>
                <w:szCs w:val="18"/>
              </w:rPr>
              <w:t xml:space="preserve">    "state": "IL",</w:t>
            </w:r>
          </w:p>
          <w:p>
            <w:pPr>
              <w:spacing w:before="20" w:after="20"/>
            </w:pPr>
            <w:r>
              <w:rPr>
                <w:rFonts w:ascii="Consolas" w:cs="Consolas" w:eastAsia="Consolas" w:hAnsi="Consolas"/>
                <w:color w:val="1C2833"/>
                <w:sz w:val="18"/>
                <w:szCs w:val="18"/>
              </w:rPr>
              <w:t xml:space="preserve">    "postalCode": "62701"</w:t>
            </w:r>
          </w:p>
          <w:p>
            <w:pPr>
              <w:spacing w:before="20" w:after="20"/>
            </w:pPr>
            <w:r>
              <w:rPr>
                <w:rFonts w:ascii="Consolas" w:cs="Consolas" w:eastAsia="Consolas" w:hAnsi="Consolas"/>
                <w:color w:val="1C2833"/>
                <w:sz w:val="18"/>
                <w:szCs w:val="18"/>
              </w:rPr>
              <w:t xml:space="preserve">  }]</w:t>
            </w:r>
          </w:p>
          <w:p>
            <w:pPr>
              <w:spacing w:before="20" w:after="20"/>
            </w:pPr>
            <w:r>
              <w:rPr>
                <w:rFonts w:ascii="Consolas" w:cs="Consolas" w:eastAsia="Consolas" w:hAnsi="Consolas"/>
                <w:color w:val="1C2833"/>
                <w:sz w:val="18"/>
                <w:szCs w:val="18"/>
              </w:rPr>
              <w:t xml:space="preserve">}</w:t>
            </w:r>
          </w:p>
        </w:tc>
      </w:tr>
    </w:tbl>
    <w:p>
      <w:pPr>
        <w:spacing w:before="120" w:after="120"/>
      </w:pPr>
    </w:p>
    <w:p>
      <w:pPr>
        <w:pStyle w:val="Heading3"/>
        <w:spacing w:before="280" w:after="120"/>
      </w:pPr>
      <w:r>
        <w:rPr>
          <w:rFonts w:ascii="Arial" w:cs="Arial" w:eastAsia="Arial" w:hAnsi="Arial"/>
          <w:b/>
          <w:bCs/>
          <w:color w:val="2980B9"/>
          <w:sz w:val="26"/>
          <w:szCs w:val="26"/>
        </w:rPr>
        <w:t xml:space="preserve">RESTful Paradigm</w:t>
      </w:r>
    </w:p>
    <w:p>
      <w:pPr>
        <w:spacing w:before="60" w:after="100" w:line="340"/>
      </w:pPr>
      <w:r>
        <w:rPr>
          <w:rFonts w:ascii="Arial" w:cs="Arial" w:eastAsia="Arial" w:hAnsi="Arial"/>
          <w:color w:val="2C3E50"/>
          <w:sz w:val="22"/>
          <w:szCs w:val="22"/>
        </w:rPr>
        <w:t xml:space="preserve">FHIR uses standard HTTP methods to interact with resources. This RESTful approach makes FHIR accessible to any developer familiar with web APIs: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400"/>
        <w:gridCol w:w="3360"/>
      </w:tblGrid>
      <w:tr>
        <w:trPr>
          <w:tblHeader/>
        </w:trPr>
        <w:tc>
          <w:tcPr>
            <w:tcW w:type="dxa" w:w="1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HTTP Method</w:t>
            </w:r>
          </w:p>
        </w:tc>
        <w:tc>
          <w:tcPr>
            <w:tcW w:type="dxa" w:w="3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URL Example</w:t>
            </w:r>
          </w:p>
        </w:tc>
        <w:tc>
          <w:tcPr>
            <w:tcW w:type="dxa" w:w="33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Create</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w:t>
            </w:r>
          </w:p>
        </w:tc>
        <w:tc>
          <w:tcPr>
            <w:tcW w:type="dxa" w:w="3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Create a new Patient resource (server assigns ID)</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Read</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/Patient/patient-001</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Retrieve a specific Patient by ID</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Update</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PUT</w:t>
            </w:r>
          </w:p>
        </w:tc>
        <w:tc>
          <w:tcPr>
            <w:tcW w:type="dxa" w:w="3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/Patient/patient-001</w:t>
            </w:r>
          </w:p>
        </w:tc>
        <w:tc>
          <w:tcPr>
            <w:tcW w:type="dxa" w:w="3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Replace a Patient resource (with complete resource in body)</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Delete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DELETE</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/Patient/patient-001</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Remove a Patient resource</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Search</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/Patient?family=Smith&amp;birthdate=1958-07-15</w:t>
            </w:r>
          </w:p>
        </w:tc>
        <w:tc>
          <w:tcPr>
            <w:tcW w:type="dxa" w:w="3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Find patients matching criteria</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History</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/Patient/patient-001/_history</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Retrieve version history for a resource</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Capabilities</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/metadata</w:t>
            </w:r>
          </w:p>
        </w:tc>
        <w:tc>
          <w:tcPr>
            <w:tcW w:type="dxa" w:w="3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Get server CapabilityStatement</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Batch</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 (Bundle body)</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Submit multiple operations in one request</w:t>
            </w:r>
          </w:p>
        </w:tc>
      </w:tr>
    </w:tbl>
    <w:p>
      <w:pPr>
        <w:spacing w:before="120" w:after="120"/>
      </w:pPr>
    </w:p>
    <w:p>
      <w:pPr>
        <w:pStyle w:val="Heading3"/>
        <w:spacing w:before="280" w:after="120"/>
      </w:pPr>
      <w:r>
        <w:rPr>
          <w:rFonts w:ascii="Arial" w:cs="Arial" w:eastAsia="Arial" w:hAnsi="Arial"/>
          <w:b/>
          <w:bCs/>
          <w:color w:val="2980B9"/>
          <w:sz w:val="26"/>
          <w:szCs w:val="26"/>
        </w:rPr>
        <w:t xml:space="preserve">FHIR Search</w:t>
      </w:r>
    </w:p>
    <w:p>
      <w:pPr>
        <w:spacing w:before="60" w:after="100" w:line="340"/>
      </w:pPr>
      <w:r>
        <w:rPr>
          <w:rFonts w:ascii="Arial" w:cs="Arial" w:eastAsia="Arial" w:hAnsi="Arial"/>
          <w:color w:val="2C3E50"/>
          <w:sz w:val="22"/>
          <w:szCs w:val="22"/>
        </w:rPr>
        <w:t xml:space="preserve">FHIR defines a powerful search mechanism that enables clients to find resources matching specific criteria:</w:t>
      </w:r>
    </w:p>
    <w:p>
      <w:pPr>
        <w:pStyle w:val="ListParagraph"/>
        <w:numPr>
          <w:ilvl w:val="0"/>
          <w:numId w:val="2"/>
        </w:numPr>
        <w:spacing w:before="40" w:after="40" w:line="310"/>
      </w:pPr>
      <w:r>
        <w:rPr>
          <w:rFonts w:ascii="Arial" w:cs="Arial" w:eastAsia="Arial" w:hAnsi="Arial"/>
          <w:b/>
          <w:bCs/>
          <w:color w:val="2C3E50"/>
          <w:sz w:val="22"/>
          <w:szCs w:val="22"/>
        </w:rPr>
        <w:t xml:space="preserve">Standard Search Parameters: </w:t>
      </w:r>
      <w:r>
        <w:rPr>
          <w:rFonts w:ascii="Arial" w:cs="Arial" w:eastAsia="Arial" w:hAnsi="Arial"/>
          <w:color w:val="2C3E50"/>
          <w:sz w:val="22"/>
          <w:szCs w:val="22"/>
        </w:rPr>
        <w:t xml:space="preserve">Each resource type defines searchable parameters. Patient supports: name, family, given, birthdate, gender, identifier, address, phone, email, and many more.</w:t>
      </w:r>
    </w:p>
    <w:p>
      <w:pPr>
        <w:pStyle w:val="ListParagraph"/>
        <w:numPr>
          <w:ilvl w:val="0"/>
          <w:numId w:val="2"/>
        </w:numPr>
        <w:spacing w:before="40" w:after="40" w:line="310"/>
      </w:pPr>
      <w:r>
        <w:rPr>
          <w:rFonts w:ascii="Arial" w:cs="Arial" w:eastAsia="Arial" w:hAnsi="Arial"/>
          <w:b/>
          <w:bCs/>
          <w:color w:val="2C3E50"/>
          <w:sz w:val="22"/>
          <w:szCs w:val="22"/>
        </w:rPr>
        <w:t xml:space="preserve">Modifiers: </w:t>
      </w:r>
      <w:r>
        <w:rPr>
          <w:rFonts w:ascii="Arial" w:cs="Arial" w:eastAsia="Arial" w:hAnsi="Arial"/>
          <w:color w:val="2C3E50"/>
          <w:sz w:val="22"/>
          <w:szCs w:val="22"/>
        </w:rPr>
        <w:t xml:space="preserve">:exact (exact string match), :contains (substring), :missing (field present/absent), :not (negation). Example: /Patient?name:exact=Smith.</w:t>
      </w:r>
    </w:p>
    <w:p>
      <w:pPr>
        <w:pStyle w:val="ListParagraph"/>
        <w:numPr>
          <w:ilvl w:val="0"/>
          <w:numId w:val="2"/>
        </w:numPr>
        <w:spacing w:before="40" w:after="40" w:line="310"/>
      </w:pPr>
      <w:r>
        <w:rPr>
          <w:rFonts w:ascii="Arial" w:cs="Arial" w:eastAsia="Arial" w:hAnsi="Arial"/>
          <w:b/>
          <w:bCs/>
          <w:color w:val="2C3E50"/>
          <w:sz w:val="22"/>
          <w:szCs w:val="22"/>
        </w:rPr>
        <w:t xml:space="preserve">Chained Parameters: </w:t>
      </w:r>
      <w:r>
        <w:rPr>
          <w:rFonts w:ascii="Arial" w:cs="Arial" w:eastAsia="Arial" w:hAnsi="Arial"/>
          <w:color w:val="2C3E50"/>
          <w:sz w:val="22"/>
          <w:szCs w:val="22"/>
        </w:rPr>
        <w:t xml:space="preserve">Search through references. /Observation?patient.name=Smith finds observations for patients named Smith.</w:t>
      </w:r>
    </w:p>
    <w:p>
      <w:pPr>
        <w:pStyle w:val="ListParagraph"/>
        <w:numPr>
          <w:ilvl w:val="0"/>
          <w:numId w:val="2"/>
        </w:numPr>
        <w:spacing w:before="40" w:after="40" w:line="310"/>
      </w:pPr>
      <w:r>
        <w:rPr>
          <w:rFonts w:ascii="Arial" w:cs="Arial" w:eastAsia="Arial" w:hAnsi="Arial"/>
          <w:b/>
          <w:bCs/>
          <w:color w:val="2C3E50"/>
          <w:sz w:val="22"/>
          <w:szCs w:val="22"/>
        </w:rPr>
        <w:t xml:space="preserve">_include and _revinclude: </w:t>
      </w:r>
      <w:r>
        <w:rPr>
          <w:rFonts w:ascii="Arial" w:cs="Arial" w:eastAsia="Arial" w:hAnsi="Arial"/>
          <w:color w:val="2C3E50"/>
          <w:sz w:val="22"/>
          <w:szCs w:val="22"/>
        </w:rPr>
        <w:t xml:space="preserve">Retrieve related resources in a single request. /Patient?_id=123&amp;_revinclude=Observation:patient returns the patient AND all their observations.</w:t>
      </w:r>
    </w:p>
    <w:p>
      <w:pPr>
        <w:pStyle w:val="ListParagraph"/>
        <w:numPr>
          <w:ilvl w:val="0"/>
          <w:numId w:val="2"/>
        </w:numPr>
        <w:spacing w:before="40" w:after="40" w:line="310"/>
      </w:pPr>
      <w:r>
        <w:rPr>
          <w:rFonts w:ascii="Arial" w:cs="Arial" w:eastAsia="Arial" w:hAnsi="Arial"/>
          <w:b/>
          <w:bCs/>
          <w:color w:val="2C3E50"/>
          <w:sz w:val="22"/>
          <w:szCs w:val="22"/>
        </w:rPr>
        <w:t xml:space="preserve">Pagination: </w:t>
      </w:r>
      <w:r>
        <w:rPr>
          <w:rFonts w:ascii="Arial" w:cs="Arial" w:eastAsia="Arial" w:hAnsi="Arial"/>
          <w:color w:val="2C3E50"/>
          <w:sz w:val="22"/>
          <w:szCs w:val="22"/>
        </w:rPr>
        <w:t xml:space="preserve">Large result sets return paginated Bundles with link elements for navigating to next/previous pages.</w:t>
      </w:r>
    </w:p>
    <w:p>
      <w:pPr>
        <w:pStyle w:val="ListParagraph"/>
        <w:numPr>
          <w:ilvl w:val="0"/>
          <w:numId w:val="2"/>
        </w:numPr>
        <w:spacing w:before="40" w:after="40" w:line="310"/>
      </w:pPr>
      <w:r>
        <w:rPr>
          <w:rFonts w:ascii="Arial" w:cs="Arial" w:eastAsia="Arial" w:hAnsi="Arial"/>
          <w:b/>
          <w:bCs/>
          <w:color w:val="2C3E50"/>
          <w:sz w:val="22"/>
          <w:szCs w:val="22"/>
        </w:rPr>
        <w:t xml:space="preserve">_sort: </w:t>
      </w:r>
      <w:r>
        <w:rPr>
          <w:rFonts w:ascii="Arial" w:cs="Arial" w:eastAsia="Arial" w:hAnsi="Arial"/>
          <w:color w:val="2C3E50"/>
          <w:sz w:val="22"/>
          <w:szCs w:val="22"/>
        </w:rPr>
        <w:t xml:space="preserve">Order results. /Observation?_sort=-date returns most recent observations first (- prefix for descending).</w:t>
      </w:r>
    </w:p>
    <w:p>
      <w:pPr>
        <w:spacing w:before="120" w:after="120"/>
      </w:pPr>
    </w:p>
    <w:p>
      <w:pPr>
        <w:pStyle w:val="Heading2"/>
        <w:spacing w:before="340" w:after="160"/>
      </w:pPr>
      <w:r>
        <w:rPr>
          <w:rFonts w:ascii="Arial" w:cs="Arial" w:eastAsia="Arial" w:hAnsi="Arial"/>
          <w:b/>
          <w:bCs/>
          <w:color w:val="1A6FA5"/>
          <w:sz w:val="30"/>
          <w:szCs w:val="30"/>
        </w:rPr>
        <w:t xml:space="preserve">2.3 FHIR Profiles and Implementation Guides</w:t>
      </w:r>
    </w:p>
    <w:p>
      <w:pPr>
        <w:spacing w:before="60" w:after="100" w:line="340"/>
      </w:pPr>
      <w:r>
        <w:rPr>
          <w:rFonts w:ascii="Arial" w:cs="Arial" w:eastAsia="Arial" w:hAnsi="Arial"/>
          <w:color w:val="2C3E50"/>
          <w:sz w:val="22"/>
          <w:szCs w:val="22"/>
        </w:rPr>
        <w:t xml:space="preserve">Base FHIR is intentionally flexible to support worldwide use. Profiles constrain and extend base resources for specific use cases:</w:t>
      </w:r>
    </w:p>
    <w:p>
      <w:pPr>
        <w:pStyle w:val="ListParagraph"/>
        <w:numPr>
          <w:ilvl w:val="0"/>
          <w:numId w:val="2"/>
        </w:numPr>
        <w:spacing w:before="40" w:after="40" w:line="310"/>
      </w:pPr>
      <w:r>
        <w:rPr>
          <w:rFonts w:ascii="Arial" w:cs="Arial" w:eastAsia="Arial" w:hAnsi="Arial"/>
          <w:b/>
          <w:bCs/>
          <w:color w:val="2C3E50"/>
          <w:sz w:val="22"/>
          <w:szCs w:val="22"/>
        </w:rPr>
        <w:t xml:space="preserve">US Core Profiles: </w:t>
      </w:r>
      <w:r>
        <w:rPr>
          <w:rFonts w:ascii="Arial" w:cs="Arial" w:eastAsia="Arial" w:hAnsi="Arial"/>
          <w:color w:val="2C3E50"/>
          <w:sz w:val="22"/>
          <w:szCs w:val="22"/>
        </w:rPr>
        <w:t xml:space="preserve">The foundational set of FHIR profiles for the US healthcare system. Required by ONC certification. Define minimum data elements for Patient, Encounter, Condition, Observation, Medication, and other resources. Based on USCDI data classes.</w:t>
      </w:r>
    </w:p>
    <w:p>
      <w:pPr>
        <w:pStyle w:val="ListParagraph"/>
        <w:numPr>
          <w:ilvl w:val="0"/>
          <w:numId w:val="2"/>
        </w:numPr>
        <w:spacing w:before="40" w:after="40" w:line="310"/>
      </w:pPr>
      <w:r>
        <w:rPr>
          <w:rFonts w:ascii="Arial" w:cs="Arial" w:eastAsia="Arial" w:hAnsi="Arial"/>
          <w:b/>
          <w:bCs/>
          <w:color w:val="2C3E50"/>
          <w:sz w:val="22"/>
          <w:szCs w:val="22"/>
        </w:rPr>
        <w:t xml:space="preserve">Implementation Guides (IGs): </w:t>
      </w:r>
      <w:r>
        <w:rPr>
          <w:rFonts w:ascii="Arial" w:cs="Arial" w:eastAsia="Arial" w:hAnsi="Arial"/>
          <w:color w:val="2C3E50"/>
          <w:sz w:val="22"/>
          <w:szCs w:val="22"/>
        </w:rPr>
        <w:t xml:space="preserve">Comprehensive specifications that define how FHIR should be implemented for specific use cases. IGs include profiles, extensions, value sets, capability statements, and implementation guidance.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Implementation Guide</w:t>
            </w:r>
          </w:p>
        </w:tc>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Publisher</w:t>
            </w:r>
          </w:p>
        </w:tc>
        <w:tc>
          <w:tcPr>
            <w:tcW w:type="dxa" w:w="53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 Core</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HL7 / ONC</w:t>
            </w:r>
          </w:p>
        </w:tc>
        <w:tc>
          <w:tcPr>
            <w:tcW w:type="dxa" w:w="5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Baseline US profiles required for ONC certification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 Vinci PDex</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HL7 Da Vinci Project</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Payer Data Exchange — payer-to-provider data sharing</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Da Vinci PAS</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HL7 Da Vinci Project</w:t>
            </w:r>
          </w:p>
        </w:tc>
        <w:tc>
          <w:tcPr>
            <w:tcW w:type="dxa" w:w="5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Prior Authorization Support — automating prior auth workflows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CARIN Blue Button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CARIN Alliance</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Consumer-directed data exchange — patient access to insurance claims</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mCODE</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HL7 / CodeX</w:t>
            </w:r>
          </w:p>
        </w:tc>
        <w:tc>
          <w:tcPr>
            <w:tcW w:type="dxa" w:w="5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Minimal Common Oncology Data Elements for cancer data</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QI-Core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HL7</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Quality Improvement — profiles for clinical quality measurement</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Argonaut</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Argonaut Project</w:t>
            </w:r>
          </w:p>
        </w:tc>
        <w:tc>
          <w:tcPr>
            <w:tcW w:type="dxa" w:w="5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Early FHIR implementation specs that influenced US Core</w:t>
            </w:r>
          </w:p>
        </w:tc>
      </w:tr>
    </w:tbl>
    <w:p>
      <w:pPr>
        <w:spacing w:before="120" w:after="120"/>
      </w:pPr>
    </w:p>
    <w:p>
      <w:pPr>
        <w:pStyle w:val="Heading2"/>
        <w:spacing w:before="340" w:after="160"/>
      </w:pPr>
      <w:r>
        <w:rPr>
          <w:rFonts w:ascii="Arial" w:cs="Arial" w:eastAsia="Arial" w:hAnsi="Arial"/>
          <w:b/>
          <w:bCs/>
          <w:color w:val="1A6FA5"/>
          <w:sz w:val="30"/>
          <w:szCs w:val="30"/>
        </w:rPr>
        <w:t xml:space="preserve">2.4 SMART on FHIR</w:t>
      </w:r>
    </w:p>
    <w:p>
      <w:pPr>
        <w:spacing w:before="60" w:after="100" w:line="340"/>
      </w:pPr>
      <w:r>
        <w:rPr>
          <w:rFonts w:ascii="Arial" w:cs="Arial" w:eastAsia="Arial" w:hAnsi="Arial"/>
          <w:color w:val="2C3E50"/>
          <w:sz w:val="22"/>
          <w:szCs w:val="22"/>
        </w:rPr>
        <w:t xml:space="preserve">SMART (Substitutable Medical Applications, Reusable Technologies) on FHIR is an open standard for launching applications within EHR systems. It combines FHIR for data access with OAuth 2.0 for authorization:</w:t>
      </w:r>
    </w:p>
    <w:p>
      <w:pPr>
        <w:pStyle w:val="ListParagraph"/>
        <w:numPr>
          <w:ilvl w:val="0"/>
          <w:numId w:val="2"/>
        </w:numPr>
        <w:spacing w:before="40" w:after="40" w:line="310"/>
      </w:pPr>
      <w:r>
        <w:rPr>
          <w:rFonts w:ascii="Arial" w:cs="Arial" w:eastAsia="Arial" w:hAnsi="Arial"/>
          <w:b/>
          <w:bCs/>
          <w:color w:val="2C3E50"/>
          <w:sz w:val="22"/>
          <w:szCs w:val="22"/>
        </w:rPr>
        <w:t xml:space="preserve">EHR Launch: </w:t>
      </w:r>
      <w:r>
        <w:rPr>
          <w:rFonts w:ascii="Arial" w:cs="Arial" w:eastAsia="Arial" w:hAnsi="Arial"/>
          <w:color w:val="2C3E50"/>
          <w:sz w:val="22"/>
          <w:szCs w:val="22"/>
        </w:rPr>
        <w:t xml:space="preserve">The EHR launches the SMART app, passing context (which patient, which encounter) and an authorization code. The app exchanges the code for an access token to access FHIR data.</w:t>
      </w:r>
    </w:p>
    <w:p>
      <w:pPr>
        <w:pStyle w:val="ListParagraph"/>
        <w:numPr>
          <w:ilvl w:val="0"/>
          <w:numId w:val="2"/>
        </w:numPr>
        <w:spacing w:before="40" w:after="40" w:line="310"/>
      </w:pPr>
      <w:r>
        <w:rPr>
          <w:rFonts w:ascii="Arial" w:cs="Arial" w:eastAsia="Arial" w:hAnsi="Arial"/>
          <w:b/>
          <w:bCs/>
          <w:color w:val="2C3E50"/>
          <w:sz w:val="22"/>
          <w:szCs w:val="22"/>
        </w:rPr>
        <w:t xml:space="preserve">Standalone Launch: </w:t>
      </w:r>
      <w:r>
        <w:rPr>
          <w:rFonts w:ascii="Arial" w:cs="Arial" w:eastAsia="Arial" w:hAnsi="Arial"/>
          <w:color w:val="2C3E50"/>
          <w:sz w:val="22"/>
          <w:szCs w:val="22"/>
        </w:rPr>
        <w:t xml:space="preserve">The app launches independently, directing the user to the EHR’s authorization server to authenticate and select a patient.</w:t>
      </w:r>
    </w:p>
    <w:p>
      <w:pPr>
        <w:pStyle w:val="ListParagraph"/>
        <w:numPr>
          <w:ilvl w:val="0"/>
          <w:numId w:val="2"/>
        </w:numPr>
        <w:spacing w:before="40" w:after="40" w:line="310"/>
      </w:pPr>
      <w:r>
        <w:rPr>
          <w:rFonts w:ascii="Arial" w:cs="Arial" w:eastAsia="Arial" w:hAnsi="Arial"/>
          <w:b/>
          <w:bCs/>
          <w:color w:val="2C3E50"/>
          <w:sz w:val="22"/>
          <w:szCs w:val="22"/>
        </w:rPr>
        <w:t xml:space="preserve">Scopes: </w:t>
      </w:r>
      <w:r>
        <w:rPr>
          <w:rFonts w:ascii="Arial" w:cs="Arial" w:eastAsia="Arial" w:hAnsi="Arial"/>
          <w:color w:val="2C3E50"/>
          <w:sz w:val="22"/>
          <w:szCs w:val="22"/>
        </w:rPr>
        <w:t xml:space="preserve">Define what the app can access: patient/Patient.read, patient/Observation.read, launch/patient, openid, fhirUser, etc.</w:t>
      </w:r>
    </w:p>
    <w:p>
      <w:pPr>
        <w:pStyle w:val="ListParagraph"/>
        <w:numPr>
          <w:ilvl w:val="0"/>
          <w:numId w:val="2"/>
        </w:numPr>
        <w:spacing w:before="40" w:after="40" w:line="310"/>
      </w:pPr>
      <w:r>
        <w:rPr>
          <w:rFonts w:ascii="Arial" w:cs="Arial" w:eastAsia="Arial" w:hAnsi="Arial"/>
          <w:b/>
          <w:bCs/>
          <w:color w:val="2C3E50"/>
          <w:sz w:val="22"/>
          <w:szCs w:val="22"/>
        </w:rPr>
        <w:t xml:space="preserve">Clinical Apps: </w:t>
      </w:r>
      <w:r>
        <w:rPr>
          <w:rFonts w:ascii="Arial" w:cs="Arial" w:eastAsia="Arial" w:hAnsi="Arial"/>
          <w:color w:val="2C3E50"/>
          <w:sz w:val="22"/>
          <w:szCs w:val="22"/>
        </w:rPr>
        <w:t xml:space="preserve">SMART on FHIR enables a marketplace of clinical applications that work across any EHR that supports the standard.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A5" w:sz="1"/>
              <w:left w:val="single" w:color="1A6FA5" w:sz="8"/>
              <w:bottom w:val="single" w:color="1A6FA5" w:sz="1"/>
              <w:right w:val="single" w:color="1A6FA5" w:sz="1"/>
            </w:tcBorders>
            <w:shd w:fill="EAF2F8"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HL7 v2 vs. FHIR: When to Use Each</w:t>
            </w:r>
          </w:p>
          <w:p>
            <w:pPr>
              <w:spacing w:before="40"/>
            </w:pPr>
            <w:r>
              <w:rPr>
                <w:rFonts w:ascii="Arial" w:cs="Arial" w:eastAsia="Arial" w:hAnsi="Arial"/>
                <w:color w:val="2C3E50"/>
                <w:sz w:val="20"/>
                <w:szCs w:val="20"/>
              </w:rPr>
              <w:t xml:space="preserve">HL7 v2 is best for: high-volume, real-time event notifications (ADT, lab results, orders) between internal systems. FHIR is best for: on-demand data retrieval, patient-facing apps, payer data exchange, clinical decision support, and new interoperability mandates. Most organizations use both: HL7 v2 for established internal interfaces and FHIR for external connectivity and new applications.</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3. Healthcare Terminology Systems</w:t>
      </w:r>
    </w:p>
    <w:p>
      <w:pPr>
        <w:spacing w:before="60" w:after="100" w:line="340"/>
      </w:pPr>
      <w:r>
        <w:rPr>
          <w:rFonts w:ascii="Arial" w:cs="Arial" w:eastAsia="Arial" w:hAnsi="Arial"/>
          <w:color w:val="2C3E50"/>
          <w:sz w:val="22"/>
          <w:szCs w:val="22"/>
        </w:rPr>
        <w:t xml:space="preserve">Terminology systems are standardized vocabularies that assign unique codes to clinical concepts. They are the semantic foundation of healthcare interoperability — without them, the data flowing through HL7 v2 messages and FHIR resources would be meaningless strings and numbers. When a lab result contains the LOINC code 2093-3, every system in the world knows it means "Cholesterol [Mass/volume] in Serum or Plasma." When a diagnosis is coded as ICD-10-CM E11.65, every payer and provider understands it as "Type 2 diabetes mellitus with hyperglycemia."</w:t>
      </w:r>
    </w:p>
    <w:p>
      <w:pPr>
        <w:spacing w:before="60" w:after="100" w:line="340"/>
      </w:pPr>
      <w:r>
        <w:rPr>
          <w:rFonts w:ascii="Arial" w:cs="Arial" w:eastAsia="Arial" w:hAnsi="Arial"/>
          <w:color w:val="2C3E50"/>
          <w:sz w:val="22"/>
          <w:szCs w:val="22"/>
        </w:rPr>
        <w:t xml:space="preserve">Integration professionals must understand which coding system applies to each type of clinical data, how codes are structured, and how to map between code systems when data moves between organizations.</w:t>
      </w:r>
    </w:p>
    <w:p>
      <w:pPr>
        <w:pStyle w:val="Heading2"/>
        <w:spacing w:before="340" w:after="160"/>
      </w:pPr>
      <w:r>
        <w:rPr>
          <w:rFonts w:ascii="Arial" w:cs="Arial" w:eastAsia="Arial" w:hAnsi="Arial"/>
          <w:b/>
          <w:bCs/>
          <w:color w:val="1A6FA5"/>
          <w:sz w:val="30"/>
          <w:szCs w:val="30"/>
        </w:rPr>
        <w:t xml:space="preserve">3.1 ICD-10 (International Classification of Diseases, 10th Revision)</w:t>
      </w:r>
    </w:p>
    <w:p>
      <w:pPr>
        <w:spacing w:before="60" w:after="100" w:line="340"/>
      </w:pPr>
      <w:r>
        <w:rPr>
          <w:rFonts w:ascii="Arial" w:cs="Arial" w:eastAsia="Arial" w:hAnsi="Arial"/>
          <w:color w:val="2C3E50"/>
          <w:sz w:val="22"/>
          <w:szCs w:val="22"/>
        </w:rPr>
        <w:t xml:space="preserve">ICD-10 is the international standard for classifying diseases, injuries, and causes of death. In the United States, two variants are used:</w:t>
      </w:r>
    </w:p>
    <w:p>
      <w:pPr>
        <w:pStyle w:val="Heading3"/>
        <w:spacing w:before="280" w:after="120"/>
      </w:pPr>
      <w:r>
        <w:rPr>
          <w:rFonts w:ascii="Arial" w:cs="Arial" w:eastAsia="Arial" w:hAnsi="Arial"/>
          <w:b/>
          <w:bCs/>
          <w:color w:val="2980B9"/>
          <w:sz w:val="26"/>
          <w:szCs w:val="26"/>
        </w:rPr>
        <w:t xml:space="preserve">ICD-10-CM (Clinical Modification)</w:t>
      </w:r>
    </w:p>
    <w:p>
      <w:pPr>
        <w:spacing w:before="60" w:after="100" w:line="340"/>
      </w:pPr>
      <w:r>
        <w:rPr>
          <w:rFonts w:ascii="Arial" w:cs="Arial" w:eastAsia="Arial" w:hAnsi="Arial"/>
          <w:color w:val="2C3E50"/>
          <w:sz w:val="22"/>
          <w:szCs w:val="22"/>
        </w:rPr>
        <w:t xml:space="preserve">Used for diagnosis coding in all healthcare settings. Managed by the CDC’s National Center for Health Statistics (NCHS). Contains over 72,000 codes.</w:t>
      </w:r>
    </w:p>
    <w:p>
      <w:pPr>
        <w:pStyle w:val="ListParagraph"/>
        <w:numPr>
          <w:ilvl w:val="0"/>
          <w:numId w:val="2"/>
        </w:numPr>
        <w:spacing w:before="40" w:after="40" w:line="310"/>
      </w:pPr>
      <w:r>
        <w:rPr>
          <w:rFonts w:ascii="Arial" w:cs="Arial" w:eastAsia="Arial" w:hAnsi="Arial"/>
          <w:b/>
          <w:bCs/>
          <w:color w:val="2C3E50"/>
          <w:sz w:val="22"/>
          <w:szCs w:val="22"/>
        </w:rPr>
        <w:t xml:space="preserve">Structure: </w:t>
      </w:r>
      <w:r>
        <w:rPr>
          <w:rFonts w:ascii="Arial" w:cs="Arial" w:eastAsia="Arial" w:hAnsi="Arial"/>
          <w:color w:val="2C3E50"/>
          <w:sz w:val="22"/>
          <w:szCs w:val="22"/>
        </w:rPr>
        <w:t xml:space="preserve">3–7 characters. First character is alpha (A-Z, except U). Characters 2–3 are numeric. A decimal point follows the 3rd character. Characters 4–7 provide increasing specificity.</w:t>
      </w:r>
    </w:p>
    <w:p>
      <w:pPr>
        <w:pStyle w:val="ListParagraph"/>
        <w:numPr>
          <w:ilvl w:val="0"/>
          <w:numId w:val="2"/>
        </w:numPr>
        <w:spacing w:before="40" w:after="40" w:line="310"/>
      </w:pPr>
      <w:r>
        <w:rPr>
          <w:rFonts w:ascii="Arial" w:cs="Arial" w:eastAsia="Arial" w:hAnsi="Arial"/>
          <w:b/>
          <w:bCs/>
          <w:color w:val="2C3E50"/>
          <w:sz w:val="22"/>
          <w:szCs w:val="22"/>
        </w:rPr>
        <w:t xml:space="preserve">Category (3 chars): </w:t>
      </w:r>
      <w:r>
        <w:rPr>
          <w:rFonts w:ascii="Arial" w:cs="Arial" w:eastAsia="Arial" w:hAnsi="Arial"/>
          <w:color w:val="2C3E50"/>
          <w:sz w:val="22"/>
          <w:szCs w:val="22"/>
        </w:rPr>
        <w:t xml:space="preserve">E11 = Type 2 diabetes mellitus</w:t>
      </w:r>
    </w:p>
    <w:p>
      <w:pPr>
        <w:pStyle w:val="ListParagraph"/>
        <w:numPr>
          <w:ilvl w:val="0"/>
          <w:numId w:val="2"/>
        </w:numPr>
        <w:spacing w:before="40" w:after="40" w:line="310"/>
      </w:pPr>
      <w:r>
        <w:rPr>
          <w:rFonts w:ascii="Arial" w:cs="Arial" w:eastAsia="Arial" w:hAnsi="Arial"/>
          <w:b/>
          <w:bCs/>
          <w:color w:val="2C3E50"/>
          <w:sz w:val="22"/>
          <w:szCs w:val="22"/>
        </w:rPr>
        <w:t xml:space="preserve">Subcategory (4 chars): </w:t>
      </w:r>
      <w:r>
        <w:rPr>
          <w:rFonts w:ascii="Arial" w:cs="Arial" w:eastAsia="Arial" w:hAnsi="Arial"/>
          <w:color w:val="2C3E50"/>
          <w:sz w:val="22"/>
          <w:szCs w:val="22"/>
        </w:rPr>
        <w:t xml:space="preserve">E11.6 = Type 2 diabetes with complications</w:t>
      </w:r>
    </w:p>
    <w:p>
      <w:pPr>
        <w:pStyle w:val="ListParagraph"/>
        <w:numPr>
          <w:ilvl w:val="0"/>
          <w:numId w:val="2"/>
        </w:numPr>
        <w:spacing w:before="40" w:after="40" w:line="310"/>
      </w:pPr>
      <w:r>
        <w:rPr>
          <w:rFonts w:ascii="Arial" w:cs="Arial" w:eastAsia="Arial" w:hAnsi="Arial"/>
          <w:b/>
          <w:bCs/>
          <w:color w:val="2C3E50"/>
          <w:sz w:val="22"/>
          <w:szCs w:val="22"/>
        </w:rPr>
        <w:t xml:space="preserve">Full specificity (5-7 chars): </w:t>
      </w:r>
      <w:r>
        <w:rPr>
          <w:rFonts w:ascii="Arial" w:cs="Arial" w:eastAsia="Arial" w:hAnsi="Arial"/>
          <w:color w:val="2C3E50"/>
          <w:sz w:val="22"/>
          <w:szCs w:val="22"/>
        </w:rPr>
        <w:t xml:space="preserve">E11.65 = Type 2 diabetes with hyperglycemia</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60"/>
      </w:tblGrid>
      <w:tr>
        <w:trPr>
          <w:tblHeader/>
        </w:trPr>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5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I21.0</w:t>
            </w:r>
          </w:p>
        </w:tc>
        <w:tc>
          <w:tcPr>
            <w:tcW w:type="dxa" w:w="5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ST elevation myocardial infarction involving left main coronary artery</w:t>
            </w:r>
          </w:p>
        </w:tc>
        <w:tc>
          <w:tcPr>
            <w:tcW w:type="dxa" w:w="2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Acute MI</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J18.9</w:t>
            </w:r>
          </w:p>
        </w:tc>
        <w:tc>
          <w:tcPr>
            <w:tcW w:type="dxa" w:w="5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Pneumonia, unspecified organism</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Pneumonia</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K80.10</w:t>
            </w:r>
          </w:p>
        </w:tc>
        <w:tc>
          <w:tcPr>
            <w:tcW w:type="dxa" w:w="5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Calculus of gallbladder with chronic cholecystitis without obstruction</w:t>
            </w:r>
          </w:p>
        </w:tc>
        <w:tc>
          <w:tcPr>
            <w:tcW w:type="dxa" w:w="2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Gallstones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S72.001A</w:t>
            </w:r>
          </w:p>
        </w:tc>
        <w:tc>
          <w:tcPr>
            <w:tcW w:type="dxa" w:w="5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Fracture of unspecified part of neck of right femur, initial encounter</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Hip fracture</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Z23</w:t>
            </w:r>
          </w:p>
        </w:tc>
        <w:tc>
          <w:tcPr>
            <w:tcW w:type="dxa" w:w="5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Encounter for immunization</w:t>
            </w:r>
          </w:p>
        </w:tc>
        <w:tc>
          <w:tcPr>
            <w:tcW w:type="dxa" w:w="2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Preventive care</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F32.1</w:t>
            </w:r>
          </w:p>
        </w:tc>
        <w:tc>
          <w:tcPr>
            <w:tcW w:type="dxa" w:w="5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Major depressive disorder, single episode, moderate</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Mental health</w:t>
            </w:r>
          </w:p>
        </w:tc>
      </w:tr>
    </w:tbl>
    <w:p>
      <w:pPr>
        <w:spacing w:before="120" w:after="120"/>
      </w:pPr>
    </w:p>
    <w:p>
      <w:pPr>
        <w:pStyle w:val="ListParagraph"/>
        <w:numPr>
          <w:ilvl w:val="0"/>
          <w:numId w:val="2"/>
        </w:numPr>
        <w:spacing w:before="40" w:after="40" w:line="310"/>
      </w:pPr>
      <w:r>
        <w:rPr>
          <w:rFonts w:ascii="Arial" w:cs="Arial" w:eastAsia="Arial" w:hAnsi="Arial"/>
          <w:b/>
          <w:bCs/>
          <w:color w:val="2C3E50"/>
          <w:sz w:val="22"/>
          <w:szCs w:val="22"/>
        </w:rPr>
        <w:t xml:space="preserve">Integration Impact: </w:t>
      </w:r>
      <w:r>
        <w:rPr>
          <w:rFonts w:ascii="Arial" w:cs="Arial" w:eastAsia="Arial" w:hAnsi="Arial"/>
          <w:color w:val="2C3E50"/>
          <w:sz w:val="22"/>
          <w:szCs w:val="22"/>
        </w:rPr>
        <w:t xml:space="preserve">ICD-10-CM codes appear in: HL7 v2 DG1 segments, FHIR Condition.code, X12 837 claims (principal and secondary diagnoses), and C-CDA Problem List entries. Incorrect or non-specific codes cause claim denials.</w:t>
      </w:r>
    </w:p>
    <w:p>
      <w:pPr>
        <w:pStyle w:val="Heading3"/>
        <w:spacing w:before="280" w:after="120"/>
      </w:pPr>
      <w:r>
        <w:rPr>
          <w:rFonts w:ascii="Arial" w:cs="Arial" w:eastAsia="Arial" w:hAnsi="Arial"/>
          <w:b/>
          <w:bCs/>
          <w:color w:val="2980B9"/>
          <w:sz w:val="26"/>
          <w:szCs w:val="26"/>
        </w:rPr>
        <w:t xml:space="preserve">ICD-10-PCS (Procedure Coding System)</w:t>
      </w:r>
    </w:p>
    <w:p>
      <w:pPr>
        <w:spacing w:before="60" w:after="100" w:line="340"/>
      </w:pPr>
      <w:r>
        <w:rPr>
          <w:rFonts w:ascii="Arial" w:cs="Arial" w:eastAsia="Arial" w:hAnsi="Arial"/>
          <w:color w:val="2C3E50"/>
          <w:sz w:val="22"/>
          <w:szCs w:val="22"/>
        </w:rPr>
        <w:t xml:space="preserve">Used exclusively for inpatient procedure coding in hospitals. Managed by CMS. Contains over 78,000 codes with a unique 7-character alphanumeric structure where each character position has a specific meaning:</w:t>
      </w:r>
    </w:p>
    <w:p>
      <w:pPr>
        <w:pStyle w:val="ListParagraph"/>
        <w:numPr>
          <w:ilvl w:val="0"/>
          <w:numId w:val="2"/>
        </w:numPr>
        <w:spacing w:before="40" w:after="40" w:line="310"/>
      </w:pPr>
      <w:r>
        <w:rPr>
          <w:rFonts w:ascii="Arial" w:cs="Arial" w:eastAsia="Arial" w:hAnsi="Arial"/>
          <w:b/>
          <w:bCs/>
          <w:color w:val="2C3E50"/>
          <w:sz w:val="22"/>
          <w:szCs w:val="22"/>
        </w:rPr>
        <w:t xml:space="preserve">Character 1 — Section: </w:t>
      </w:r>
      <w:r>
        <w:rPr>
          <w:rFonts w:ascii="Arial" w:cs="Arial" w:eastAsia="Arial" w:hAnsi="Arial"/>
          <w:color w:val="2C3E50"/>
          <w:sz w:val="22"/>
          <w:szCs w:val="22"/>
        </w:rPr>
        <w:t xml:space="preserve">Medical and Surgical (0), Obstetrics (1), Placement (2), etc.</w:t>
      </w:r>
    </w:p>
    <w:p>
      <w:pPr>
        <w:pStyle w:val="ListParagraph"/>
        <w:numPr>
          <w:ilvl w:val="0"/>
          <w:numId w:val="2"/>
        </w:numPr>
        <w:spacing w:before="40" w:after="40" w:line="310"/>
      </w:pPr>
      <w:r>
        <w:rPr>
          <w:rFonts w:ascii="Arial" w:cs="Arial" w:eastAsia="Arial" w:hAnsi="Arial"/>
          <w:b/>
          <w:bCs/>
          <w:color w:val="2C3E50"/>
          <w:sz w:val="22"/>
          <w:szCs w:val="22"/>
        </w:rPr>
        <w:t xml:space="preserve">Character 2 — Body System: </w:t>
      </w:r>
      <w:r>
        <w:rPr>
          <w:rFonts w:ascii="Arial" w:cs="Arial" w:eastAsia="Arial" w:hAnsi="Arial"/>
          <w:color w:val="2C3E50"/>
          <w:sz w:val="22"/>
          <w:szCs w:val="22"/>
        </w:rPr>
        <w:t xml:space="preserve">Central Nervous (0), Heart and Great Vessels (2), Hepatobiliary (F), etc.</w:t>
      </w:r>
    </w:p>
    <w:p>
      <w:pPr>
        <w:pStyle w:val="ListParagraph"/>
        <w:numPr>
          <w:ilvl w:val="0"/>
          <w:numId w:val="2"/>
        </w:numPr>
        <w:spacing w:before="40" w:after="40" w:line="310"/>
      </w:pPr>
      <w:r>
        <w:rPr>
          <w:rFonts w:ascii="Arial" w:cs="Arial" w:eastAsia="Arial" w:hAnsi="Arial"/>
          <w:b/>
          <w:bCs/>
          <w:color w:val="2C3E50"/>
          <w:sz w:val="22"/>
          <w:szCs w:val="22"/>
        </w:rPr>
        <w:t xml:space="preserve">Character 3 — Root Operation: </w:t>
      </w:r>
      <w:r>
        <w:rPr>
          <w:rFonts w:ascii="Arial" w:cs="Arial" w:eastAsia="Arial" w:hAnsi="Arial"/>
          <w:color w:val="2C3E50"/>
          <w:sz w:val="22"/>
          <w:szCs w:val="22"/>
        </w:rPr>
        <w:t xml:space="preserve">Excision (B), Replacement (R), Repair (Q), Bypass (1), etc.</w:t>
      </w:r>
    </w:p>
    <w:p>
      <w:pPr>
        <w:pStyle w:val="ListParagraph"/>
        <w:numPr>
          <w:ilvl w:val="0"/>
          <w:numId w:val="2"/>
        </w:numPr>
        <w:spacing w:before="40" w:after="40" w:line="310"/>
      </w:pPr>
      <w:r>
        <w:rPr>
          <w:rFonts w:ascii="Arial" w:cs="Arial" w:eastAsia="Arial" w:hAnsi="Arial"/>
          <w:b/>
          <w:bCs/>
          <w:color w:val="2C3E50"/>
          <w:sz w:val="22"/>
          <w:szCs w:val="22"/>
        </w:rPr>
        <w:t xml:space="preserve">Characters 4-7: </w:t>
      </w:r>
      <w:r>
        <w:rPr>
          <w:rFonts w:ascii="Arial" w:cs="Arial" w:eastAsia="Arial" w:hAnsi="Arial"/>
          <w:color w:val="2C3E50"/>
          <w:sz w:val="22"/>
          <w:szCs w:val="22"/>
        </w:rPr>
        <w:t xml:space="preserve">Body Part, Approach, Device, and Qualifier provide full procedural detail.</w:t>
      </w:r>
    </w:p>
    <w:p>
      <w:pPr>
        <w:spacing w:before="120" w:after="120"/>
      </w:pPr>
    </w:p>
    <w:p>
      <w:pPr>
        <w:pStyle w:val="Heading2"/>
        <w:spacing w:before="340" w:after="160"/>
      </w:pPr>
      <w:r>
        <w:rPr>
          <w:rFonts w:ascii="Arial" w:cs="Arial" w:eastAsia="Arial" w:hAnsi="Arial"/>
          <w:b/>
          <w:bCs/>
          <w:color w:val="1A6FA5"/>
          <w:sz w:val="30"/>
          <w:szCs w:val="30"/>
        </w:rPr>
        <w:t xml:space="preserve">3.2 CPT (Current Procedural Terminology)</w:t>
      </w:r>
    </w:p>
    <w:p>
      <w:pPr>
        <w:spacing w:before="60" w:after="100" w:line="340"/>
      </w:pPr>
      <w:r>
        <w:rPr>
          <w:rFonts w:ascii="Arial" w:cs="Arial" w:eastAsia="Arial" w:hAnsi="Arial"/>
          <w:color w:val="2C3E50"/>
          <w:sz w:val="22"/>
          <w:szCs w:val="22"/>
        </w:rPr>
        <w:t xml:space="preserve">CPT codes, owned and maintained by the American Medical Association (AMA), are used for outpatient/physician procedure and service coding. CPT is the primary code set for professional claims (X12 837P).</w:t>
      </w:r>
    </w:p>
    <w:p>
      <w:pPr>
        <w:pStyle w:val="ListParagraph"/>
        <w:numPr>
          <w:ilvl w:val="0"/>
          <w:numId w:val="2"/>
        </w:numPr>
        <w:spacing w:before="40" w:after="40" w:line="310"/>
      </w:pPr>
      <w:r>
        <w:rPr>
          <w:rFonts w:ascii="Arial" w:cs="Arial" w:eastAsia="Arial" w:hAnsi="Arial"/>
          <w:b/>
          <w:bCs/>
          <w:color w:val="2C3E50"/>
          <w:sz w:val="22"/>
          <w:szCs w:val="22"/>
        </w:rPr>
        <w:t xml:space="preserve">Category I (5 digits): </w:t>
      </w:r>
      <w:r>
        <w:rPr>
          <w:rFonts w:ascii="Arial" w:cs="Arial" w:eastAsia="Arial" w:hAnsi="Arial"/>
          <w:color w:val="2C3E50"/>
          <w:sz w:val="22"/>
          <w:szCs w:val="22"/>
        </w:rPr>
        <w:t xml:space="preserve">Standard procedures and services. Example: 99213 = Office visit, established patient, low complexity. 27447 = Total knee replacement.</w:t>
      </w:r>
    </w:p>
    <w:p>
      <w:pPr>
        <w:pStyle w:val="ListParagraph"/>
        <w:numPr>
          <w:ilvl w:val="0"/>
          <w:numId w:val="2"/>
        </w:numPr>
        <w:spacing w:before="40" w:after="40" w:line="310"/>
      </w:pPr>
      <w:r>
        <w:rPr>
          <w:rFonts w:ascii="Arial" w:cs="Arial" w:eastAsia="Arial" w:hAnsi="Arial"/>
          <w:b/>
          <w:bCs/>
          <w:color w:val="2C3E50"/>
          <w:sz w:val="22"/>
          <w:szCs w:val="22"/>
        </w:rPr>
        <w:t xml:space="preserve">Category II (5 digits + F): </w:t>
      </w:r>
      <w:r>
        <w:rPr>
          <w:rFonts w:ascii="Arial" w:cs="Arial" w:eastAsia="Arial" w:hAnsi="Arial"/>
          <w:color w:val="2C3E50"/>
          <w:sz w:val="22"/>
          <w:szCs w:val="22"/>
        </w:rPr>
        <w:t xml:space="preserve">Performance measurement codes. Example: 3006F = Chest X-ray results documented. Used for quality reporting, not billing.</w:t>
      </w:r>
    </w:p>
    <w:p>
      <w:pPr>
        <w:pStyle w:val="ListParagraph"/>
        <w:numPr>
          <w:ilvl w:val="0"/>
          <w:numId w:val="2"/>
        </w:numPr>
        <w:spacing w:before="40" w:after="40" w:line="310"/>
      </w:pPr>
      <w:r>
        <w:rPr>
          <w:rFonts w:ascii="Arial" w:cs="Arial" w:eastAsia="Arial" w:hAnsi="Arial"/>
          <w:b/>
          <w:bCs/>
          <w:color w:val="2C3E50"/>
          <w:sz w:val="22"/>
          <w:szCs w:val="22"/>
        </w:rPr>
        <w:t xml:space="preserve">Category III (5 digits + T): </w:t>
      </w:r>
      <w:r>
        <w:rPr>
          <w:rFonts w:ascii="Arial" w:cs="Arial" w:eastAsia="Arial" w:hAnsi="Arial"/>
          <w:color w:val="2C3E50"/>
          <w:sz w:val="22"/>
          <w:szCs w:val="22"/>
        </w:rPr>
        <w:t xml:space="preserve">Emerging technology codes. Example: 0593T = Transcatheter tricuspid valve implantation. Temporary codes for new procedures.</w:t>
      </w:r>
    </w:p>
    <w:p>
      <w:pPr>
        <w:pStyle w:val="ListParagraph"/>
        <w:numPr>
          <w:ilvl w:val="0"/>
          <w:numId w:val="2"/>
        </w:numPr>
        <w:spacing w:before="40" w:after="40" w:line="310"/>
      </w:pPr>
      <w:r>
        <w:rPr>
          <w:rFonts w:ascii="Arial" w:cs="Arial" w:eastAsia="Arial" w:hAnsi="Arial"/>
          <w:b/>
          <w:bCs/>
          <w:color w:val="2C3E50"/>
          <w:sz w:val="22"/>
          <w:szCs w:val="22"/>
        </w:rPr>
        <w:t xml:space="preserve">Modifiers: </w:t>
      </w:r>
      <w:r>
        <w:rPr>
          <w:rFonts w:ascii="Arial" w:cs="Arial" w:eastAsia="Arial" w:hAnsi="Arial"/>
          <w:color w:val="2C3E50"/>
          <w:sz w:val="22"/>
          <w:szCs w:val="22"/>
        </w:rPr>
        <w:t xml:space="preserve">Two-character suffixes that provide additional information: -25 (significant, separately identifiable E/M service), -59 (distinct procedural service), -LT/-RT (left side/right side).</w:t>
      </w:r>
    </w:p>
    <w:p>
      <w:pPr>
        <w:pStyle w:val="ListParagraph"/>
        <w:numPr>
          <w:ilvl w:val="0"/>
          <w:numId w:val="2"/>
        </w:numPr>
        <w:spacing w:before="40" w:after="40" w:line="310"/>
      </w:pPr>
      <w:r>
        <w:rPr>
          <w:rFonts w:ascii="Arial" w:cs="Arial" w:eastAsia="Arial" w:hAnsi="Arial"/>
          <w:b/>
          <w:bCs/>
          <w:color w:val="2C3E50"/>
          <w:sz w:val="22"/>
          <w:szCs w:val="22"/>
        </w:rPr>
        <w:t xml:space="preserve">Integration Impact: </w:t>
      </w:r>
      <w:r>
        <w:rPr>
          <w:rFonts w:ascii="Arial" w:cs="Arial" w:eastAsia="Arial" w:hAnsi="Arial"/>
          <w:color w:val="2C3E50"/>
          <w:sz w:val="22"/>
          <w:szCs w:val="22"/>
        </w:rPr>
        <w:t xml:space="preserve">CPT codes appear in: HL7 v2 FT1 and PR1 segments, FHIR Procedure.code and Claim.item.productOrService, X12 837P claims. CPT codes are copyrighted by the AMA and require a license for use in production systems.</w:t>
      </w:r>
    </w:p>
    <w:p>
      <w:pPr>
        <w:spacing w:before="120" w:after="120"/>
      </w:pPr>
    </w:p>
    <w:p>
      <w:pPr>
        <w:pStyle w:val="Heading2"/>
        <w:spacing w:before="340" w:after="160"/>
      </w:pPr>
      <w:r>
        <w:rPr>
          <w:rFonts w:ascii="Arial" w:cs="Arial" w:eastAsia="Arial" w:hAnsi="Arial"/>
          <w:b/>
          <w:bCs/>
          <w:color w:val="1A6FA5"/>
          <w:sz w:val="30"/>
          <w:szCs w:val="30"/>
        </w:rPr>
        <w:t xml:space="preserve">3.3 SNOMED CT (Systematized Nomenclature of Medicine — Clinical Terms)</w:t>
      </w:r>
    </w:p>
    <w:p>
      <w:pPr>
        <w:spacing w:before="60" w:after="100" w:line="340"/>
      </w:pPr>
      <w:r>
        <w:rPr>
          <w:rFonts w:ascii="Arial" w:cs="Arial" w:eastAsia="Arial" w:hAnsi="Arial"/>
          <w:color w:val="2C3E50"/>
          <w:sz w:val="22"/>
          <w:szCs w:val="22"/>
        </w:rPr>
        <w:t xml:space="preserve">SNOMED CT is the most comprehensive clinical terminology system in the world, containing over 350,000 concepts organized in a polyhierarchical structure. Unlike ICD-10 (designed for billing classification) and CPT (designed for procedure billing), SNOMED CT is designed for detailed clinical documentation and decision support.</w:t>
      </w:r>
    </w:p>
    <w:p>
      <w:pPr>
        <w:pStyle w:val="ListParagraph"/>
        <w:numPr>
          <w:ilvl w:val="0"/>
          <w:numId w:val="2"/>
        </w:numPr>
        <w:spacing w:before="40" w:after="40" w:line="310"/>
      </w:pPr>
      <w:r>
        <w:rPr>
          <w:rFonts w:ascii="Arial" w:cs="Arial" w:eastAsia="Arial" w:hAnsi="Arial"/>
          <w:b/>
          <w:bCs/>
          <w:color w:val="2C3E50"/>
          <w:sz w:val="22"/>
          <w:szCs w:val="22"/>
        </w:rPr>
        <w:t xml:space="preserve">Concept IDs: </w:t>
      </w:r>
      <w:r>
        <w:rPr>
          <w:rFonts w:ascii="Arial" w:cs="Arial" w:eastAsia="Arial" w:hAnsi="Arial"/>
          <w:color w:val="2C3E50"/>
          <w:sz w:val="22"/>
          <w:szCs w:val="22"/>
        </w:rPr>
        <w:t xml:space="preserve">Unique numeric identifiers. Example: 73211009 = Diabetes mellitus. 22298006 = Myocardial infarction.</w:t>
      </w:r>
    </w:p>
    <w:p>
      <w:pPr>
        <w:pStyle w:val="ListParagraph"/>
        <w:numPr>
          <w:ilvl w:val="0"/>
          <w:numId w:val="2"/>
        </w:numPr>
        <w:spacing w:before="40" w:after="40" w:line="310"/>
      </w:pPr>
      <w:r>
        <w:rPr>
          <w:rFonts w:ascii="Arial" w:cs="Arial" w:eastAsia="Arial" w:hAnsi="Arial"/>
          <w:b/>
          <w:bCs/>
          <w:color w:val="2C3E50"/>
          <w:sz w:val="22"/>
          <w:szCs w:val="22"/>
        </w:rPr>
        <w:t xml:space="preserve">Descriptions: </w:t>
      </w:r>
      <w:r>
        <w:rPr>
          <w:rFonts w:ascii="Arial" w:cs="Arial" w:eastAsia="Arial" w:hAnsi="Arial"/>
          <w:color w:val="2C3E50"/>
          <w:sz w:val="22"/>
          <w:szCs w:val="22"/>
        </w:rPr>
        <w:t xml:space="preserve">Human-readable terms linked to concepts. Each concept has a Fully Specified Name (FSN) and one or more synonyms.</w:t>
      </w:r>
    </w:p>
    <w:p>
      <w:pPr>
        <w:pStyle w:val="ListParagraph"/>
        <w:numPr>
          <w:ilvl w:val="0"/>
          <w:numId w:val="2"/>
        </w:numPr>
        <w:spacing w:before="40" w:after="40" w:line="310"/>
      </w:pPr>
      <w:r>
        <w:rPr>
          <w:rFonts w:ascii="Arial" w:cs="Arial" w:eastAsia="Arial" w:hAnsi="Arial"/>
          <w:b/>
          <w:bCs/>
          <w:color w:val="2C3E50"/>
          <w:sz w:val="22"/>
          <w:szCs w:val="22"/>
        </w:rPr>
        <w:t xml:space="preserve">Relationships: </w:t>
      </w:r>
      <w:r>
        <w:rPr>
          <w:rFonts w:ascii="Arial" w:cs="Arial" w:eastAsia="Arial" w:hAnsi="Arial"/>
          <w:color w:val="2C3E50"/>
          <w:sz w:val="22"/>
          <w:szCs w:val="22"/>
        </w:rPr>
        <w:t xml:space="preserve">IS-A hierarchical relationships (diabetes mellitus IS-A disorder of glucose metabolism IS-A metabolic disease). Attribute relationships (myocardial infarction HAS-FINDING-SITE heart structure). These relationships enable clinical reasoning and decision support.</w:t>
      </w:r>
    </w:p>
    <w:p>
      <w:pPr>
        <w:pStyle w:val="ListParagraph"/>
        <w:numPr>
          <w:ilvl w:val="0"/>
          <w:numId w:val="2"/>
        </w:numPr>
        <w:spacing w:before="40" w:after="40" w:line="310"/>
      </w:pPr>
      <w:r>
        <w:rPr>
          <w:rFonts w:ascii="Arial" w:cs="Arial" w:eastAsia="Arial" w:hAnsi="Arial"/>
          <w:b/>
          <w:bCs/>
          <w:color w:val="2C3E50"/>
          <w:sz w:val="22"/>
          <w:szCs w:val="22"/>
        </w:rPr>
        <w:t xml:space="preserve">Reference Sets: </w:t>
      </w:r>
      <w:r>
        <w:rPr>
          <w:rFonts w:ascii="Arial" w:cs="Arial" w:eastAsia="Arial" w:hAnsi="Arial"/>
          <w:color w:val="2C3E50"/>
          <w:sz w:val="22"/>
          <w:szCs w:val="22"/>
        </w:rPr>
        <w:t xml:space="preserve">Subsets of SNOMED CT organized for specific purposes (e.g., US Edition, problem list subset, allergy substance subset).</w:t>
      </w:r>
    </w:p>
    <w:p>
      <w:pPr>
        <w:pStyle w:val="ListParagraph"/>
        <w:numPr>
          <w:ilvl w:val="0"/>
          <w:numId w:val="2"/>
        </w:numPr>
        <w:spacing w:before="40" w:after="40" w:line="310"/>
      </w:pPr>
      <w:r>
        <w:rPr>
          <w:rFonts w:ascii="Arial" w:cs="Arial" w:eastAsia="Arial" w:hAnsi="Arial"/>
          <w:b/>
          <w:bCs/>
          <w:color w:val="2C3E50"/>
          <w:sz w:val="22"/>
          <w:szCs w:val="22"/>
        </w:rPr>
        <w:t xml:space="preserve">Integration Impact: </w:t>
      </w:r>
      <w:r>
        <w:rPr>
          <w:rFonts w:ascii="Arial" w:cs="Arial" w:eastAsia="Arial" w:hAnsi="Arial"/>
          <w:color w:val="2C3E50"/>
          <w:sz w:val="22"/>
          <w:szCs w:val="22"/>
        </w:rPr>
        <w:t xml:space="preserve">SNOMED CT appears in: HL7 v2 OBX segments (clinical observations), FHIR Condition.code, AllergyIntolerance.code, Procedure.code, and C-CDA entry codes. SNOMED-to-ICD-10 mapping is maintained by NLM for billing translation.</w:t>
      </w:r>
    </w:p>
    <w:p>
      <w:pPr>
        <w:spacing w:before="120" w:after="120"/>
      </w:pPr>
    </w:p>
    <w:p>
      <w:pPr>
        <w:pStyle w:val="Heading2"/>
        <w:spacing w:before="340" w:after="160"/>
      </w:pPr>
      <w:r>
        <w:rPr>
          <w:rFonts w:ascii="Arial" w:cs="Arial" w:eastAsia="Arial" w:hAnsi="Arial"/>
          <w:b/>
          <w:bCs/>
          <w:color w:val="1A6FA5"/>
          <w:sz w:val="30"/>
          <w:szCs w:val="30"/>
        </w:rPr>
        <w:t xml:space="preserve">3.4 LOINC (Logical Observation Identifiers Names and Codes)</w:t>
      </w:r>
    </w:p>
    <w:p>
      <w:pPr>
        <w:spacing w:before="60" w:after="100" w:line="340"/>
      </w:pPr>
      <w:r>
        <w:rPr>
          <w:rFonts w:ascii="Arial" w:cs="Arial" w:eastAsia="Arial" w:hAnsi="Arial"/>
          <w:color w:val="2C3E50"/>
          <w:sz w:val="22"/>
          <w:szCs w:val="22"/>
        </w:rPr>
        <w:t xml:space="preserve">LOINC provides universal identifiers for laboratory tests, clinical observations, vital signs, surveys, and clinical documents. Maintained by the Regenstrief Institute, LOINC is free to use and contains over 98,000 codes.</w:t>
      </w:r>
    </w:p>
    <w:p>
      <w:pPr>
        <w:pStyle w:val="ListParagraph"/>
        <w:numPr>
          <w:ilvl w:val="0"/>
          <w:numId w:val="2"/>
        </w:numPr>
        <w:spacing w:before="40" w:after="40" w:line="310"/>
      </w:pPr>
      <w:r>
        <w:rPr>
          <w:rFonts w:ascii="Arial" w:cs="Arial" w:eastAsia="Arial" w:hAnsi="Arial"/>
          <w:b/>
          <w:bCs/>
          <w:color w:val="2C3E50"/>
          <w:sz w:val="22"/>
          <w:szCs w:val="22"/>
        </w:rPr>
        <w:t xml:space="preserve">Six-Part Name: </w:t>
      </w:r>
      <w:r>
        <w:rPr>
          <w:rFonts w:ascii="Arial" w:cs="Arial" w:eastAsia="Arial" w:hAnsi="Arial"/>
          <w:color w:val="2C3E50"/>
          <w:sz w:val="22"/>
          <w:szCs w:val="22"/>
        </w:rPr>
        <w:t xml:space="preserve">Every LOINC code is defined by six axes: Component (what is measured), Property (type of measurement), Time (point vs. period), System (specimen type), Scale (quantitative, ordinal, nominal), and Method (technique used).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000"/>
        <w:gridCol w:w="1600"/>
        <w:gridCol w:w="3560"/>
      </w:tblGrid>
      <w:tr>
        <w:trPr>
          <w:tblHeader/>
        </w:trPr>
        <w:tc>
          <w:tcPr>
            <w:tcW w:type="dxa" w:w="1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LOINC Code</w:t>
            </w:r>
          </w:p>
        </w:tc>
        <w:tc>
          <w:tcPr>
            <w:tcW w:type="dxa" w:w="2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5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Common Name</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2093-3</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Cholesterol</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MCnc</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Ser/Plas</w:t>
            </w:r>
          </w:p>
        </w:tc>
        <w:tc>
          <w:tcPr>
            <w:tcW w:type="dxa" w:w="3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Total Cholesterol</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2345-7</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Glucose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MCnc</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Ser/Plas</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Blood Glucose</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718-7</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Hemoglobin</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MCnc</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Bld</w:t>
            </w:r>
          </w:p>
        </w:tc>
        <w:tc>
          <w:tcPr>
            <w:tcW w:type="dxa" w:w="3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Hemoglobin</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8480-6</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Systolic blood pressure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Pres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Intravascular</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Systolic BP</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8462-4</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Diastolic blood pressure</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Pres</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Intravascular</w:t>
            </w:r>
          </w:p>
        </w:tc>
        <w:tc>
          <w:tcPr>
            <w:tcW w:type="dxa" w:w="3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Diastolic BP</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8310-5</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Body temperature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Temp</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Temperature</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29463-7</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Body weight</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Mass</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w:t>
            </w:r>
          </w:p>
        </w:tc>
        <w:tc>
          <w:tcPr>
            <w:tcW w:type="dxa" w:w="3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Weight</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8302-2</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Body height</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Len</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Height</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59408-5</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Oxygen saturation</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SFr</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BldA</w:t>
            </w:r>
          </w:p>
        </w:tc>
        <w:tc>
          <w:tcPr>
            <w:tcW w:type="dxa" w:w="3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SpO2 by Pulse Oximetry</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4548-4</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Hemoglobin A1c/Hemoglobin.total</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MFr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Bld</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HbA1c</w:t>
            </w:r>
          </w:p>
        </w:tc>
      </w:tr>
    </w:tbl>
    <w:p>
      <w:pPr>
        <w:spacing w:before="120" w:after="120"/>
      </w:pPr>
    </w:p>
    <w:p>
      <w:pPr>
        <w:pStyle w:val="ListParagraph"/>
        <w:numPr>
          <w:ilvl w:val="0"/>
          <w:numId w:val="2"/>
        </w:numPr>
        <w:spacing w:before="40" w:after="40" w:line="310"/>
      </w:pPr>
      <w:r>
        <w:rPr>
          <w:rFonts w:ascii="Arial" w:cs="Arial" w:eastAsia="Arial" w:hAnsi="Arial"/>
          <w:b/>
          <w:bCs/>
          <w:color w:val="2C3E50"/>
          <w:sz w:val="22"/>
          <w:szCs w:val="22"/>
        </w:rPr>
        <w:t xml:space="preserve">Integration Impact: </w:t>
      </w:r>
      <w:r>
        <w:rPr>
          <w:rFonts w:ascii="Arial" w:cs="Arial" w:eastAsia="Arial" w:hAnsi="Arial"/>
          <w:color w:val="2C3E50"/>
          <w:sz w:val="22"/>
          <w:szCs w:val="22"/>
        </w:rPr>
        <w:t xml:space="preserve">LOINC codes are required in: HL7 v2 OBX-3 (Observation Identifier), FHIR Observation.code, and C-CDA observation entries. ONC certification requires LOINC for lab results and vital signs. LOINC is the universal language that makes lab results comparable across hospitals.</w:t>
      </w:r>
    </w:p>
    <w:p>
      <w:pPr>
        <w:spacing w:before="120" w:after="120"/>
      </w:pPr>
    </w:p>
    <w:p>
      <w:pPr>
        <w:pStyle w:val="Heading2"/>
        <w:spacing w:before="340" w:after="160"/>
      </w:pPr>
      <w:r>
        <w:rPr>
          <w:rFonts w:ascii="Arial" w:cs="Arial" w:eastAsia="Arial" w:hAnsi="Arial"/>
          <w:b/>
          <w:bCs/>
          <w:color w:val="1A6FA5"/>
          <w:sz w:val="30"/>
          <w:szCs w:val="30"/>
        </w:rPr>
        <w:t xml:space="preserve">3.5 RxNorm</w:t>
      </w:r>
    </w:p>
    <w:p>
      <w:pPr>
        <w:spacing w:before="60" w:after="100" w:line="340"/>
      </w:pPr>
      <w:r>
        <w:rPr>
          <w:rFonts w:ascii="Arial" w:cs="Arial" w:eastAsia="Arial" w:hAnsi="Arial"/>
          <w:color w:val="2C3E50"/>
          <w:sz w:val="22"/>
          <w:szCs w:val="22"/>
        </w:rPr>
        <w:t xml:space="preserve">RxNorm, maintained by the National Library of Medicine (NLM), is the standardized nomenclature for clinical drugs in the United States. It normalizes the many names used for a single drug (brand names, generic names, ingredient names) into a unified concept system.</w:t>
      </w:r>
    </w:p>
    <w:p>
      <w:pPr>
        <w:pStyle w:val="ListParagraph"/>
        <w:numPr>
          <w:ilvl w:val="0"/>
          <w:numId w:val="2"/>
        </w:numPr>
        <w:spacing w:before="40" w:after="40" w:line="310"/>
      </w:pPr>
      <w:r>
        <w:rPr>
          <w:rFonts w:ascii="Arial" w:cs="Arial" w:eastAsia="Arial" w:hAnsi="Arial"/>
          <w:b/>
          <w:bCs/>
          <w:color w:val="2C3E50"/>
          <w:sz w:val="22"/>
          <w:szCs w:val="22"/>
        </w:rPr>
        <w:t xml:space="preserve">Term Types: </w:t>
      </w:r>
      <w:r>
        <w:rPr>
          <w:rFonts w:ascii="Arial" w:cs="Arial" w:eastAsia="Arial" w:hAnsi="Arial"/>
          <w:color w:val="2C3E50"/>
          <w:sz w:val="22"/>
          <w:szCs w:val="22"/>
        </w:rPr>
        <w:t xml:space="preserve">IN (Ingredient: Metformin), SCD (Semantic Clinical Drug: Metformin 500 MG Oral Tablet), SBD (Semantic Branded Drug: Glucophage 500 MG Oral Tablet), GPCK (Generic Pack), BPCK (Branded Pack).</w:t>
      </w:r>
    </w:p>
    <w:p>
      <w:pPr>
        <w:pStyle w:val="ListParagraph"/>
        <w:numPr>
          <w:ilvl w:val="0"/>
          <w:numId w:val="2"/>
        </w:numPr>
        <w:spacing w:before="40" w:after="40" w:line="310"/>
      </w:pPr>
      <w:r>
        <w:rPr>
          <w:rFonts w:ascii="Arial" w:cs="Arial" w:eastAsia="Arial" w:hAnsi="Arial"/>
          <w:b/>
          <w:bCs/>
          <w:color w:val="2C3E50"/>
          <w:sz w:val="22"/>
          <w:szCs w:val="22"/>
        </w:rPr>
        <w:t xml:space="preserve">RxCUI: </w:t>
      </w:r>
      <w:r>
        <w:rPr>
          <w:rFonts w:ascii="Arial" w:cs="Arial" w:eastAsia="Arial" w:hAnsi="Arial"/>
          <w:color w:val="2C3E50"/>
          <w:sz w:val="22"/>
          <w:szCs w:val="22"/>
        </w:rPr>
        <w:t xml:space="preserve">Unique concept identifier. Example: 860975 = Metformin 500 MG Oral Tablet.</w:t>
      </w:r>
    </w:p>
    <w:p>
      <w:pPr>
        <w:pStyle w:val="ListParagraph"/>
        <w:numPr>
          <w:ilvl w:val="0"/>
          <w:numId w:val="2"/>
        </w:numPr>
        <w:spacing w:before="40" w:after="40" w:line="310"/>
      </w:pPr>
      <w:r>
        <w:rPr>
          <w:rFonts w:ascii="Arial" w:cs="Arial" w:eastAsia="Arial" w:hAnsi="Arial"/>
          <w:b/>
          <w:bCs/>
          <w:color w:val="2C3E50"/>
          <w:sz w:val="22"/>
          <w:szCs w:val="22"/>
        </w:rPr>
        <w:t xml:space="preserve">Relationships: </w:t>
      </w:r>
      <w:r>
        <w:rPr>
          <w:rFonts w:ascii="Arial" w:cs="Arial" w:eastAsia="Arial" w:hAnsi="Arial"/>
          <w:color w:val="2C3E50"/>
          <w:sz w:val="22"/>
          <w:szCs w:val="22"/>
        </w:rPr>
        <w:t xml:space="preserve">RxNorm links: brand to generic (Glucophage → Metformin), clinical drug to ingredient, dose form to route. These relationships power drug-drug interaction checking and therapeutic substitution.</w:t>
      </w:r>
    </w:p>
    <w:p>
      <w:pPr>
        <w:pStyle w:val="ListParagraph"/>
        <w:numPr>
          <w:ilvl w:val="0"/>
          <w:numId w:val="2"/>
        </w:numPr>
        <w:spacing w:before="40" w:after="40" w:line="310"/>
      </w:pPr>
      <w:r>
        <w:rPr>
          <w:rFonts w:ascii="Arial" w:cs="Arial" w:eastAsia="Arial" w:hAnsi="Arial"/>
          <w:b/>
          <w:bCs/>
          <w:color w:val="2C3E50"/>
          <w:sz w:val="22"/>
          <w:szCs w:val="22"/>
        </w:rPr>
        <w:t xml:space="preserve">Integration Impact: </w:t>
      </w:r>
      <w:r>
        <w:rPr>
          <w:rFonts w:ascii="Arial" w:cs="Arial" w:eastAsia="Arial" w:hAnsi="Arial"/>
          <w:color w:val="2C3E50"/>
          <w:sz w:val="22"/>
          <w:szCs w:val="22"/>
        </w:rPr>
        <w:t xml:space="preserve">RxNorm codes appear in: HL7 v2 RXE/RXA segments, FHIR MedicationRequest.medicationCodeableConcept, and C-CDA medication entries. ONC certification requires RxNorm for medication data.</w:t>
      </w:r>
    </w:p>
    <w:p>
      <w:pPr>
        <w:spacing w:before="120" w:after="120"/>
      </w:pPr>
    </w:p>
    <w:p>
      <w:pPr>
        <w:pStyle w:val="Heading2"/>
        <w:spacing w:before="340" w:after="160"/>
      </w:pPr>
      <w:r>
        <w:rPr>
          <w:rFonts w:ascii="Arial" w:cs="Arial" w:eastAsia="Arial" w:hAnsi="Arial"/>
          <w:b/>
          <w:bCs/>
          <w:color w:val="1A6FA5"/>
          <w:sz w:val="30"/>
          <w:szCs w:val="30"/>
        </w:rPr>
        <w:t xml:space="preserve">3.6 Terminology Mapping and Cross-Walking</w:t>
      </w:r>
    </w:p>
    <w:p>
      <w:pPr>
        <w:spacing w:before="60" w:after="100" w:line="340"/>
      </w:pPr>
      <w:r>
        <w:rPr>
          <w:rFonts w:ascii="Arial" w:cs="Arial" w:eastAsia="Arial" w:hAnsi="Arial"/>
          <w:color w:val="2C3E50"/>
          <w:sz w:val="22"/>
          <w:szCs w:val="22"/>
        </w:rPr>
        <w:t xml:space="preserve">In healthcare integration, data frequently moves between systems that use different coding systems. Mapping (or cross-walking) translates codes from one system to another:</w:t>
      </w:r>
    </w:p>
    <w:p>
      <w:pPr>
        <w:pStyle w:val="ListParagraph"/>
        <w:numPr>
          <w:ilvl w:val="0"/>
          <w:numId w:val="2"/>
        </w:numPr>
        <w:spacing w:before="40" w:after="40" w:line="310"/>
      </w:pPr>
      <w:r>
        <w:rPr>
          <w:rFonts w:ascii="Arial" w:cs="Arial" w:eastAsia="Arial" w:hAnsi="Arial"/>
          <w:b/>
          <w:bCs/>
          <w:color w:val="2C3E50"/>
          <w:sz w:val="22"/>
          <w:szCs w:val="22"/>
        </w:rPr>
        <w:t xml:space="preserve">SNOMED CT → ICD-10-CM: </w:t>
      </w:r>
      <w:r>
        <w:rPr>
          <w:rFonts w:ascii="Arial" w:cs="Arial" w:eastAsia="Arial" w:hAnsi="Arial"/>
          <w:color w:val="2C3E50"/>
          <w:sz w:val="22"/>
          <w:szCs w:val="22"/>
        </w:rPr>
        <w:t xml:space="preserve">The most common mapping need. NLM maintains an official SNOMED-to-ICD-10 map. Used when clinical documentation uses SNOMED CT but billing requires ICD-10.</w:t>
      </w:r>
    </w:p>
    <w:p>
      <w:pPr>
        <w:pStyle w:val="ListParagraph"/>
        <w:numPr>
          <w:ilvl w:val="0"/>
          <w:numId w:val="2"/>
        </w:numPr>
        <w:spacing w:before="40" w:after="40" w:line="310"/>
      </w:pPr>
      <w:r>
        <w:rPr>
          <w:rFonts w:ascii="Arial" w:cs="Arial" w:eastAsia="Arial" w:hAnsi="Arial"/>
          <w:b/>
          <w:bCs/>
          <w:color w:val="2C3E50"/>
          <w:sz w:val="22"/>
          <w:szCs w:val="22"/>
        </w:rPr>
        <w:t xml:space="preserve">Local Codes → LOINC: </w:t>
      </w:r>
      <w:r>
        <w:rPr>
          <w:rFonts w:ascii="Arial" w:cs="Arial" w:eastAsia="Arial" w:hAnsi="Arial"/>
          <w:color w:val="2C3E50"/>
          <w:sz w:val="22"/>
          <w:szCs w:val="22"/>
        </w:rPr>
        <w:t xml:space="preserve">Each lab system may have local test codes. Mapping these to LOINC enables lab result exchange across organizations. LOINC RELMA tool assists with mapping.</w:t>
      </w:r>
    </w:p>
    <w:p>
      <w:pPr>
        <w:pStyle w:val="ListParagraph"/>
        <w:numPr>
          <w:ilvl w:val="0"/>
          <w:numId w:val="2"/>
        </w:numPr>
        <w:spacing w:before="40" w:after="40" w:line="310"/>
      </w:pPr>
      <w:r>
        <w:rPr>
          <w:rFonts w:ascii="Arial" w:cs="Arial" w:eastAsia="Arial" w:hAnsi="Arial"/>
          <w:b/>
          <w:bCs/>
          <w:color w:val="2C3E50"/>
          <w:sz w:val="22"/>
          <w:szCs w:val="22"/>
        </w:rPr>
        <w:t xml:space="preserve">NDC → RxNorm: </w:t>
      </w:r>
      <w:r>
        <w:rPr>
          <w:rFonts w:ascii="Arial" w:cs="Arial" w:eastAsia="Arial" w:hAnsi="Arial"/>
          <w:color w:val="2C3E50"/>
          <w:sz w:val="22"/>
          <w:szCs w:val="22"/>
        </w:rPr>
        <w:t xml:space="preserve">National Drug Codes identify specific drug packages. Mapping to RxNorm normalizes drug identification for clinical use.</w:t>
      </w:r>
    </w:p>
    <w:p>
      <w:pPr>
        <w:pStyle w:val="ListParagraph"/>
        <w:numPr>
          <w:ilvl w:val="0"/>
          <w:numId w:val="2"/>
        </w:numPr>
        <w:spacing w:before="40" w:after="40" w:line="310"/>
      </w:pPr>
      <w:r>
        <w:rPr>
          <w:rFonts w:ascii="Arial" w:cs="Arial" w:eastAsia="Arial" w:hAnsi="Arial"/>
          <w:b/>
          <w:bCs/>
          <w:color w:val="2C3E50"/>
          <w:sz w:val="22"/>
          <w:szCs w:val="22"/>
        </w:rPr>
        <w:t xml:space="preserve">CPT → SNOMED CT: </w:t>
      </w:r>
      <w:r>
        <w:rPr>
          <w:rFonts w:ascii="Arial" w:cs="Arial" w:eastAsia="Arial" w:hAnsi="Arial"/>
          <w:color w:val="2C3E50"/>
          <w:sz w:val="22"/>
          <w:szCs w:val="22"/>
        </w:rPr>
        <w:t xml:space="preserve">Mapping procedures between billing and clinical terminologies.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8"/>
              <w:bottom w:val="single" w:color="E67E22" w:sz="1"/>
              <w:right w:val="single" w:color="E67E22" w:sz="1"/>
            </w:tcBorders>
            <w:shd w:fill="FEF9E7"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Integration Architect Insight: Terminology</w:t>
            </w:r>
          </w:p>
          <w:p>
            <w:pPr>
              <w:spacing w:before="40"/>
            </w:pPr>
            <w:r>
              <w:rPr>
                <w:rFonts w:ascii="Arial" w:cs="Arial" w:eastAsia="Arial" w:hAnsi="Arial"/>
                <w:color w:val="2C3E50"/>
                <w:sz w:val="20"/>
                <w:szCs w:val="20"/>
              </w:rPr>
              <w:t xml:space="preserve">Terminology mapping is one of the most time-consuming and error-prone aspects of healthcare integration. A single mis-mapped LOINC code can cause lab results to be misinterpreted. A wrong ICD-10 code can cause claim denials or, worse, incorrect clinical decision support alerts. Always validate terminology mappings with clinical subject matter experts, and build automated validation into your interfaces to detect unmapped or invalid codes.</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4. X12 EDI (Electronic Data Interchange)</w:t>
      </w:r>
    </w:p>
    <w:p>
      <w:pPr>
        <w:spacing w:before="60" w:after="100" w:line="340"/>
      </w:pPr>
      <w:r>
        <w:rPr>
          <w:rFonts w:ascii="Arial" w:cs="Arial" w:eastAsia="Arial" w:hAnsi="Arial"/>
          <w:color w:val="2C3E50"/>
          <w:sz w:val="22"/>
          <w:szCs w:val="22"/>
        </w:rPr>
        <w:t xml:space="preserve">X12 is the standard for electronic administrative and financial transactions in US healthcare. Mandated by HIPAA’s Administrative Simplification provisions, X12 EDI transactions handle the financial backbone of healthcare: claims submission, eligibility verification, remittance advice, claim status inquiries, prior authorization, and enrollment. Every healthcare organization that bills electronically uses X12 EDI.</w:t>
      </w:r>
    </w:p>
    <w:p>
      <w:pPr>
        <w:spacing w:before="60" w:after="100" w:line="340"/>
      </w:pPr>
      <w:r>
        <w:rPr>
          <w:rFonts w:ascii="Arial" w:cs="Arial" w:eastAsia="Arial" w:hAnsi="Arial"/>
          <w:color w:val="2C3E50"/>
          <w:sz w:val="22"/>
          <w:szCs w:val="22"/>
        </w:rPr>
        <w:t xml:space="preserve">While integration professionals may not work with X12 as frequently as HL7 v2 or FHIR, understanding X12 is essential because financial transactions drive revenue and are subject to strict regulatory requirements and tight processing timelines.</w:t>
      </w:r>
    </w:p>
    <w:p>
      <w:pPr>
        <w:pStyle w:val="Heading2"/>
        <w:spacing w:before="340" w:after="160"/>
      </w:pPr>
      <w:r>
        <w:rPr>
          <w:rFonts w:ascii="Arial" w:cs="Arial" w:eastAsia="Arial" w:hAnsi="Arial"/>
          <w:b/>
          <w:bCs/>
          <w:color w:val="1A6FA5"/>
          <w:sz w:val="30"/>
          <w:szCs w:val="30"/>
        </w:rPr>
        <w:t xml:space="preserve">4.1 X12 EDI Structure</w:t>
      </w:r>
    </w:p>
    <w:p>
      <w:pPr>
        <w:spacing w:before="60" w:after="100" w:line="340"/>
      </w:pPr>
      <w:r>
        <w:rPr>
          <w:rFonts w:ascii="Arial" w:cs="Arial" w:eastAsia="Arial" w:hAnsi="Arial"/>
          <w:color w:val="2C3E50"/>
          <w:sz w:val="22"/>
          <w:szCs w:val="22"/>
        </w:rPr>
        <w:t xml:space="preserve">X12 EDI messages (called Transaction Sets) follow a hierarchical envelope structure:</w:t>
      </w:r>
    </w:p>
    <w:p>
      <w:pPr>
        <w:pStyle w:val="Heading3"/>
        <w:spacing w:before="280" w:after="120"/>
      </w:pPr>
      <w:r>
        <w:rPr>
          <w:rFonts w:ascii="Arial" w:cs="Arial" w:eastAsia="Arial" w:hAnsi="Arial"/>
          <w:b/>
          <w:bCs/>
          <w:color w:val="2980B9"/>
          <w:sz w:val="26"/>
          <w:szCs w:val="26"/>
        </w:rPr>
        <w:t xml:space="preserve">Envelope Hierarchy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6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Interchange</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ISA/IEA</w:t>
            </w:r>
          </w:p>
        </w:tc>
        <w:tc>
          <w:tcPr>
            <w:tcW w:type="dxa" w:w="6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Outermost envelope. Identifies sender and receiver. Contains one or more functional groups.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Functional Group</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GS/GE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Groups related transaction sets (e.g., all 837P claims from one sender). Identifies transaction type and version.</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Transaction Set</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ST/SE</w:t>
            </w:r>
          </w:p>
        </w:tc>
        <w:tc>
          <w:tcPr>
            <w:tcW w:type="dxa" w:w="6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Individual transaction (one claim, one eligibility inquiry). Contains the actual data segments.</w:t>
            </w:r>
          </w:p>
        </w:tc>
      </w:tr>
    </w:tbl>
    <w:p>
      <w:pPr>
        <w:spacing w:before="120" w:after="120"/>
      </w:pPr>
    </w:p>
    <w:p>
      <w:pPr>
        <w:pStyle w:val="Heading3"/>
        <w:spacing w:before="280" w:after="120"/>
      </w:pPr>
      <w:r>
        <w:rPr>
          <w:rFonts w:ascii="Arial" w:cs="Arial" w:eastAsia="Arial" w:hAnsi="Arial"/>
          <w:b/>
          <w:bCs/>
          <w:color w:val="2980B9"/>
          <w:sz w:val="26"/>
          <w:szCs w:val="26"/>
        </w:rPr>
        <w:t xml:space="preserve">X12 Syntax</w:t>
      </w:r>
    </w:p>
    <w:p>
      <w:pPr>
        <w:spacing w:before="60" w:after="100" w:line="340"/>
      </w:pPr>
      <w:r>
        <w:rPr>
          <w:rFonts w:ascii="Arial" w:cs="Arial" w:eastAsia="Arial" w:hAnsi="Arial"/>
          <w:color w:val="2C3E50"/>
          <w:sz w:val="22"/>
          <w:szCs w:val="22"/>
        </w:rPr>
        <w:t xml:space="preserve">X12 uses delimiters defined in the ISA segment:</w:t>
      </w:r>
    </w:p>
    <w:p>
      <w:pPr>
        <w:pStyle w:val="ListParagraph"/>
        <w:numPr>
          <w:ilvl w:val="0"/>
          <w:numId w:val="2"/>
        </w:numPr>
        <w:spacing w:before="40" w:after="40" w:line="310"/>
      </w:pPr>
      <w:r>
        <w:rPr>
          <w:rFonts w:ascii="Arial" w:cs="Arial" w:eastAsia="Arial" w:hAnsi="Arial"/>
          <w:b/>
          <w:bCs/>
          <w:color w:val="2C3E50"/>
          <w:sz w:val="22"/>
          <w:szCs w:val="22"/>
        </w:rPr>
        <w:t xml:space="preserve">Element Separator: </w:t>
      </w:r>
      <w:r>
        <w:rPr>
          <w:rFonts w:ascii="Arial" w:cs="Arial" w:eastAsia="Arial" w:hAnsi="Arial"/>
          <w:color w:val="2C3E50"/>
          <w:sz w:val="22"/>
          <w:szCs w:val="22"/>
        </w:rPr>
        <w:t xml:space="preserve">Asterisk (*) separates data elements within a segment. Defined by ISA character position 4.</w:t>
      </w:r>
    </w:p>
    <w:p>
      <w:pPr>
        <w:pStyle w:val="ListParagraph"/>
        <w:numPr>
          <w:ilvl w:val="0"/>
          <w:numId w:val="2"/>
        </w:numPr>
        <w:spacing w:before="40" w:after="40" w:line="310"/>
      </w:pPr>
      <w:r>
        <w:rPr>
          <w:rFonts w:ascii="Arial" w:cs="Arial" w:eastAsia="Arial" w:hAnsi="Arial"/>
          <w:b/>
          <w:bCs/>
          <w:color w:val="2C3E50"/>
          <w:sz w:val="22"/>
          <w:szCs w:val="22"/>
        </w:rPr>
        <w:t xml:space="preserve">Segment Terminator: </w:t>
      </w:r>
      <w:r>
        <w:rPr>
          <w:rFonts w:ascii="Arial" w:cs="Arial" w:eastAsia="Arial" w:hAnsi="Arial"/>
          <w:color w:val="2C3E50"/>
          <w:sz w:val="22"/>
          <w:szCs w:val="22"/>
        </w:rPr>
        <w:t xml:space="preserve">Tilde (~) marks the end of each segment. Defined by the last character of the ISA segment.</w:t>
      </w:r>
    </w:p>
    <w:p>
      <w:pPr>
        <w:pStyle w:val="ListParagraph"/>
        <w:numPr>
          <w:ilvl w:val="0"/>
          <w:numId w:val="2"/>
        </w:numPr>
        <w:spacing w:before="40" w:after="40" w:line="310"/>
      </w:pPr>
      <w:r>
        <w:rPr>
          <w:rFonts w:ascii="Arial" w:cs="Arial" w:eastAsia="Arial" w:hAnsi="Arial"/>
          <w:b/>
          <w:bCs/>
          <w:color w:val="2C3E50"/>
          <w:sz w:val="22"/>
          <w:szCs w:val="22"/>
        </w:rPr>
        <w:t xml:space="preserve">Sub-Element Separator: </w:t>
      </w:r>
      <w:r>
        <w:rPr>
          <w:rFonts w:ascii="Arial" w:cs="Arial" w:eastAsia="Arial" w:hAnsi="Arial"/>
          <w:color w:val="2C3E50"/>
          <w:sz w:val="22"/>
          <w:szCs w:val="22"/>
        </w:rPr>
        <w:t xml:space="preserve">Colon (:) separates components within a composite element. Defined by ISA-16.</w:t>
      </w:r>
    </w:p>
    <w:p>
      <w:pPr>
        <w:spacing w:before="60" w:after="100" w:line="340"/>
      </w:pPr>
      <w:r>
        <w:rPr>
          <w:rFonts w:ascii="Arial" w:cs="Arial" w:eastAsia="Arial" w:hAnsi="Arial"/>
          <w:color w:val="2C3E50"/>
          <w:sz w:val="22"/>
          <w:szCs w:val="22"/>
        </w:rPr>
        <w:t xml:space="preserve">Unlike HL7 v2, X12 segments do not have descriptive 3-character identifiers. Segment IDs range from 2-3 characters (ISA, GS, ST, CLM, SV1, etc.) and their meaning depends on context within the transaction set.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X12 Envelope Structure Example</w:t>
            </w:r>
          </w:p>
          <w:p>
            <w:pPr>
              <w:spacing w:before="20" w:after="20"/>
            </w:pPr>
            <w:r>
              <w:rPr>
                <w:rFonts w:ascii="Consolas" w:cs="Consolas" w:eastAsia="Consolas" w:hAnsi="Consolas"/>
                <w:color w:val="1C2833"/>
                <w:sz w:val="18"/>
                <w:szCs w:val="18"/>
              </w:rPr>
              <w:t xml:space="preserve">ISA*00*          *00*          *ZZ*SENDER_ID      *ZZ*RECEIVER_ID    *260215*1030*^*00501*000000001*0*P*:~</w:t>
            </w:r>
          </w:p>
          <w:p>
            <w:pPr>
              <w:spacing w:before="20" w:after="20"/>
            </w:pPr>
            <w:r>
              <w:rPr>
                <w:rFonts w:ascii="Consolas" w:cs="Consolas" w:eastAsia="Consolas" w:hAnsi="Consolas"/>
                <w:color w:val="1C2833"/>
                <w:sz w:val="18"/>
                <w:szCs w:val="18"/>
              </w:rPr>
              <w:t xml:space="preserve">GS*HC*SENDER_ID*RECEIVER_ID*20260215*1030*1*X*005010X222A1~</w:t>
            </w:r>
          </w:p>
          <w:p>
            <w:pPr>
              <w:spacing w:before="20" w:after="20"/>
            </w:pPr>
            <w:r>
              <w:rPr>
                <w:rFonts w:ascii="Consolas" w:cs="Consolas" w:eastAsia="Consolas" w:hAnsi="Consolas"/>
                <w:color w:val="1C2833"/>
                <w:sz w:val="18"/>
                <w:szCs w:val="18"/>
              </w:rPr>
              <w:t xml:space="preserve">ST*837*0001*005010X222A1~</w:t>
            </w:r>
          </w:p>
          <w:p>
            <w:pPr>
              <w:spacing w:before="20" w:after="20"/>
            </w:pPr>
            <w:r>
              <w:rPr>
                <w:rFonts w:ascii="Consolas" w:cs="Consolas" w:eastAsia="Consolas" w:hAnsi="Consolas"/>
                <w:color w:val="1C2833"/>
                <w:sz w:val="18"/>
                <w:szCs w:val="18"/>
              </w:rPr>
              <w:t xml:space="preserve">... (claim data segments) ...</w:t>
            </w:r>
          </w:p>
          <w:p>
            <w:pPr>
              <w:spacing w:before="20" w:after="20"/>
            </w:pPr>
            <w:r>
              <w:rPr>
                <w:rFonts w:ascii="Consolas" w:cs="Consolas" w:eastAsia="Consolas" w:hAnsi="Consolas"/>
                <w:color w:val="1C2833"/>
                <w:sz w:val="18"/>
                <w:szCs w:val="18"/>
              </w:rPr>
              <w:t xml:space="preserve">SE*25*0001~</w:t>
            </w:r>
          </w:p>
          <w:p>
            <w:pPr>
              <w:spacing w:before="20" w:after="20"/>
            </w:pPr>
            <w:r>
              <w:rPr>
                <w:rFonts w:ascii="Consolas" w:cs="Consolas" w:eastAsia="Consolas" w:hAnsi="Consolas"/>
                <w:color w:val="1C2833"/>
                <w:sz w:val="18"/>
                <w:szCs w:val="18"/>
              </w:rPr>
              <w:t xml:space="preserve">GE*1*1~</w:t>
            </w:r>
          </w:p>
          <w:p>
            <w:pPr>
              <w:spacing w:before="20" w:after="20"/>
            </w:pPr>
            <w:r>
              <w:rPr>
                <w:rFonts w:ascii="Consolas" w:cs="Consolas" w:eastAsia="Consolas" w:hAnsi="Consolas"/>
                <w:color w:val="1C2833"/>
                <w:sz w:val="18"/>
                <w:szCs w:val="18"/>
              </w:rPr>
              <w:t xml:space="preserve">IEA*1*000000001~</w:t>
            </w:r>
          </w:p>
        </w:tc>
      </w:tr>
    </w:tbl>
    <w:p>
      <w:pPr>
        <w:spacing w:before="120" w:after="120"/>
      </w:pPr>
    </w:p>
    <w:p>
      <w:pPr>
        <w:pStyle w:val="Heading2"/>
        <w:spacing w:before="340" w:after="160"/>
      </w:pPr>
      <w:r>
        <w:rPr>
          <w:rFonts w:ascii="Arial" w:cs="Arial" w:eastAsia="Arial" w:hAnsi="Arial"/>
          <w:b/>
          <w:bCs/>
          <w:color w:val="1A6FA5"/>
          <w:sz w:val="30"/>
          <w:szCs w:val="30"/>
        </w:rPr>
        <w:t xml:space="preserve">4.2 Key X12 Healthcare Transactions</w:t>
      </w:r>
    </w:p>
    <w:p>
      <w:pPr>
        <w:pStyle w:val="Heading3"/>
        <w:spacing w:before="280" w:after="120"/>
      </w:pPr>
      <w:r>
        <w:rPr>
          <w:rFonts w:ascii="Arial" w:cs="Arial" w:eastAsia="Arial" w:hAnsi="Arial"/>
          <w:b/>
          <w:bCs/>
          <w:color w:val="2980B9"/>
          <w:sz w:val="26"/>
          <w:szCs w:val="26"/>
        </w:rPr>
        <w:t xml:space="preserve">837 — Healthcare Claim</w:t>
      </w:r>
    </w:p>
    <w:p>
      <w:pPr>
        <w:spacing w:before="60" w:after="100" w:line="340"/>
      </w:pPr>
      <w:r>
        <w:rPr>
          <w:rFonts w:ascii="Arial" w:cs="Arial" w:eastAsia="Arial" w:hAnsi="Arial"/>
          <w:color w:val="2C3E50"/>
          <w:sz w:val="22"/>
          <w:szCs w:val="22"/>
        </w:rPr>
        <w:t xml:space="preserve">The 837 transaction set is the electronic claim submitted by providers to payers for reimbursement. It is the most complex X12 transaction and the most critical for revenue cycle operations.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800"/>
        <w:gridCol w:w="5160"/>
      </w:tblGrid>
      <w:tr>
        <w:trPr>
          <w:tblHeader/>
        </w:trPr>
        <w:tc>
          <w:tcPr>
            <w:tcW w:type="dxa" w:w="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5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Key Data Elements</w:t>
            </w:r>
          </w:p>
        </w:tc>
      </w:tr>
      <w:tr>
        <w:tc>
          <w:tcPr>
            <w:tcW w:type="dxa" w:w="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837P</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Professional Claim</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Physician and outpatient services</w:t>
            </w:r>
          </w:p>
        </w:tc>
        <w:tc>
          <w:tcPr>
            <w:tcW w:type="dxa" w:w="5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Provider NPI, patient demographics, ICD-10-CM diagnoses, CPT/HCPCS procedures, dates of service, charges, modifiers, place of service</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837I</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Institutional Claim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Hospital/facility services</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Facility NPI, admission/discharge dates, type of bill, ICD-10-CM/PCS diagnoses/procedures, revenue codes, value codes, condition codes</w:t>
            </w:r>
          </w:p>
        </w:tc>
      </w:tr>
      <w:tr>
        <w:tc>
          <w:tcPr>
            <w:tcW w:type="dxa" w:w="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837D</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Dental Claim</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Dental services</w:t>
            </w:r>
          </w:p>
        </w:tc>
        <w:tc>
          <w:tcPr>
            <w:tcW w:type="dxa" w:w="5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Dentist NPI, tooth numbers, surfaces, CDT procedure codes, oral cavity designations</w:t>
            </w:r>
          </w:p>
        </w:tc>
      </w:tr>
    </w:tbl>
    <w:p>
      <w:pPr>
        <w:spacing w:before="120" w:after="120"/>
      </w:pPr>
    </w:p>
    <w:p>
      <w:pPr>
        <w:spacing w:before="60" w:after="100" w:line="340"/>
      </w:pPr>
      <w:r>
        <w:rPr>
          <w:rFonts w:ascii="Arial" w:cs="Arial" w:eastAsia="Arial" w:hAnsi="Arial"/>
          <w:color w:val="2C3E50"/>
          <w:sz w:val="22"/>
          <w:szCs w:val="22"/>
        </w:rPr>
        <w:t xml:space="preserve">Key segments within an 837P claim include:</w:t>
      </w:r>
    </w:p>
    <w:p>
      <w:pPr>
        <w:pStyle w:val="ListParagraph"/>
        <w:numPr>
          <w:ilvl w:val="0"/>
          <w:numId w:val="2"/>
        </w:numPr>
        <w:spacing w:before="40" w:after="40" w:line="310"/>
      </w:pPr>
      <w:r>
        <w:rPr>
          <w:rFonts w:ascii="Arial" w:cs="Arial" w:eastAsia="Arial" w:hAnsi="Arial"/>
          <w:b/>
          <w:bCs/>
          <w:color w:val="2C3E50"/>
          <w:sz w:val="22"/>
          <w:szCs w:val="22"/>
        </w:rPr>
        <w:t xml:space="preserve">BHT (Beginning of Hierarchical Transaction): </w:t>
      </w:r>
      <w:r>
        <w:rPr>
          <w:rFonts w:ascii="Arial" w:cs="Arial" w:eastAsia="Arial" w:hAnsi="Arial"/>
          <w:color w:val="2C3E50"/>
          <w:sz w:val="22"/>
          <w:szCs w:val="22"/>
        </w:rPr>
        <w:t xml:space="preserve">Identifies the transaction set purpose (original claim, replacement, void) and creation date.</w:t>
      </w:r>
    </w:p>
    <w:p>
      <w:pPr>
        <w:pStyle w:val="ListParagraph"/>
        <w:numPr>
          <w:ilvl w:val="0"/>
          <w:numId w:val="2"/>
        </w:numPr>
        <w:spacing w:before="40" w:after="40" w:line="310"/>
      </w:pPr>
      <w:r>
        <w:rPr>
          <w:rFonts w:ascii="Arial" w:cs="Arial" w:eastAsia="Arial" w:hAnsi="Arial"/>
          <w:b/>
          <w:bCs/>
          <w:color w:val="2C3E50"/>
          <w:sz w:val="22"/>
          <w:szCs w:val="22"/>
        </w:rPr>
        <w:t xml:space="preserve">HL (Hierarchical Level): </w:t>
      </w:r>
      <w:r>
        <w:rPr>
          <w:rFonts w:ascii="Arial" w:cs="Arial" w:eastAsia="Arial" w:hAnsi="Arial"/>
          <w:color w:val="2C3E50"/>
          <w:sz w:val="22"/>
          <w:szCs w:val="22"/>
        </w:rPr>
        <w:t xml:space="preserve">Defines the data hierarchy: Billing Provider → Subscriber → Patient → Claim. Each HL segment establishes parent-child relationships.</w:t>
      </w:r>
    </w:p>
    <w:p>
      <w:pPr>
        <w:pStyle w:val="ListParagraph"/>
        <w:numPr>
          <w:ilvl w:val="0"/>
          <w:numId w:val="2"/>
        </w:numPr>
        <w:spacing w:before="40" w:after="40" w:line="310"/>
      </w:pPr>
      <w:r>
        <w:rPr>
          <w:rFonts w:ascii="Arial" w:cs="Arial" w:eastAsia="Arial" w:hAnsi="Arial"/>
          <w:b/>
          <w:bCs/>
          <w:color w:val="2C3E50"/>
          <w:sz w:val="22"/>
          <w:szCs w:val="22"/>
        </w:rPr>
        <w:t xml:space="preserve">CLM (Claim Information): </w:t>
      </w:r>
      <w:r>
        <w:rPr>
          <w:rFonts w:ascii="Arial" w:cs="Arial" w:eastAsia="Arial" w:hAnsi="Arial"/>
          <w:color w:val="2C3E50"/>
          <w:sz w:val="22"/>
          <w:szCs w:val="22"/>
        </w:rPr>
        <w:t xml:space="preserve">Patient account number, total charge amount, place of service, claim frequency code, provider signature, assignment of benefits, and release of information indicators.</w:t>
      </w:r>
    </w:p>
    <w:p>
      <w:pPr>
        <w:pStyle w:val="ListParagraph"/>
        <w:numPr>
          <w:ilvl w:val="0"/>
          <w:numId w:val="2"/>
        </w:numPr>
        <w:spacing w:before="40" w:after="40" w:line="310"/>
      </w:pPr>
      <w:r>
        <w:rPr>
          <w:rFonts w:ascii="Arial" w:cs="Arial" w:eastAsia="Arial" w:hAnsi="Arial"/>
          <w:b/>
          <w:bCs/>
          <w:color w:val="2C3E50"/>
          <w:sz w:val="22"/>
          <w:szCs w:val="22"/>
        </w:rPr>
        <w:t xml:space="preserve">DTP (Date/Time): </w:t>
      </w:r>
      <w:r>
        <w:rPr>
          <w:rFonts w:ascii="Arial" w:cs="Arial" w:eastAsia="Arial" w:hAnsi="Arial"/>
          <w:color w:val="2C3E50"/>
          <w:sz w:val="22"/>
          <w:szCs w:val="22"/>
        </w:rPr>
        <w:t xml:space="preserve">Service dates, admission date, discharge date, and other date qualifiers critical for claims processing.</w:t>
      </w:r>
    </w:p>
    <w:p>
      <w:pPr>
        <w:pStyle w:val="ListParagraph"/>
        <w:numPr>
          <w:ilvl w:val="0"/>
          <w:numId w:val="2"/>
        </w:numPr>
        <w:spacing w:before="40" w:after="40" w:line="310"/>
      </w:pPr>
      <w:r>
        <w:rPr>
          <w:rFonts w:ascii="Arial" w:cs="Arial" w:eastAsia="Arial" w:hAnsi="Arial"/>
          <w:b/>
          <w:bCs/>
          <w:color w:val="2C3E50"/>
          <w:sz w:val="22"/>
          <w:szCs w:val="22"/>
        </w:rPr>
        <w:t xml:space="preserve">SV1 (Professional Service): </w:t>
      </w:r>
      <w:r>
        <w:rPr>
          <w:rFonts w:ascii="Arial" w:cs="Arial" w:eastAsia="Arial" w:hAnsi="Arial"/>
          <w:color w:val="2C3E50"/>
          <w:sz w:val="22"/>
          <w:szCs w:val="22"/>
        </w:rPr>
        <w:t xml:space="preserve">Individual service line: CPT/HCPCS code, modifiers, diagnosis pointers, line charge amount, units of service, and place of service.</w:t>
      </w:r>
    </w:p>
    <w:p>
      <w:pPr>
        <w:pStyle w:val="ListParagraph"/>
        <w:numPr>
          <w:ilvl w:val="0"/>
          <w:numId w:val="2"/>
        </w:numPr>
        <w:spacing w:before="40" w:after="40" w:line="310"/>
      </w:pPr>
      <w:r>
        <w:rPr>
          <w:rFonts w:ascii="Arial" w:cs="Arial" w:eastAsia="Arial" w:hAnsi="Arial"/>
          <w:b/>
          <w:bCs/>
          <w:color w:val="2C3E50"/>
          <w:sz w:val="22"/>
          <w:szCs w:val="22"/>
        </w:rPr>
        <w:t xml:space="preserve">HI (Health Care Diagnosis Code): </w:t>
      </w:r>
      <w:r>
        <w:rPr>
          <w:rFonts w:ascii="Arial" w:cs="Arial" w:eastAsia="Arial" w:hAnsi="Arial"/>
          <w:color w:val="2C3E50"/>
          <w:sz w:val="22"/>
          <w:szCs w:val="22"/>
        </w:rPr>
        <w:t xml:space="preserve">ICD-10-CM diagnosis codes: principal diagnosis (BK qualifier), other diagnoses (BF qualifier).</w:t>
      </w:r>
    </w:p>
    <w:p>
      <w:pPr>
        <w:spacing w:before="120" w:after="120"/>
      </w:pPr>
    </w:p>
    <w:p>
      <w:pPr>
        <w:pStyle w:val="Heading3"/>
        <w:spacing w:before="280" w:after="120"/>
      </w:pPr>
      <w:r>
        <w:rPr>
          <w:rFonts w:ascii="Arial" w:cs="Arial" w:eastAsia="Arial" w:hAnsi="Arial"/>
          <w:b/>
          <w:bCs/>
          <w:color w:val="2980B9"/>
          <w:sz w:val="26"/>
          <w:szCs w:val="26"/>
        </w:rPr>
        <w:t xml:space="preserve">835 — Electronic Remittance Advice (ERA)</w:t>
      </w:r>
    </w:p>
    <w:p>
      <w:pPr>
        <w:spacing w:before="60" w:after="100" w:line="340"/>
      </w:pPr>
      <w:r>
        <w:rPr>
          <w:rFonts w:ascii="Arial" w:cs="Arial" w:eastAsia="Arial" w:hAnsi="Arial"/>
          <w:color w:val="2C3E50"/>
          <w:sz w:val="22"/>
          <w:szCs w:val="22"/>
        </w:rPr>
        <w:t xml:space="preserve">The 835 transaction set is the payer’s response to a claim, detailing payment decisions for each service line:</w:t>
      </w:r>
    </w:p>
    <w:p>
      <w:pPr>
        <w:pStyle w:val="ListParagraph"/>
        <w:numPr>
          <w:ilvl w:val="0"/>
          <w:numId w:val="2"/>
        </w:numPr>
        <w:spacing w:before="40" w:after="40" w:line="310"/>
      </w:pPr>
      <w:r>
        <w:rPr>
          <w:rFonts w:ascii="Arial" w:cs="Arial" w:eastAsia="Arial" w:hAnsi="Arial"/>
          <w:b/>
          <w:bCs/>
          <w:color w:val="2C3E50"/>
          <w:sz w:val="22"/>
          <w:szCs w:val="22"/>
        </w:rPr>
        <w:t xml:space="preserve">BPR (Financial Information): </w:t>
      </w:r>
      <w:r>
        <w:rPr>
          <w:rFonts w:ascii="Arial" w:cs="Arial" w:eastAsia="Arial" w:hAnsi="Arial"/>
          <w:color w:val="2C3E50"/>
          <w:sz w:val="22"/>
          <w:szCs w:val="22"/>
        </w:rPr>
        <w:t xml:space="preserve">Payment amount, payment method (check, EFT), bank routing/account numbers, check date.</w:t>
      </w:r>
    </w:p>
    <w:p>
      <w:pPr>
        <w:pStyle w:val="ListParagraph"/>
        <w:numPr>
          <w:ilvl w:val="0"/>
          <w:numId w:val="2"/>
        </w:numPr>
        <w:spacing w:before="40" w:after="40" w:line="310"/>
      </w:pPr>
      <w:r>
        <w:rPr>
          <w:rFonts w:ascii="Arial" w:cs="Arial" w:eastAsia="Arial" w:hAnsi="Arial"/>
          <w:b/>
          <w:bCs/>
          <w:color w:val="2C3E50"/>
          <w:sz w:val="22"/>
          <w:szCs w:val="22"/>
        </w:rPr>
        <w:t xml:space="preserve">CLP (Claim Payment Information): </w:t>
      </w:r>
      <w:r>
        <w:rPr>
          <w:rFonts w:ascii="Arial" w:cs="Arial" w:eastAsia="Arial" w:hAnsi="Arial"/>
          <w:color w:val="2C3E50"/>
          <w:sz w:val="22"/>
          <w:szCs w:val="22"/>
        </w:rPr>
        <w:t xml:space="preserve">Patient control number (links back to original claim), claim status (paid, denied, adjusted), charged amount, paid amount, patient responsibility.</w:t>
      </w:r>
    </w:p>
    <w:p>
      <w:pPr>
        <w:pStyle w:val="ListParagraph"/>
        <w:numPr>
          <w:ilvl w:val="0"/>
          <w:numId w:val="2"/>
        </w:numPr>
        <w:spacing w:before="40" w:after="40" w:line="310"/>
      </w:pPr>
      <w:r>
        <w:rPr>
          <w:rFonts w:ascii="Arial" w:cs="Arial" w:eastAsia="Arial" w:hAnsi="Arial"/>
          <w:b/>
          <w:bCs/>
          <w:color w:val="2C3E50"/>
          <w:sz w:val="22"/>
          <w:szCs w:val="22"/>
        </w:rPr>
        <w:t xml:space="preserve">SVC (Service Payment Information): </w:t>
      </w:r>
      <w:r>
        <w:rPr>
          <w:rFonts w:ascii="Arial" w:cs="Arial" w:eastAsia="Arial" w:hAnsi="Arial"/>
          <w:color w:val="2C3E50"/>
          <w:sz w:val="22"/>
          <w:szCs w:val="22"/>
        </w:rPr>
        <w:t xml:space="preserve">Individual service line detail: procedure code, charged amount, paid amount. Each SVC can have CAS segments for adjustments.</w:t>
      </w:r>
    </w:p>
    <w:p>
      <w:pPr>
        <w:pStyle w:val="ListParagraph"/>
        <w:numPr>
          <w:ilvl w:val="0"/>
          <w:numId w:val="2"/>
        </w:numPr>
        <w:spacing w:before="40" w:after="40" w:line="310"/>
      </w:pPr>
      <w:r>
        <w:rPr>
          <w:rFonts w:ascii="Arial" w:cs="Arial" w:eastAsia="Arial" w:hAnsi="Arial"/>
          <w:b/>
          <w:bCs/>
          <w:color w:val="2C3E50"/>
          <w:sz w:val="22"/>
          <w:szCs w:val="22"/>
        </w:rPr>
        <w:t xml:space="preserve">CAS (Claim Adjustment Segment): </w:t>
      </w:r>
      <w:r>
        <w:rPr>
          <w:rFonts w:ascii="Arial" w:cs="Arial" w:eastAsia="Arial" w:hAnsi="Arial"/>
          <w:color w:val="2C3E50"/>
          <w:sz w:val="22"/>
          <w:szCs w:val="22"/>
        </w:rPr>
        <w:t xml:space="preserve">Adjustment reason codes (CARC) and amounts. Examples: CO-45 (Charges exceed your contracted/legislated fee arrangement), PR-1 (Deductible amount), PR-2 (Coinsurance amount).</w:t>
      </w:r>
    </w:p>
    <w:p>
      <w:pPr>
        <w:spacing w:before="120" w:after="120"/>
      </w:pPr>
    </w:p>
    <w:p>
      <w:pPr>
        <w:pStyle w:val="Heading3"/>
        <w:spacing w:before="280" w:after="120"/>
      </w:pPr>
      <w:r>
        <w:rPr>
          <w:rFonts w:ascii="Arial" w:cs="Arial" w:eastAsia="Arial" w:hAnsi="Arial"/>
          <w:b/>
          <w:bCs/>
          <w:color w:val="2980B9"/>
          <w:sz w:val="26"/>
          <w:szCs w:val="26"/>
        </w:rPr>
        <w:t xml:space="preserve">270/271 — Eligibility Inquiry and Response</w:t>
      </w:r>
    </w:p>
    <w:p>
      <w:pPr>
        <w:spacing w:before="60" w:after="100" w:line="340"/>
      </w:pPr>
      <w:r>
        <w:rPr>
          <w:rFonts w:ascii="Arial" w:cs="Arial" w:eastAsia="Arial" w:hAnsi="Arial"/>
          <w:color w:val="2C3E50"/>
          <w:sz w:val="22"/>
          <w:szCs w:val="22"/>
        </w:rPr>
        <w:t xml:space="preserve">The 270/271 transaction pair enables real-time verification of patient insurance coverage:</w:t>
      </w:r>
    </w:p>
    <w:p>
      <w:pPr>
        <w:pStyle w:val="ListParagraph"/>
        <w:numPr>
          <w:ilvl w:val="0"/>
          <w:numId w:val="2"/>
        </w:numPr>
        <w:spacing w:before="40" w:after="40" w:line="310"/>
      </w:pPr>
      <w:r>
        <w:rPr>
          <w:rFonts w:ascii="Arial" w:cs="Arial" w:eastAsia="Arial" w:hAnsi="Arial"/>
          <w:b/>
          <w:bCs/>
          <w:color w:val="2C3E50"/>
          <w:sz w:val="22"/>
          <w:szCs w:val="22"/>
        </w:rPr>
        <w:t xml:space="preserve">270 (Eligibility Inquiry): </w:t>
      </w:r>
      <w:r>
        <w:rPr>
          <w:rFonts w:ascii="Arial" w:cs="Arial" w:eastAsia="Arial" w:hAnsi="Arial"/>
          <w:color w:val="2C3E50"/>
          <w:sz w:val="22"/>
          <w:szCs w:val="22"/>
        </w:rPr>
        <w:t xml:space="preserve">Provider sends patient identifier (name, DOB, member ID) and requests specific benefit information (health benefit plan coverage, mental health, pharmacy, etc.).</w:t>
      </w:r>
    </w:p>
    <w:p>
      <w:pPr>
        <w:pStyle w:val="ListParagraph"/>
        <w:numPr>
          <w:ilvl w:val="0"/>
          <w:numId w:val="2"/>
        </w:numPr>
        <w:spacing w:before="40" w:after="40" w:line="310"/>
      </w:pPr>
      <w:r>
        <w:rPr>
          <w:rFonts w:ascii="Arial" w:cs="Arial" w:eastAsia="Arial" w:hAnsi="Arial"/>
          <w:b/>
          <w:bCs/>
          <w:color w:val="2C3E50"/>
          <w:sz w:val="22"/>
          <w:szCs w:val="22"/>
        </w:rPr>
        <w:t xml:space="preserve">271 (Eligibility Response): </w:t>
      </w:r>
      <w:r>
        <w:rPr>
          <w:rFonts w:ascii="Arial" w:cs="Arial" w:eastAsia="Arial" w:hAnsi="Arial"/>
          <w:color w:val="2C3E50"/>
          <w:sz w:val="22"/>
          <w:szCs w:val="22"/>
        </w:rPr>
        <w:t xml:space="preserve">Payer returns: active/inactive status, coverage dates, copay amounts, deductible remaining, out-of-pocket maximum, coinsurance percentages, and network status.</w:t>
      </w:r>
    </w:p>
    <w:p>
      <w:pPr>
        <w:pStyle w:val="ListParagraph"/>
        <w:numPr>
          <w:ilvl w:val="0"/>
          <w:numId w:val="2"/>
        </w:numPr>
        <w:spacing w:before="40" w:after="40" w:line="310"/>
      </w:pPr>
      <w:r>
        <w:rPr>
          <w:rFonts w:ascii="Arial" w:cs="Arial" w:eastAsia="Arial" w:hAnsi="Arial"/>
          <w:b/>
          <w:bCs/>
          <w:color w:val="2C3E50"/>
          <w:sz w:val="22"/>
          <w:szCs w:val="22"/>
        </w:rPr>
        <w:t xml:space="preserve">Real-Time Processing: </w:t>
      </w:r>
      <w:r>
        <w:rPr>
          <w:rFonts w:ascii="Arial" w:cs="Arial" w:eastAsia="Arial" w:hAnsi="Arial"/>
          <w:color w:val="2C3E50"/>
          <w:sz w:val="22"/>
          <w:szCs w:val="22"/>
        </w:rPr>
        <w:t xml:space="preserve">270/271 transactions are typically processed in real-time (&lt; 20 seconds response time) to support patient registration workflows.</w:t>
      </w:r>
    </w:p>
    <w:p>
      <w:pPr>
        <w:spacing w:before="120" w:after="120"/>
      </w:pPr>
    </w:p>
    <w:p>
      <w:pPr>
        <w:pStyle w:val="Heading3"/>
        <w:spacing w:before="280" w:after="120"/>
      </w:pPr>
      <w:r>
        <w:rPr>
          <w:rFonts w:ascii="Arial" w:cs="Arial" w:eastAsia="Arial" w:hAnsi="Arial"/>
          <w:b/>
          <w:bCs/>
          <w:color w:val="2980B9"/>
          <w:sz w:val="26"/>
          <w:szCs w:val="26"/>
        </w:rPr>
        <w:t xml:space="preserve">276/277 — Claim Status Inquiry and Response</w:t>
      </w:r>
    </w:p>
    <w:p>
      <w:pPr>
        <w:pStyle w:val="ListParagraph"/>
        <w:numPr>
          <w:ilvl w:val="0"/>
          <w:numId w:val="2"/>
        </w:numPr>
        <w:spacing w:before="40" w:after="40" w:line="310"/>
      </w:pPr>
      <w:r>
        <w:rPr>
          <w:rFonts w:ascii="Arial" w:cs="Arial" w:eastAsia="Arial" w:hAnsi="Arial"/>
          <w:b/>
          <w:bCs/>
          <w:color w:val="2C3E50"/>
          <w:sz w:val="22"/>
          <w:szCs w:val="22"/>
        </w:rPr>
        <w:t xml:space="preserve">276 (Claim Status Inquiry): </w:t>
      </w:r>
      <w:r>
        <w:rPr>
          <w:rFonts w:ascii="Arial" w:cs="Arial" w:eastAsia="Arial" w:hAnsi="Arial"/>
          <w:color w:val="2C3E50"/>
          <w:sz w:val="22"/>
          <w:szCs w:val="22"/>
        </w:rPr>
        <w:t xml:space="preserve">Provider inquires about the processing status of a previously submitted claim.</w:t>
      </w:r>
    </w:p>
    <w:p>
      <w:pPr>
        <w:pStyle w:val="ListParagraph"/>
        <w:numPr>
          <w:ilvl w:val="0"/>
          <w:numId w:val="2"/>
        </w:numPr>
        <w:spacing w:before="40" w:after="40" w:line="310"/>
      </w:pPr>
      <w:r>
        <w:rPr>
          <w:rFonts w:ascii="Arial" w:cs="Arial" w:eastAsia="Arial" w:hAnsi="Arial"/>
          <w:b/>
          <w:bCs/>
          <w:color w:val="2C3E50"/>
          <w:sz w:val="22"/>
          <w:szCs w:val="22"/>
        </w:rPr>
        <w:t xml:space="preserve">277 (Claim Status Response): </w:t>
      </w:r>
      <w:r>
        <w:rPr>
          <w:rFonts w:ascii="Arial" w:cs="Arial" w:eastAsia="Arial" w:hAnsi="Arial"/>
          <w:color w:val="2C3E50"/>
          <w:sz w:val="22"/>
          <w:szCs w:val="22"/>
        </w:rPr>
        <w:t xml:space="preserve">Payer returns the current status: accepted, rejected, in process, finalized, or additional information required. Includes status category codes and specific reason codes.</w:t>
      </w:r>
    </w:p>
    <w:p>
      <w:pPr>
        <w:spacing w:before="120" w:after="120"/>
      </w:pPr>
    </w:p>
    <w:p>
      <w:pPr>
        <w:pStyle w:val="Heading3"/>
        <w:spacing w:before="280" w:after="120"/>
      </w:pPr>
      <w:r>
        <w:rPr>
          <w:rFonts w:ascii="Arial" w:cs="Arial" w:eastAsia="Arial" w:hAnsi="Arial"/>
          <w:b/>
          <w:bCs/>
          <w:color w:val="2980B9"/>
          <w:sz w:val="26"/>
          <w:szCs w:val="26"/>
        </w:rPr>
        <w:t xml:space="preserve">278 — Prior Authorization</w:t>
      </w:r>
    </w:p>
    <w:p>
      <w:pPr>
        <w:pStyle w:val="ListParagraph"/>
        <w:numPr>
          <w:ilvl w:val="0"/>
          <w:numId w:val="2"/>
        </w:numPr>
        <w:spacing w:before="40" w:after="40" w:line="310"/>
      </w:pPr>
      <w:r>
        <w:rPr>
          <w:rFonts w:ascii="Arial" w:cs="Arial" w:eastAsia="Arial" w:hAnsi="Arial"/>
          <w:b/>
          <w:bCs/>
          <w:color w:val="2C3E50"/>
          <w:sz w:val="22"/>
          <w:szCs w:val="22"/>
        </w:rPr>
        <w:t xml:space="preserve">278 Request: </w:t>
      </w:r>
      <w:r>
        <w:rPr>
          <w:rFonts w:ascii="Arial" w:cs="Arial" w:eastAsia="Arial" w:hAnsi="Arial"/>
          <w:color w:val="2C3E50"/>
          <w:sz w:val="22"/>
          <w:szCs w:val="22"/>
        </w:rPr>
        <w:t xml:space="preserve">Provider requests authorization for a service, procedure, or admission. Includes clinical justification, service details, and requested dates.</w:t>
      </w:r>
    </w:p>
    <w:p>
      <w:pPr>
        <w:pStyle w:val="ListParagraph"/>
        <w:numPr>
          <w:ilvl w:val="0"/>
          <w:numId w:val="2"/>
        </w:numPr>
        <w:spacing w:before="40" w:after="40" w:line="310"/>
      </w:pPr>
      <w:r>
        <w:rPr>
          <w:rFonts w:ascii="Arial" w:cs="Arial" w:eastAsia="Arial" w:hAnsi="Arial"/>
          <w:b/>
          <w:bCs/>
          <w:color w:val="2C3E50"/>
          <w:sz w:val="22"/>
          <w:szCs w:val="22"/>
        </w:rPr>
        <w:t xml:space="preserve">278 Response: </w:t>
      </w:r>
      <w:r>
        <w:rPr>
          <w:rFonts w:ascii="Arial" w:cs="Arial" w:eastAsia="Arial" w:hAnsi="Arial"/>
          <w:color w:val="2C3E50"/>
          <w:sz w:val="22"/>
          <w:szCs w:val="22"/>
        </w:rPr>
        <w:t xml:space="preserve">Payer returns authorization decision: approved, denied, pended (additional information needed). Includes authorization number if approved.</w:t>
      </w:r>
    </w:p>
    <w:p>
      <w:pPr>
        <w:spacing w:before="60" w:after="100" w:line="340"/>
      </w:pPr>
      <w:r>
        <w:rPr>
          <w:rFonts w:ascii="Arial" w:cs="Arial" w:eastAsia="Arial" w:hAnsi="Arial"/>
          <w:color w:val="2C3E50"/>
          <w:sz w:val="22"/>
          <w:szCs w:val="22"/>
        </w:rPr>
        <w:t xml:space="preserve">Note: X12 278 is being supplemented by Da Vinci PAS (FHIR-based Prior Authorization), which provides richer clinical data exchange capabilities. Both standards coexist in current implementations.</w:t>
      </w:r>
    </w:p>
    <w:p>
      <w:pPr>
        <w:spacing w:before="120" w:after="120"/>
      </w:pPr>
    </w:p>
    <w:p>
      <w:pPr>
        <w:pStyle w:val="Heading2"/>
        <w:spacing w:before="340" w:after="160"/>
      </w:pPr>
      <w:r>
        <w:rPr>
          <w:rFonts w:ascii="Arial" w:cs="Arial" w:eastAsia="Arial" w:hAnsi="Arial"/>
          <w:b/>
          <w:bCs/>
          <w:color w:val="1A6FA5"/>
          <w:sz w:val="30"/>
          <w:szCs w:val="30"/>
        </w:rPr>
        <w:t xml:space="preserve">4.3 X12 in the Healthcare Revenue Cycle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Transaction</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23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Volume</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270/271 (Eligibility)</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Provider → Payer → Provider</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Real-time at registration/scheduling</w:t>
            </w:r>
          </w:p>
        </w:tc>
        <w:tc>
          <w:tcPr>
            <w:tcW w:type="dxa" w:w="2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Highest volume — multiple per patient encounter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278 (Prior Auth)</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Provider → Payer → Provider</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Days before service, real-time emerging</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Growing with automation mandates</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837 (Claim)</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Provider → Clearinghouse → Payer</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Batch daily or near real-time</w:t>
            </w:r>
          </w:p>
        </w:tc>
        <w:tc>
          <w:tcPr>
            <w:tcW w:type="dxa" w:w="2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High volume — one per encounter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277 (Claim Status)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Provider → Payer → Provider</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Periodic (weekly follow-up on outstanding claims)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Medium volume</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835 (Remittance)</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Payer → Provider</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With payment (daily-weekly)</w:t>
            </w:r>
          </w:p>
        </w:tc>
        <w:tc>
          <w:tcPr>
            <w:tcW w:type="dxa" w:w="2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One per payment cycle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8"/>
              <w:bottom w:val="single" w:color="E67E22" w:sz="1"/>
              <w:right w:val="single" w:color="E67E22" w:sz="1"/>
            </w:tcBorders>
            <w:shd w:fill="FEF9E7"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Integration Architect Insight: X12 EDI</w:t>
            </w:r>
          </w:p>
          <w:p>
            <w:pPr>
              <w:spacing w:before="40"/>
            </w:pPr>
            <w:r>
              <w:rPr>
                <w:rFonts w:ascii="Arial" w:cs="Arial" w:eastAsia="Arial" w:hAnsi="Arial"/>
                <w:color w:val="2C3E50"/>
                <w:sz w:val="20"/>
                <w:szCs w:val="20"/>
              </w:rPr>
              <w:t xml:space="preserve">X12 transactions are processed by clearinghouses (Change Healthcare, Availity, Trizetto) that validate, translate, and route transactions between providers and payers. Integration architects must understand the provider-clearinghouse-payer chain, manage EDI enrollment with payers, handle rejection and denial workflows, and ensure that financial transaction data is protected with the same rigor as clinical data. A single malformed 837 claim can delay payment by weeks.</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5. Standards Comparison and Summary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900"/>
        <w:gridCol w:w="2760"/>
      </w:tblGrid>
      <w:tr>
        <w:trPr>
          <w:tblHeader/>
        </w:trPr>
        <w:tc>
          <w:tcPr>
            <w:tcW w:type="dxa" w:w="15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HL7 v2</w:t>
            </w:r>
          </w:p>
        </w:tc>
        <w:tc>
          <w:tcPr>
            <w:tcW w:type="dxa" w:w="29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FHIR</w:t>
            </w:r>
          </w:p>
        </w:tc>
        <w:tc>
          <w:tcPr>
            <w:tcW w:type="dxa" w:w="27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X12 EDI</w:t>
            </w:r>
          </w:p>
        </w:tc>
      </w:tr>
      <w:tr>
        <w:tc>
          <w:tcPr>
            <w:tcW w:type="dxa" w:w="1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Primary Use</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Real-time clinical event messaging</w:t>
            </w:r>
          </w:p>
        </w:tc>
        <w:tc>
          <w:tcPr>
            <w:tcW w:type="dxa" w:w="2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Web-based data access and exchange</w:t>
            </w:r>
          </w:p>
        </w:tc>
        <w:tc>
          <w:tcPr>
            <w:tcW w:type="dxa" w:w="2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Administrative/financial transactions</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Data Format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Pipe-delimited text (|^~\&amp;)</w:t>
            </w:r>
          </w:p>
        </w:tc>
        <w:tc>
          <w:tcPr>
            <w:tcW w:type="dxa" w:w="2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JSON or XML</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Fixed-position with delimiters (*~:)</w:t>
            </w:r>
          </w:p>
        </w:tc>
      </w:tr>
      <w:tr>
        <w:tc>
          <w:tcPr>
            <w:tcW w:type="dxa" w:w="1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Transport</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MLLP over TCP</w:t>
            </w:r>
          </w:p>
        </w:tc>
        <w:tc>
          <w:tcPr>
            <w:tcW w:type="dxa" w:w="2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HTTPS RESTful API</w:t>
            </w:r>
          </w:p>
        </w:tc>
        <w:tc>
          <w:tcPr>
            <w:tcW w:type="dxa" w:w="2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Batch file / AS2 / SFTP / real-time</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Architecture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Point-to-point messaging</w:t>
            </w:r>
          </w:p>
        </w:tc>
        <w:tc>
          <w:tcPr>
            <w:tcW w:type="dxa" w:w="2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Client-server REST API</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Sender → Clearinghouse → Receiver</w:t>
            </w:r>
          </w:p>
        </w:tc>
      </w:tr>
      <w:tr>
        <w:tc>
          <w:tcPr>
            <w:tcW w:type="dxa" w:w="1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Typical Volume</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Thousands-millions of messages/day</w:t>
            </w:r>
          </w:p>
        </w:tc>
        <w:tc>
          <w:tcPr>
            <w:tcW w:type="dxa" w:w="2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Variable (on-demand queries + bulk)</w:t>
            </w:r>
          </w:p>
        </w:tc>
        <w:tc>
          <w:tcPr>
            <w:tcW w:type="dxa" w:w="2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Thousands of transactions/day</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Age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1987 (35+ years)</w:t>
            </w:r>
          </w:p>
        </w:tc>
        <w:tc>
          <w:tcPr>
            <w:tcW w:type="dxa" w:w="2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2014 (10+ years, R4 normative 2019)</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1979 (45+ years)</w:t>
            </w:r>
          </w:p>
        </w:tc>
      </w:tr>
      <w:tr>
        <w:tc>
          <w:tcPr>
            <w:tcW w:type="dxa" w:w="1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Authentication</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Connection-level (IP, mTLS)</w:t>
            </w:r>
          </w:p>
        </w:tc>
        <w:tc>
          <w:tcPr>
            <w:tcW w:type="dxa" w:w="2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OAuth 2.0 / SMART on FHIR</w:t>
            </w:r>
          </w:p>
        </w:tc>
        <w:tc>
          <w:tcPr>
            <w:tcW w:type="dxa" w:w="2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EDI enrollment + connection security</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Regulatory Driver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Widespread adoption, ONC MU/PI</w:t>
            </w:r>
          </w:p>
        </w:tc>
        <w:tc>
          <w:tcPr>
            <w:tcW w:type="dxa" w:w="2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21st Century Cures Act, ONC HTI-1</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HIPAA Administrative Simplification</w:t>
            </w:r>
          </w:p>
        </w:tc>
      </w:tr>
      <w:tr>
        <w:tc>
          <w:tcPr>
            <w:tcW w:type="dxa" w:w="1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Key Strength</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Ubiquitous, proven, high-volume</w:t>
            </w:r>
          </w:p>
        </w:tc>
        <w:tc>
          <w:tcPr>
            <w:tcW w:type="dxa" w:w="2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Modern, developer-friendly, extensible</w:t>
            </w:r>
          </w:p>
        </w:tc>
        <w:tc>
          <w:tcPr>
            <w:tcW w:type="dxa" w:w="2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Standardized financial workflow</w:t>
            </w:r>
          </w:p>
        </w:tc>
      </w:tr>
    </w:tbl>
    <w:p>
      <w:pPr>
        <w:spacing w:before="120" w:after="120"/>
      </w:pPr>
    </w:p>
    <w:p>
      <w:pPr>
        <w:spacing w:before="60" w:after="100" w:line="340"/>
      </w:pPr>
      <w:r>
        <w:rPr>
          <w:rFonts w:ascii="Arial" w:cs="Arial" w:eastAsia="Arial" w:hAnsi="Arial"/>
          <w:color w:val="2C3E50"/>
          <w:sz w:val="22"/>
          <w:szCs w:val="22"/>
        </w:rPr>
        <w:t xml:space="preserve">These four standards form the foundation of healthcare data exchange. As you progress through the Healthcare Integration Architect Learning Path, you will deepen your expertise in each standard. At the Beginner level, the goal is to understand what each standard does, recognize its message/resource structures, and appreciate how they work together in the healthcare ecosystem.</w:t>
      </w:r>
    </w:p>
    <w:p>
      <w:pPr>
        <w:spacing w:before="120" w:after="120"/>
      </w:pPr>
    </w:p>
    <w:p>
      <w:pPr>
        <w:spacing w:before="60" w:after="100" w:line="340"/>
      </w:pPr>
      <w:r>
        <w:rPr>
          <w:rFonts w:ascii="Arial" w:cs="Arial" w:eastAsia="Arial" w:hAnsi="Arial"/>
          <w:color w:val="2C3E50"/>
          <w:sz w:val="22"/>
          <w:szCs w:val="22"/>
        </w:rPr>
        <w:t xml:space="preserve">In a typical patient encounter, all four standards are at work simultaneously: HL7 v2 carries ADT notifications and lab orders/results within the hospital, FHIR enables the patient’s mobile app to access their records, terminology systems (ICD-10, LOINC, SNOMED CT, RxNorm) give meaning to every diagnosis, test result, and medication, and X12 EDI processes the eligibility check at registration and the claim submission after discharge. Understanding this interconnected ecosystem is the hallmark of a well-rounded Healthcare Integration professional.</w:t>
      </w:r>
    </w:p>
    <w:p>
      <w:pPr>
        <w:spacing w:before="120" w:after="120"/>
      </w:pPr>
    </w:p>
    <w:p>
      <w:pPr>
        <w:pStyle w:val="Heading1"/>
        <w:pBdr>
          <w:bottom w:val="single" w:color="1A6FA5" w:sz="4" w:space="8"/>
        </w:pBdr>
        <w:spacing w:before="400" w:after="200"/>
      </w:pPr>
      <w:r>
        <w:rPr>
          <w:rFonts w:ascii="Arial" w:cs="Arial" w:eastAsia="Arial" w:hAnsi="Arial"/>
          <w:b/>
          <w:bCs/>
          <w:color w:val="0D3B66"/>
          <w:sz w:val="36"/>
          <w:szCs w:val="36"/>
        </w:rPr>
        <w:t xml:space="preserve">Recommended Resources</w:t>
      </w:r>
    </w:p>
    <w:p>
      <w:pPr>
        <w:pStyle w:val="Heading2"/>
        <w:spacing w:before="340" w:after="160"/>
      </w:pPr>
      <w:r>
        <w:rPr>
          <w:rFonts w:ascii="Arial" w:cs="Arial" w:eastAsia="Arial" w:hAnsi="Arial"/>
          <w:b/>
          <w:bCs/>
          <w:color w:val="1A6FA5"/>
          <w:sz w:val="30"/>
          <w:szCs w:val="30"/>
        </w:rPr>
        <w:t xml:space="preserve">Official Specifications</w:t>
      </w:r>
    </w:p>
    <w:p>
      <w:pPr>
        <w:pStyle w:val="ListParagraph"/>
        <w:numPr>
          <w:ilvl w:val="0"/>
          <w:numId w:val="2"/>
        </w:numPr>
        <w:spacing w:before="40" w:after="40" w:line="310"/>
      </w:pPr>
      <w:r>
        <w:rPr>
          <w:rFonts w:ascii="Arial" w:cs="Arial" w:eastAsia="Arial" w:hAnsi="Arial"/>
          <w:b/>
          <w:bCs/>
          <w:color w:val="2C3E50"/>
          <w:sz w:val="22"/>
          <w:szCs w:val="22"/>
        </w:rPr>
        <w:t xml:space="preserve">HL7 v2 Standard: </w:t>
      </w:r>
      <w:r>
        <w:rPr>
          <w:rFonts w:ascii="Arial" w:cs="Arial" w:eastAsia="Arial" w:hAnsi="Arial"/>
          <w:color w:val="2C3E50"/>
          <w:sz w:val="22"/>
          <w:szCs w:val="22"/>
        </w:rPr>
        <w:t xml:space="preserve">hl7.org — Full specification for all v2 versions (requires HL7 membership for some content)</w:t>
      </w:r>
    </w:p>
    <w:p>
      <w:pPr>
        <w:pStyle w:val="ListParagraph"/>
        <w:numPr>
          <w:ilvl w:val="0"/>
          <w:numId w:val="2"/>
        </w:numPr>
        <w:spacing w:before="40" w:after="40" w:line="310"/>
      </w:pPr>
      <w:r>
        <w:rPr>
          <w:rFonts w:ascii="Arial" w:cs="Arial" w:eastAsia="Arial" w:hAnsi="Arial"/>
          <w:b/>
          <w:bCs/>
          <w:color w:val="2C3E50"/>
          <w:sz w:val="22"/>
          <w:szCs w:val="22"/>
        </w:rPr>
        <w:t xml:space="preserve">FHIR R4 Specification: </w:t>
      </w:r>
      <w:r>
        <w:rPr>
          <w:rFonts w:ascii="Arial" w:cs="Arial" w:eastAsia="Arial" w:hAnsi="Arial"/>
          <w:color w:val="2C3E50"/>
          <w:sz w:val="22"/>
          <w:szCs w:val="22"/>
        </w:rPr>
        <w:t xml:space="preserve">hl7.org/fhir/R4 — Complete FHIR R4 specification, freely available online</w:t>
      </w:r>
    </w:p>
    <w:p>
      <w:pPr>
        <w:pStyle w:val="ListParagraph"/>
        <w:numPr>
          <w:ilvl w:val="0"/>
          <w:numId w:val="2"/>
        </w:numPr>
        <w:spacing w:before="40" w:after="40" w:line="310"/>
      </w:pPr>
      <w:r>
        <w:rPr>
          <w:rFonts w:ascii="Arial" w:cs="Arial" w:eastAsia="Arial" w:hAnsi="Arial"/>
          <w:b/>
          <w:bCs/>
          <w:color w:val="2C3E50"/>
          <w:sz w:val="22"/>
          <w:szCs w:val="22"/>
        </w:rPr>
        <w:t xml:space="preserve">US Core Implementation Guide: </w:t>
      </w:r>
      <w:r>
        <w:rPr>
          <w:rFonts w:ascii="Arial" w:cs="Arial" w:eastAsia="Arial" w:hAnsi="Arial"/>
          <w:color w:val="2C3E50"/>
          <w:sz w:val="22"/>
          <w:szCs w:val="22"/>
        </w:rPr>
        <w:t xml:space="preserve">hl7.org/fhir/us/core — US Core profiles required for ONC certification</w:t>
      </w:r>
    </w:p>
    <w:p>
      <w:pPr>
        <w:pStyle w:val="ListParagraph"/>
        <w:numPr>
          <w:ilvl w:val="0"/>
          <w:numId w:val="2"/>
        </w:numPr>
        <w:spacing w:before="40" w:after="40" w:line="310"/>
      </w:pPr>
      <w:r>
        <w:rPr>
          <w:rFonts w:ascii="Arial" w:cs="Arial" w:eastAsia="Arial" w:hAnsi="Arial"/>
          <w:b/>
          <w:bCs/>
          <w:color w:val="2C3E50"/>
          <w:sz w:val="22"/>
          <w:szCs w:val="22"/>
        </w:rPr>
        <w:t xml:space="preserve">X12 Standards: </w:t>
      </w:r>
      <w:r>
        <w:rPr>
          <w:rFonts w:ascii="Arial" w:cs="Arial" w:eastAsia="Arial" w:hAnsi="Arial"/>
          <w:color w:val="2C3E50"/>
          <w:sz w:val="22"/>
          <w:szCs w:val="22"/>
        </w:rPr>
        <w:t xml:space="preserve">x12.org — Official X12 transaction set specifications (requires membership)</w:t>
      </w:r>
    </w:p>
    <w:p>
      <w:pPr>
        <w:pStyle w:val="ListParagraph"/>
        <w:numPr>
          <w:ilvl w:val="0"/>
          <w:numId w:val="2"/>
        </w:numPr>
        <w:spacing w:before="40" w:after="40" w:line="310"/>
      </w:pPr>
      <w:r>
        <w:rPr>
          <w:rFonts w:ascii="Arial" w:cs="Arial" w:eastAsia="Arial" w:hAnsi="Arial"/>
          <w:b/>
          <w:bCs/>
          <w:color w:val="2C3E50"/>
          <w:sz w:val="22"/>
          <w:szCs w:val="22"/>
        </w:rPr>
        <w:t xml:space="preserve">ICD-10-CM: </w:t>
      </w:r>
      <w:r>
        <w:rPr>
          <w:rFonts w:ascii="Arial" w:cs="Arial" w:eastAsia="Arial" w:hAnsi="Arial"/>
          <w:color w:val="2C3E50"/>
          <w:sz w:val="22"/>
          <w:szCs w:val="22"/>
        </w:rPr>
        <w:t xml:space="preserve">cdc.gov/nchs/icd/icd-10-cm.htm — Official ICD-10-CM code files and guidelines</w:t>
      </w:r>
    </w:p>
    <w:p>
      <w:pPr>
        <w:pStyle w:val="ListParagraph"/>
        <w:numPr>
          <w:ilvl w:val="0"/>
          <w:numId w:val="2"/>
        </w:numPr>
        <w:spacing w:before="40" w:after="40" w:line="310"/>
      </w:pPr>
      <w:r>
        <w:rPr>
          <w:rFonts w:ascii="Arial" w:cs="Arial" w:eastAsia="Arial" w:hAnsi="Arial"/>
          <w:b/>
          <w:bCs/>
          <w:color w:val="2C3E50"/>
          <w:sz w:val="22"/>
          <w:szCs w:val="22"/>
        </w:rPr>
        <w:t xml:space="preserve">LOINC: </w:t>
      </w:r>
      <w:r>
        <w:rPr>
          <w:rFonts w:ascii="Arial" w:cs="Arial" w:eastAsia="Arial" w:hAnsi="Arial"/>
          <w:color w:val="2C3E50"/>
          <w:sz w:val="22"/>
          <w:szCs w:val="22"/>
        </w:rPr>
        <w:t xml:space="preserve">loinc.org — Searchable LOINC database, free registration required</w:t>
      </w:r>
    </w:p>
    <w:p>
      <w:pPr>
        <w:pStyle w:val="ListParagraph"/>
        <w:numPr>
          <w:ilvl w:val="0"/>
          <w:numId w:val="2"/>
        </w:numPr>
        <w:spacing w:before="40" w:after="40" w:line="310"/>
      </w:pPr>
      <w:r>
        <w:rPr>
          <w:rFonts w:ascii="Arial" w:cs="Arial" w:eastAsia="Arial" w:hAnsi="Arial"/>
          <w:b/>
          <w:bCs/>
          <w:color w:val="2C3E50"/>
          <w:sz w:val="22"/>
          <w:szCs w:val="22"/>
        </w:rPr>
        <w:t xml:space="preserve">SNOMED CT: </w:t>
      </w:r>
      <w:r>
        <w:rPr>
          <w:rFonts w:ascii="Arial" w:cs="Arial" w:eastAsia="Arial" w:hAnsi="Arial"/>
          <w:color w:val="2C3E50"/>
          <w:sz w:val="22"/>
          <w:szCs w:val="22"/>
        </w:rPr>
        <w:t xml:space="preserve">snomed.org — SNOMED CT browser and documentation</w:t>
      </w:r>
    </w:p>
    <w:p>
      <w:pPr>
        <w:pStyle w:val="ListParagraph"/>
        <w:numPr>
          <w:ilvl w:val="0"/>
          <w:numId w:val="2"/>
        </w:numPr>
        <w:spacing w:before="40" w:after="40" w:line="310"/>
      </w:pPr>
      <w:r>
        <w:rPr>
          <w:rFonts w:ascii="Arial" w:cs="Arial" w:eastAsia="Arial" w:hAnsi="Arial"/>
          <w:b/>
          <w:bCs/>
          <w:color w:val="2C3E50"/>
          <w:sz w:val="22"/>
          <w:szCs w:val="22"/>
        </w:rPr>
        <w:t xml:space="preserve">RxNorm: </w:t>
      </w:r>
      <w:r>
        <w:rPr>
          <w:rFonts w:ascii="Arial" w:cs="Arial" w:eastAsia="Arial" w:hAnsi="Arial"/>
          <w:color w:val="2C3E50"/>
          <w:sz w:val="22"/>
          <w:szCs w:val="22"/>
        </w:rPr>
        <w:t xml:space="preserve">nlm.nih.gov/research/umls/rxnorm — RxNorm browser and API</w:t>
      </w:r>
    </w:p>
    <w:p>
      <w:pPr>
        <w:spacing w:before="120" w:after="120"/>
      </w:pPr>
    </w:p>
    <w:p>
      <w:pPr>
        <w:pStyle w:val="Heading2"/>
        <w:spacing w:before="340" w:after="160"/>
      </w:pPr>
      <w:r>
        <w:rPr>
          <w:rFonts w:ascii="Arial" w:cs="Arial" w:eastAsia="Arial" w:hAnsi="Arial"/>
          <w:b/>
          <w:bCs/>
          <w:color w:val="1A6FA5"/>
          <w:sz w:val="30"/>
          <w:szCs w:val="30"/>
        </w:rPr>
        <w:t xml:space="preserve">Learning Platforms</w:t>
      </w:r>
    </w:p>
    <w:p>
      <w:pPr>
        <w:pStyle w:val="ListParagraph"/>
        <w:numPr>
          <w:ilvl w:val="0"/>
          <w:numId w:val="2"/>
        </w:numPr>
        <w:spacing w:before="40" w:after="40" w:line="310"/>
      </w:pPr>
      <w:r>
        <w:rPr>
          <w:rFonts w:ascii="Arial" w:cs="Arial" w:eastAsia="Arial" w:hAnsi="Arial"/>
          <w:b/>
          <w:bCs/>
          <w:color w:val="2C3E50"/>
          <w:sz w:val="22"/>
          <w:szCs w:val="22"/>
        </w:rPr>
        <w:t xml:space="preserve">HL7 FHIR Fundamentals Course: </w:t>
      </w:r>
      <w:r>
        <w:rPr>
          <w:rFonts w:ascii="Arial" w:cs="Arial" w:eastAsia="Arial" w:hAnsi="Arial"/>
          <w:color w:val="2C3E50"/>
          <w:sz w:val="22"/>
          <w:szCs w:val="22"/>
        </w:rPr>
        <w:t xml:space="preserve">HL7 International — Official introductory course covering FHIR basics</w:t>
      </w:r>
    </w:p>
    <w:p>
      <w:pPr>
        <w:pStyle w:val="ListParagraph"/>
        <w:numPr>
          <w:ilvl w:val="0"/>
          <w:numId w:val="2"/>
        </w:numPr>
        <w:spacing w:before="40" w:after="40" w:line="310"/>
      </w:pPr>
      <w:r>
        <w:rPr>
          <w:rFonts w:ascii="Arial" w:cs="Arial" w:eastAsia="Arial" w:hAnsi="Arial"/>
          <w:b/>
          <w:bCs/>
          <w:color w:val="2C3E50"/>
          <w:sz w:val="22"/>
          <w:szCs w:val="22"/>
        </w:rPr>
        <w:t xml:space="preserve">chat.fhir.org: </w:t>
      </w:r>
      <w:r>
        <w:rPr>
          <w:rFonts w:ascii="Arial" w:cs="Arial" w:eastAsia="Arial" w:hAnsi="Arial"/>
          <w:color w:val="2C3E50"/>
          <w:sz w:val="22"/>
          <w:szCs w:val="22"/>
        </w:rPr>
        <w:t xml:space="preserve">FHIR community Zulip chat — real-time Q&amp;A with standards developers</w:t>
      </w:r>
    </w:p>
    <w:p>
      <w:pPr>
        <w:pStyle w:val="ListParagraph"/>
        <w:numPr>
          <w:ilvl w:val="0"/>
          <w:numId w:val="2"/>
        </w:numPr>
        <w:spacing w:before="40" w:after="40" w:line="310"/>
      </w:pPr>
      <w:r>
        <w:rPr>
          <w:rFonts w:ascii="Arial" w:cs="Arial" w:eastAsia="Arial" w:hAnsi="Arial"/>
          <w:b/>
          <w:bCs/>
          <w:color w:val="2C3E50"/>
          <w:sz w:val="22"/>
          <w:szCs w:val="22"/>
        </w:rPr>
        <w:t xml:space="preserve">Inferno Testing Tool: </w:t>
      </w:r>
      <w:r>
        <w:rPr>
          <w:rFonts w:ascii="Arial" w:cs="Arial" w:eastAsia="Arial" w:hAnsi="Arial"/>
          <w:color w:val="2C3E50"/>
          <w:sz w:val="22"/>
          <w:szCs w:val="22"/>
        </w:rPr>
        <w:t xml:space="preserve">inferno.healthit.gov — ONC’s FHIR conformance testing framework</w:t>
      </w:r>
    </w:p>
    <w:p>
      <w:pPr>
        <w:pStyle w:val="ListParagraph"/>
        <w:numPr>
          <w:ilvl w:val="0"/>
          <w:numId w:val="2"/>
        </w:numPr>
        <w:spacing w:before="40" w:after="40" w:line="310"/>
      </w:pPr>
      <w:r>
        <w:rPr>
          <w:rFonts w:ascii="Arial" w:cs="Arial" w:eastAsia="Arial" w:hAnsi="Arial"/>
          <w:b/>
          <w:bCs/>
          <w:color w:val="2C3E50"/>
          <w:sz w:val="22"/>
          <w:szCs w:val="22"/>
        </w:rPr>
        <w:t xml:space="preserve">FHIR DevDays: </w:t>
      </w:r>
      <w:r>
        <w:rPr>
          <w:rFonts w:ascii="Arial" w:cs="Arial" w:eastAsia="Arial" w:hAnsi="Arial"/>
          <w:color w:val="2C3E50"/>
          <w:sz w:val="22"/>
          <w:szCs w:val="22"/>
        </w:rPr>
        <w:t xml:space="preserve">devdays.com — Annual developer conference with hands-on FHIR workshops</w:t>
      </w:r>
    </w:p>
    <w:p>
      <w:pPr>
        <w:pStyle w:val="ListParagraph"/>
        <w:numPr>
          <w:ilvl w:val="0"/>
          <w:numId w:val="2"/>
        </w:numPr>
        <w:spacing w:before="40" w:after="40" w:line="310"/>
      </w:pPr>
      <w:r>
        <w:rPr>
          <w:rFonts w:ascii="Arial" w:cs="Arial" w:eastAsia="Arial" w:hAnsi="Arial"/>
          <w:b/>
          <w:bCs/>
          <w:color w:val="2C3E50"/>
          <w:sz w:val="22"/>
          <w:szCs w:val="22"/>
        </w:rPr>
        <w:t xml:space="preserve">Caristix HL7 Inspector: </w:t>
      </w:r>
      <w:r>
        <w:rPr>
          <w:rFonts w:ascii="Arial" w:cs="Arial" w:eastAsia="Arial" w:hAnsi="Arial"/>
          <w:color w:val="2C3E50"/>
          <w:sz w:val="22"/>
          <w:szCs w:val="22"/>
        </w:rPr>
        <w:t xml:space="preserve">Free HL7 v2 message viewer and validator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8"/>
        <w:szCs w:val="18"/>
      </w:rPr>
      <w:t xml:space="preserve">Page </w:t>
    </w:r>
    <w:r>
      <w:rPr>
        <w:rFonts w:ascii="Arial" w:cs="Arial" w:eastAsia="Arial" w:hAnsi="Arial"/>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6F1" w:sz="2" w:space="4"/>
      </w:pBdr>
      <w:tabs>
        <w:tab w:val="right" w:pos="9026"/>
      </w:tabs>
    </w:pPr>
    <w:r>
      <w:rPr>
        <w:rFonts w:ascii="Arial" w:cs="Arial" w:eastAsia="Arial" w:hAnsi="Arial"/>
        <w:i/>
        <w:iCs/>
        <w:color w:val="1A6FA5"/>
        <w:sz w:val="18"/>
        <w:szCs w:val="18"/>
      </w:rPr>
      <w:t xml:space="preserve">Introduction to Health IT Standards</w:t>
    </w:r>
    <w:r>
      <w:rPr>
        <w:rFonts w:ascii="Arial" w:cs="Arial" w:eastAsia="Arial" w:hAnsi="Arial"/>
        <w:color w:val="1A6FA5"/>
        <w:sz w:val="18"/>
        <w:szCs w:val="18"/>
      </w:rPr>
      <w:t xml:space="preserve">	Section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3B66"/>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6FA5"/>
      <w:sz w:val="30"/>
      <w:szCs w:val="30"/>
    </w:rPr>
  </w:style>
  <w:style w:type="paragraph" w:styleId="Heading3">
    <w:name w:val="Heading 3"/>
    <w:basedOn w:val="Normal"/>
    <w:next w:val="Normal"/>
    <w:qFormat/>
    <w:pPr>
      <w:spacing w:before="260" w:after="120"/>
      <w:outlineLvl w:val="2"/>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2026-02-27T09:44:31.198Z</dcterms:created>
  <dcterms:modified xsi:type="dcterms:W3CDTF">2026-02-27T09:44:31.199Z</dcterms:modified>
</cp:coreProperties>
</file>

<file path=docProps/custom.xml><?xml version="1.0" encoding="utf-8"?>
<Properties xmlns="http://schemas.openxmlformats.org/officeDocument/2006/custom-properties" xmlns:vt="http://schemas.openxmlformats.org/officeDocument/2006/docPropsVTypes"/>
</file>