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olor w:val="2E86C1"/>
          <w:sz w:val="28"/>
          <w:szCs w:val="28"/>
        </w:rPr>
        <w:t xml:space="preserve">SECTION 1.1</w:t>
      </w:r>
    </w:p>
    <w:p>
      <w:pPr>
        <w:spacing w:before="200" w:after="200"/>
      </w:pPr>
    </w:p>
    <w:p>
      <w:pPr>
        <w:spacing w:after="200"/>
        <w:jc w:val="center"/>
      </w:pPr>
      <w:r>
        <w:rPr>
          <w:rFonts w:ascii="Arial" w:cs="Arial" w:eastAsia="Arial" w:hAnsi="Arial"/>
          <w:b/>
          <w:bCs/>
          <w:color w:val="1B4F72"/>
          <w:sz w:val="56"/>
          <w:szCs w:val="56"/>
        </w:rPr>
        <w:t xml:space="preserve">Healthcare Domain</w:t>
      </w:r>
    </w:p>
    <w:p>
      <w:pPr>
        <w:spacing w:after="200"/>
        <w:jc w:val="center"/>
      </w:pPr>
      <w:r>
        <w:rPr>
          <w:rFonts w:ascii="Arial" w:cs="Arial" w:eastAsia="Arial" w:hAnsi="Arial"/>
          <w:b/>
          <w:bCs/>
          <w:color w:val="1B4F72"/>
          <w:sz w:val="56"/>
          <w:szCs w:val="56"/>
        </w:rPr>
        <w:t xml:space="preserve">Fundamentals</w:t>
      </w:r>
    </w:p>
    <w:p>
      <w:pPr>
        <w:spacing w:before="100" w:after="100"/>
      </w:pPr>
    </w:p>
    <w:p>
      <w:pPr>
        <w:pBdr>
          <w:top w:val="single" w:color="2E86C1" w:sz="3" w:space="8"/>
          <w:bottom w:val="single" w:color="2E86C1" w:sz="3" w:space="8"/>
        </w:pBdr>
        <w:spacing w:before="120" w:after="120"/>
        <w:jc w:val="center"/>
      </w:pPr>
      <w:r>
        <w:rPr>
          <w:rFonts w:ascii="Arial" w:cs="Arial" w:eastAsia="Arial" w:hAnsi="Arial"/>
          <w:i/>
          <w:iCs/>
          <w:color w:val="2980B9"/>
          <w:sz w:val="24"/>
          <w:szCs w:val="24"/>
        </w:rPr>
        <w:t xml:space="preserve">A Comprehensive In-Depth Guide for Healthcare Integration Professionals</w:t>
      </w:r>
    </w:p>
    <w:p>
      <w:pPr>
        <w:spacing w:before="600" w:after="600"/>
      </w:pPr>
    </w:p>
    <w:p>
      <w:pPr>
        <w:jc w:val="center"/>
      </w:pPr>
      <w:r>
        <w:rPr>
          <w:rFonts w:ascii="Arial" w:cs="Arial" w:eastAsia="Arial" w:hAnsi="Arial"/>
          <w:color w:val="2C3E50"/>
          <w:sz w:val="22"/>
          <w:szCs w:val="22"/>
        </w:rPr>
        <w:t xml:space="preserve">Healthcare Integration Architect Learning Path — Level 1</w:t>
      </w:r>
    </w:p>
    <w:p>
      <w:pPr>
        <w:spacing w:before="100"/>
        <w:jc w:val="center"/>
      </w:pPr>
      <w:r>
        <w:rPr>
          <w:rFonts w:ascii="Arial" w:cs="Arial" w:eastAsia="Arial" w:hAnsi="Arial"/>
          <w:b/>
          <w:bCs/>
          <w:color w:val="2C3E50"/>
          <w:sz w:val="22"/>
          <w:szCs w:val="22"/>
        </w:rPr>
        <w:t xml:space="preserve">2026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Introduction</w:t>
      </w:r>
    </w:p>
    <w:p>
      <w:pPr>
        <w:spacing w:before="60" w:after="100" w:line="320"/>
      </w:pPr>
      <w:r>
        <w:rPr>
          <w:rFonts w:ascii="Arial" w:cs="Arial" w:eastAsia="Arial" w:hAnsi="Arial"/>
          <w:color w:val="2C3E50"/>
          <w:sz w:val="22"/>
          <w:szCs w:val="22"/>
        </w:rPr>
        <w:t xml:space="preserve">Healthcare Domain Fundamentals represent the essential foundation upon which every successful healthcare integration career is built. Before an integration professional can design interfaces, map data between systems, or architect enterprise-scale interoperability solutions, they must first develop a deep and nuanced understanding of the healthcare ecosystem itself.</w:t>
      </w:r>
    </w:p>
    <w:p>
      <w:pPr>
        <w:spacing w:before="60" w:after="100" w:line="320"/>
      </w:pPr>
      <w:r>
        <w:rPr>
          <w:rFonts w:ascii="Arial" w:cs="Arial" w:eastAsia="Arial" w:hAnsi="Arial"/>
          <w:color w:val="2C3E50"/>
          <w:sz w:val="22"/>
          <w:szCs w:val="22"/>
        </w:rPr>
        <w:t xml:space="preserve">This document provides an exhaustive exploration of the five core knowledge areas that comprise Section 1.1 of the Healthcare Integration Architect Learning Path. Each topic is covered with the depth and detail necessary to build genuine competence, not just surface-level familiarity. The goal is to equip you with the contextual understanding that transforms a technical engineer into a healthcare integration professional who can speak the language of clinicians, administrators, and regulators alike.</w:t>
      </w:r>
    </w:p>
    <w:p>
      <w:pPr>
        <w:spacing w:before="60" w:after="100" w:line="320"/>
      </w:pPr>
      <w:r>
        <w:rPr>
          <w:rFonts w:ascii="Arial" w:cs="Arial" w:eastAsia="Arial" w:hAnsi="Arial"/>
          <w:color w:val="2C3E50"/>
          <w:sz w:val="22"/>
          <w:szCs w:val="22"/>
        </w:rPr>
        <w:t xml:space="preserve">The five fundamental domains covered in this guide are:</w:t>
      </w:r>
    </w:p>
    <w:p>
      <w:pPr>
        <w:pStyle w:val="ListParagraph"/>
        <w:numPr>
          <w:ilvl w:val="0"/>
          <w:numId w:val="2"/>
        </w:numPr>
        <w:spacing w:before="40" w:after="40" w:line="300"/>
      </w:pPr>
      <w:r>
        <w:rPr>
          <w:rFonts w:ascii="Arial" w:cs="Arial" w:eastAsia="Arial" w:hAnsi="Arial"/>
          <w:b/>
          <w:bCs/>
          <w:color w:val="2C3E50"/>
          <w:sz w:val="22"/>
          <w:szCs w:val="22"/>
        </w:rPr>
        <w:t xml:space="preserve">Healthcare System Overview </w:t>
      </w:r>
      <w:r>
        <w:rPr>
          <w:rFonts w:ascii="Arial" w:cs="Arial" w:eastAsia="Arial" w:hAnsi="Arial"/>
          <w:color w:val="2C3E50"/>
          <w:sz w:val="22"/>
          <w:szCs w:val="22"/>
        </w:rPr>
        <w:t xml:space="preserve">— How the complex web of providers, payers, labs, pharmacies, and public health agencies interact to deliver care.</w:t>
      </w:r>
    </w:p>
    <w:p>
      <w:pPr>
        <w:pStyle w:val="ListParagraph"/>
        <w:numPr>
          <w:ilvl w:val="0"/>
          <w:numId w:val="2"/>
        </w:numPr>
        <w:spacing w:before="40" w:after="40" w:line="300"/>
      </w:pPr>
      <w:r>
        <w:rPr>
          <w:rFonts w:ascii="Arial" w:cs="Arial" w:eastAsia="Arial" w:hAnsi="Arial"/>
          <w:b/>
          <w:bCs/>
          <w:color w:val="2C3E50"/>
          <w:sz w:val="22"/>
          <w:szCs w:val="22"/>
        </w:rPr>
        <w:t xml:space="preserve">Clinical Workflows </w:t>
      </w:r>
      <w:r>
        <w:rPr>
          <w:rFonts w:ascii="Arial" w:cs="Arial" w:eastAsia="Arial" w:hAnsi="Arial"/>
          <w:color w:val="2C3E50"/>
          <w:sz w:val="22"/>
          <w:szCs w:val="22"/>
        </w:rPr>
        <w:t xml:space="preserve">— The end-to-end processes of patient care from registration through discharge and billing.</w:t>
      </w:r>
    </w:p>
    <w:p>
      <w:pPr>
        <w:pStyle w:val="ListParagraph"/>
        <w:numPr>
          <w:ilvl w:val="0"/>
          <w:numId w:val="2"/>
        </w:numPr>
        <w:spacing w:before="40" w:after="40" w:line="300"/>
      </w:pPr>
      <w:r>
        <w:rPr>
          <w:rFonts w:ascii="Arial" w:cs="Arial" w:eastAsia="Arial" w:hAnsi="Arial"/>
          <w:b/>
          <w:bCs/>
          <w:color w:val="2C3E50"/>
          <w:sz w:val="22"/>
          <w:szCs w:val="22"/>
        </w:rPr>
        <w:t xml:space="preserve">Medical Terminology </w:t>
      </w:r>
      <w:r>
        <w:rPr>
          <w:rFonts w:ascii="Arial" w:cs="Arial" w:eastAsia="Arial" w:hAnsi="Arial"/>
          <w:color w:val="2C3E50"/>
          <w:sz w:val="22"/>
          <w:szCs w:val="22"/>
        </w:rPr>
        <w:t xml:space="preserve">— The standardized vocabularies and coding systems that make health data meaningful and interoperable.</w:t>
      </w:r>
    </w:p>
    <w:p>
      <w:pPr>
        <w:pStyle w:val="ListParagraph"/>
        <w:numPr>
          <w:ilvl w:val="0"/>
          <w:numId w:val="2"/>
        </w:numPr>
        <w:spacing w:before="40" w:after="40" w:line="300"/>
      </w:pPr>
      <w:r>
        <w:rPr>
          <w:rFonts w:ascii="Arial" w:cs="Arial" w:eastAsia="Arial" w:hAnsi="Arial"/>
          <w:b/>
          <w:bCs/>
          <w:color w:val="2C3E50"/>
          <w:sz w:val="22"/>
          <w:szCs w:val="22"/>
        </w:rPr>
        <w:t xml:space="preserve">Healthcare Regulations </w:t>
      </w:r>
      <w:r>
        <w:rPr>
          <w:rFonts w:ascii="Arial" w:cs="Arial" w:eastAsia="Arial" w:hAnsi="Arial"/>
          <w:color w:val="2C3E50"/>
          <w:sz w:val="22"/>
          <w:szCs w:val="22"/>
        </w:rPr>
        <w:t xml:space="preserve">— The legal and regulatory frameworks governing health data privacy, security, and exchange.</w:t>
      </w:r>
    </w:p>
    <w:p>
      <w:pPr>
        <w:pStyle w:val="ListParagraph"/>
        <w:numPr>
          <w:ilvl w:val="0"/>
          <w:numId w:val="2"/>
        </w:numPr>
        <w:spacing w:before="40" w:after="40" w:line="300"/>
      </w:pPr>
      <w:r>
        <w:rPr>
          <w:rFonts w:ascii="Arial" w:cs="Arial" w:eastAsia="Arial" w:hAnsi="Arial"/>
          <w:b/>
          <w:bCs/>
          <w:color w:val="2C3E50"/>
          <w:sz w:val="22"/>
          <w:szCs w:val="22"/>
        </w:rPr>
        <w:t xml:space="preserve">Revenue Cycle Management </w:t>
      </w:r>
      <w:r>
        <w:rPr>
          <w:rFonts w:ascii="Arial" w:cs="Arial" w:eastAsia="Arial" w:hAnsi="Arial"/>
          <w:color w:val="2C3E50"/>
          <w:sz w:val="22"/>
          <w:szCs w:val="22"/>
        </w:rPr>
        <w:t xml:space="preserve">— The financial backbone of healthcare, from charge capture through claims adjudication and payment.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Why This Matters for Integration Professionals</w:t>
            </w:r>
          </w:p>
          <w:p>
            <w:pPr>
              <w:spacing w:before="40"/>
            </w:pPr>
            <w:r>
              <w:rPr>
                <w:rFonts w:ascii="Arial" w:cs="Arial" w:eastAsia="Arial" w:hAnsi="Arial"/>
                <w:color w:val="2C3E50"/>
                <w:sz w:val="20"/>
                <w:szCs w:val="20"/>
              </w:rPr>
              <w:t xml:space="preserve">Every interface you build, every data transformation you design, and every architecture decision you make exists to serve a clinical, operational, or financial purpose. Without understanding these fundamentals, you risk building technically sound integrations that fail to meet the actual needs of the healthcare organizations they serve.</w:t>
            </w:r>
          </w:p>
        </w:tc>
      </w:tr>
    </w:tbl>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1. Healthcare System Overview</w:t>
      </w:r>
    </w:p>
    <w:p>
      <w:pPr>
        <w:spacing w:before="60" w:after="100" w:line="320"/>
      </w:pPr>
      <w:r>
        <w:rPr>
          <w:rFonts w:ascii="Arial" w:cs="Arial" w:eastAsia="Arial" w:hAnsi="Arial"/>
          <w:color w:val="2C3E50"/>
          <w:sz w:val="22"/>
          <w:szCs w:val="22"/>
        </w:rPr>
        <w:t xml:space="preserve">The healthcare system is one of the most complex ecosystems in any economy. In the United States alone, healthcare represents approximately 18% of GDP, involving millions of organizations, billions of transactions, and highly regulated data flows. Understanding how these entities interact is the prerequisite for designing integration architectures that actually work in practice.</w:t>
      </w:r>
    </w:p>
    <w:p>
      <w:pPr>
        <w:pStyle w:val="Heading2"/>
        <w:spacing w:before="300" w:after="160"/>
      </w:pPr>
      <w:r>
        <w:rPr>
          <w:rFonts w:ascii="Arial" w:cs="Arial" w:eastAsia="Arial" w:hAnsi="Arial"/>
          <w:b/>
          <w:bCs/>
          <w:color w:val="2E86C1"/>
          <w:sz w:val="28"/>
          <w:szCs w:val="28"/>
        </w:rPr>
        <w:t xml:space="preserve">1.1 The Healthcare Ecosystem: Key Stakeholders</w:t>
      </w:r>
    </w:p>
    <w:p>
      <w:pPr>
        <w:spacing w:before="60" w:after="100" w:line="320"/>
      </w:pPr>
      <w:r>
        <w:rPr>
          <w:rFonts w:ascii="Arial" w:cs="Arial" w:eastAsia="Arial" w:hAnsi="Arial"/>
          <w:color w:val="2C3E50"/>
          <w:sz w:val="22"/>
          <w:szCs w:val="22"/>
        </w:rPr>
        <w:t xml:space="preserve">The healthcare system comprises multiple categories of organizations, each playing distinct roles in the delivery, financing, and oversight of patient care. Integration architects must understand each stakeholder type because every interface connects two or more of these entities.</w:t>
      </w:r>
    </w:p>
    <w:p>
      <w:pPr>
        <w:pStyle w:val="Heading3"/>
        <w:spacing w:before="240" w:after="120"/>
      </w:pPr>
      <w:r>
        <w:rPr>
          <w:rFonts w:ascii="Arial" w:cs="Arial" w:eastAsia="Arial" w:hAnsi="Arial"/>
          <w:b/>
          <w:bCs/>
          <w:color w:val="2980B9"/>
          <w:sz w:val="24"/>
          <w:szCs w:val="24"/>
        </w:rPr>
        <w:t xml:space="preserve">Healthcare Providers</w:t>
      </w:r>
    </w:p>
    <w:p>
      <w:pPr>
        <w:spacing w:before="60" w:after="100" w:line="320"/>
      </w:pPr>
      <w:r>
        <w:rPr>
          <w:rFonts w:ascii="Arial" w:cs="Arial" w:eastAsia="Arial" w:hAnsi="Arial"/>
          <w:color w:val="2C3E50"/>
          <w:sz w:val="22"/>
          <w:szCs w:val="22"/>
        </w:rPr>
        <w:t xml:space="preserve">Providers are the organizations and individuals that directly deliver medical care to patients. They are the primary generators and consumers of clinical data, making them the epicenter of most integration efforts.</w:t>
      </w:r>
    </w:p>
    <w:p>
      <w:pPr>
        <w:pStyle w:val="ListParagraph"/>
        <w:numPr>
          <w:ilvl w:val="0"/>
          <w:numId w:val="2"/>
        </w:numPr>
        <w:spacing w:before="40" w:after="40" w:line="300"/>
      </w:pPr>
      <w:r>
        <w:rPr>
          <w:rFonts w:ascii="Arial" w:cs="Arial" w:eastAsia="Arial" w:hAnsi="Arial"/>
          <w:b/>
          <w:bCs/>
          <w:color w:val="2C3E50"/>
          <w:sz w:val="22"/>
          <w:szCs w:val="22"/>
        </w:rPr>
        <w:t xml:space="preserve">Hospitals and Health Systems: </w:t>
      </w:r>
      <w:r>
        <w:rPr>
          <w:rFonts w:ascii="Arial" w:cs="Arial" w:eastAsia="Arial" w:hAnsi="Arial"/>
          <w:color w:val="2C3E50"/>
          <w:sz w:val="22"/>
          <w:szCs w:val="22"/>
        </w:rPr>
        <w:t xml:space="preserve">Large, multi-facility organizations that provide inpatient, outpatient, surgical, emergency, and specialty care. Modern health systems may include dozens of hospitals, hundreds of clinics, and affiliated physician practices. Major EHR platforms include Epic, Oracle Health (Cerner), and MEDITECH.</w:t>
      </w:r>
    </w:p>
    <w:p>
      <w:pPr>
        <w:pStyle w:val="ListParagraph"/>
        <w:numPr>
          <w:ilvl w:val="0"/>
          <w:numId w:val="2"/>
        </w:numPr>
        <w:spacing w:before="40" w:after="40" w:line="300"/>
      </w:pPr>
      <w:r>
        <w:rPr>
          <w:rFonts w:ascii="Arial" w:cs="Arial" w:eastAsia="Arial" w:hAnsi="Arial"/>
          <w:b/>
          <w:bCs/>
          <w:color w:val="2C3E50"/>
          <w:sz w:val="22"/>
          <w:szCs w:val="22"/>
        </w:rPr>
        <w:t xml:space="preserve">Physician Practices and Clinics: </w:t>
      </w:r>
      <w:r>
        <w:rPr>
          <w:rFonts w:ascii="Arial" w:cs="Arial" w:eastAsia="Arial" w:hAnsi="Arial"/>
          <w:color w:val="2C3E50"/>
          <w:sz w:val="22"/>
          <w:szCs w:val="22"/>
        </w:rPr>
        <w:t xml:space="preserve">Range from solo practitioners to large multi-specialty groups. These practices use ambulatory EHR systems and generate high volumes of orders, referrals, and clinical documentation. Many use different EHR systems than the hospitals they are affiliated with, creating significant integration needs.</w:t>
      </w:r>
    </w:p>
    <w:p>
      <w:pPr>
        <w:pStyle w:val="ListParagraph"/>
        <w:numPr>
          <w:ilvl w:val="0"/>
          <w:numId w:val="2"/>
        </w:numPr>
        <w:spacing w:before="40" w:after="40" w:line="300"/>
      </w:pPr>
      <w:r>
        <w:rPr>
          <w:rFonts w:ascii="Arial" w:cs="Arial" w:eastAsia="Arial" w:hAnsi="Arial"/>
          <w:b/>
          <w:bCs/>
          <w:color w:val="2C3E50"/>
          <w:sz w:val="22"/>
          <w:szCs w:val="22"/>
        </w:rPr>
        <w:t xml:space="preserve">Ambulatory Surgical Centers (ASCs): </w:t>
      </w:r>
      <w:r>
        <w:rPr>
          <w:rFonts w:ascii="Arial" w:cs="Arial" w:eastAsia="Arial" w:hAnsi="Arial"/>
          <w:color w:val="2C3E50"/>
          <w:sz w:val="22"/>
          <w:szCs w:val="22"/>
        </w:rPr>
        <w:t xml:space="preserve">Outpatient surgical facilities that perform procedures not requiring overnight stays. They generate surgical scheduling data, operative notes, anesthesia records, and post-operative instructions.</w:t>
      </w:r>
    </w:p>
    <w:p>
      <w:pPr>
        <w:pStyle w:val="ListParagraph"/>
        <w:numPr>
          <w:ilvl w:val="0"/>
          <w:numId w:val="2"/>
        </w:numPr>
        <w:spacing w:before="40" w:after="40" w:line="300"/>
      </w:pPr>
      <w:r>
        <w:rPr>
          <w:rFonts w:ascii="Arial" w:cs="Arial" w:eastAsia="Arial" w:hAnsi="Arial"/>
          <w:b/>
          <w:bCs/>
          <w:color w:val="2C3E50"/>
          <w:sz w:val="22"/>
          <w:szCs w:val="22"/>
        </w:rPr>
        <w:t xml:space="preserve">Post-Acute and Long-Term Care: </w:t>
      </w:r>
      <w:r>
        <w:rPr>
          <w:rFonts w:ascii="Arial" w:cs="Arial" w:eastAsia="Arial" w:hAnsi="Arial"/>
          <w:color w:val="2C3E50"/>
          <w:sz w:val="22"/>
          <w:szCs w:val="22"/>
        </w:rPr>
        <w:t xml:space="preserve">Skilled nursing facilities (SNFs), rehabilitation hospitals, home health agencies, and hospice providers. These settings receive patient transfers from acute care and require seamless continuity of care data including medication lists, care plans, and advance directives.</w:t>
      </w:r>
    </w:p>
    <w:p>
      <w:pPr>
        <w:pStyle w:val="ListParagraph"/>
        <w:numPr>
          <w:ilvl w:val="0"/>
          <w:numId w:val="2"/>
        </w:numPr>
        <w:spacing w:before="40" w:after="40" w:line="300"/>
      </w:pPr>
      <w:r>
        <w:rPr>
          <w:rFonts w:ascii="Arial" w:cs="Arial" w:eastAsia="Arial" w:hAnsi="Arial"/>
          <w:b/>
          <w:bCs/>
          <w:color w:val="2C3E50"/>
          <w:sz w:val="22"/>
          <w:szCs w:val="22"/>
        </w:rPr>
        <w:t xml:space="preserve">Behavioral and Mental Health Providers: </w:t>
      </w:r>
      <w:r>
        <w:rPr>
          <w:rFonts w:ascii="Arial" w:cs="Arial" w:eastAsia="Arial" w:hAnsi="Arial"/>
          <w:color w:val="2C3E50"/>
          <w:sz w:val="22"/>
          <w:szCs w:val="22"/>
        </w:rPr>
        <w:t xml:space="preserve">Psychiatrists, psychologists, counselors, and substance abuse treatment facilities. These providers operate under additional privacy protections (42 CFR Part 2 for substance abuse records) that significantly impact integration design.</w:t>
      </w:r>
    </w:p>
    <w:p>
      <w:pPr>
        <w:pStyle w:val="Heading3"/>
        <w:spacing w:before="240" w:after="120"/>
      </w:pPr>
      <w:r>
        <w:rPr>
          <w:rFonts w:ascii="Arial" w:cs="Arial" w:eastAsia="Arial" w:hAnsi="Arial"/>
          <w:b/>
          <w:bCs/>
          <w:color w:val="2980B9"/>
          <w:sz w:val="24"/>
          <w:szCs w:val="24"/>
        </w:rPr>
        <w:t xml:space="preserve">Payers and Health Insurance</w:t>
      </w:r>
    </w:p>
    <w:p>
      <w:pPr>
        <w:spacing w:before="60" w:after="100" w:line="320"/>
      </w:pPr>
      <w:r>
        <w:rPr>
          <w:rFonts w:ascii="Arial" w:cs="Arial" w:eastAsia="Arial" w:hAnsi="Arial"/>
          <w:color w:val="2C3E50"/>
          <w:sz w:val="22"/>
          <w:szCs w:val="22"/>
        </w:rPr>
        <w:t xml:space="preserve">Payers are the organizations that finance healthcare services. The relationship between payers and providers is one of the most data-intensive in healthcare, involving eligibility verification, prior authorization, claims submission, and payment.</w:t>
      </w:r>
    </w:p>
    <w:p>
      <w:pPr>
        <w:pStyle w:val="ListParagraph"/>
        <w:numPr>
          <w:ilvl w:val="0"/>
          <w:numId w:val="2"/>
        </w:numPr>
        <w:spacing w:before="40" w:after="40" w:line="300"/>
      </w:pPr>
      <w:r>
        <w:rPr>
          <w:rFonts w:ascii="Arial" w:cs="Arial" w:eastAsia="Arial" w:hAnsi="Arial"/>
          <w:b/>
          <w:bCs/>
          <w:color w:val="2C3E50"/>
          <w:sz w:val="22"/>
          <w:szCs w:val="22"/>
        </w:rPr>
        <w:t xml:space="preserve">Commercial Health Insurance: </w:t>
      </w:r>
      <w:r>
        <w:rPr>
          <w:rFonts w:ascii="Arial" w:cs="Arial" w:eastAsia="Arial" w:hAnsi="Arial"/>
          <w:color w:val="2C3E50"/>
          <w:sz w:val="22"/>
          <w:szCs w:val="22"/>
        </w:rPr>
        <w:t xml:space="preserve">Companies like UnitedHealthcare, Anthem, Aetna, and Cigna that provide employer-sponsored and individual health plans. They maintain member enrollment databases, benefit configurations, and provider networks.</w:t>
      </w:r>
    </w:p>
    <w:p>
      <w:pPr>
        <w:pStyle w:val="ListParagraph"/>
        <w:numPr>
          <w:ilvl w:val="0"/>
          <w:numId w:val="2"/>
        </w:numPr>
        <w:spacing w:before="40" w:after="40" w:line="300"/>
      </w:pPr>
      <w:r>
        <w:rPr>
          <w:rFonts w:ascii="Arial" w:cs="Arial" w:eastAsia="Arial" w:hAnsi="Arial"/>
          <w:b/>
          <w:bCs/>
          <w:color w:val="2C3E50"/>
          <w:sz w:val="22"/>
          <w:szCs w:val="22"/>
        </w:rPr>
        <w:t xml:space="preserve">Government Payers: </w:t>
      </w:r>
      <w:r>
        <w:rPr>
          <w:rFonts w:ascii="Arial" w:cs="Arial" w:eastAsia="Arial" w:hAnsi="Arial"/>
          <w:color w:val="2C3E50"/>
          <w:sz w:val="22"/>
          <w:szCs w:val="22"/>
        </w:rPr>
        <w:t xml:space="preserve">Medicare (federal, for seniors 65+ and disabled), Medicaid (state/federal, for low-income), TRICARE (military), and the Veterans Health Administration (VA). Each has distinct billing rules, data requirements, and reporting mandates.</w:t>
      </w:r>
    </w:p>
    <w:p>
      <w:pPr>
        <w:pStyle w:val="ListParagraph"/>
        <w:numPr>
          <w:ilvl w:val="0"/>
          <w:numId w:val="2"/>
        </w:numPr>
        <w:spacing w:before="40" w:after="40" w:line="300"/>
      </w:pPr>
      <w:r>
        <w:rPr>
          <w:rFonts w:ascii="Arial" w:cs="Arial" w:eastAsia="Arial" w:hAnsi="Arial"/>
          <w:b/>
          <w:bCs/>
          <w:color w:val="2C3E50"/>
          <w:sz w:val="22"/>
          <w:szCs w:val="22"/>
        </w:rPr>
        <w:t xml:space="preserve">Managed Care Organizations (MCOs): </w:t>
      </w:r>
      <w:r>
        <w:rPr>
          <w:rFonts w:ascii="Arial" w:cs="Arial" w:eastAsia="Arial" w:hAnsi="Arial"/>
          <w:color w:val="2C3E50"/>
          <w:sz w:val="22"/>
          <w:szCs w:val="22"/>
        </w:rPr>
        <w:t xml:space="preserve">Organizations that contract with government programs to administer benefits. They add another layer of data exchange requirements including quality reporting and care management data.</w:t>
      </w:r>
    </w:p>
    <w:p>
      <w:pPr>
        <w:pStyle w:val="ListParagraph"/>
        <w:numPr>
          <w:ilvl w:val="0"/>
          <w:numId w:val="2"/>
        </w:numPr>
        <w:spacing w:before="40" w:after="40" w:line="300"/>
      </w:pPr>
      <w:r>
        <w:rPr>
          <w:rFonts w:ascii="Arial" w:cs="Arial" w:eastAsia="Arial" w:hAnsi="Arial"/>
          <w:b/>
          <w:bCs/>
          <w:color w:val="2C3E50"/>
          <w:sz w:val="22"/>
          <w:szCs w:val="22"/>
        </w:rPr>
        <w:t xml:space="preserve">Pharmacy Benefit Managers (PBMs): </w:t>
      </w:r>
      <w:r>
        <w:rPr>
          <w:rFonts w:ascii="Arial" w:cs="Arial" w:eastAsia="Arial" w:hAnsi="Arial"/>
          <w:color w:val="2C3E50"/>
          <w:sz w:val="22"/>
          <w:szCs w:val="22"/>
        </w:rPr>
        <w:t xml:space="preserve">Intermediaries like Express Scripts, CVS Caremark, and OptumRx that manage prescription drug benefits, formularies, and pharmacy networks.</w:t>
      </w:r>
    </w:p>
    <w:p>
      <w:pPr>
        <w:pStyle w:val="Heading3"/>
        <w:spacing w:before="240" w:after="120"/>
      </w:pPr>
      <w:r>
        <w:rPr>
          <w:rFonts w:ascii="Arial" w:cs="Arial" w:eastAsia="Arial" w:hAnsi="Arial"/>
          <w:b/>
          <w:bCs/>
          <w:color w:val="2980B9"/>
          <w:sz w:val="24"/>
          <w:szCs w:val="24"/>
        </w:rPr>
        <w:t xml:space="preserve">Clinical Support Services</w:t>
      </w:r>
    </w:p>
    <w:p>
      <w:pPr>
        <w:spacing w:before="60" w:after="100" w:line="320"/>
      </w:pPr>
      <w:r>
        <w:rPr>
          <w:rFonts w:ascii="Arial" w:cs="Arial" w:eastAsia="Arial" w:hAnsi="Arial"/>
          <w:color w:val="2C3E50"/>
          <w:sz w:val="22"/>
          <w:szCs w:val="22"/>
        </w:rPr>
        <w:t xml:space="preserve">These organizations provide essential services that support clinical decision-making and treatment. They generate and receive enormous volumes of structured data.</w:t>
      </w:r>
    </w:p>
    <w:p>
      <w:pPr>
        <w:pStyle w:val="ListParagraph"/>
        <w:numPr>
          <w:ilvl w:val="0"/>
          <w:numId w:val="2"/>
        </w:numPr>
        <w:spacing w:before="40" w:after="40" w:line="300"/>
      </w:pPr>
      <w:r>
        <w:rPr>
          <w:rFonts w:ascii="Arial" w:cs="Arial" w:eastAsia="Arial" w:hAnsi="Arial"/>
          <w:b/>
          <w:bCs/>
          <w:color w:val="2C3E50"/>
          <w:sz w:val="22"/>
          <w:szCs w:val="22"/>
        </w:rPr>
        <w:t xml:space="preserve">Clinical Laboratories: </w:t>
      </w:r>
      <w:r>
        <w:rPr>
          <w:rFonts w:ascii="Arial" w:cs="Arial" w:eastAsia="Arial" w:hAnsi="Arial"/>
          <w:color w:val="2C3E50"/>
          <w:sz w:val="22"/>
          <w:szCs w:val="22"/>
        </w:rPr>
        <w:t xml:space="preserve">Reference labs (Quest Diagnostics, Labcorp) and hospital-based labs that process specimens and return results. Lab integrations are among the highest-volume interfaces in healthcare, involving ORM/OML orders and ORU results messages.</w:t>
      </w:r>
    </w:p>
    <w:p>
      <w:pPr>
        <w:pStyle w:val="ListParagraph"/>
        <w:numPr>
          <w:ilvl w:val="0"/>
          <w:numId w:val="2"/>
        </w:numPr>
        <w:spacing w:before="40" w:after="40" w:line="300"/>
      </w:pPr>
      <w:r>
        <w:rPr>
          <w:rFonts w:ascii="Arial" w:cs="Arial" w:eastAsia="Arial" w:hAnsi="Arial"/>
          <w:b/>
          <w:bCs/>
          <w:color w:val="2C3E50"/>
          <w:sz w:val="22"/>
          <w:szCs w:val="22"/>
        </w:rPr>
        <w:t xml:space="preserve">Diagnostic Imaging Centers: </w:t>
      </w:r>
      <w:r>
        <w:rPr>
          <w:rFonts w:ascii="Arial" w:cs="Arial" w:eastAsia="Arial" w:hAnsi="Arial"/>
          <w:color w:val="2C3E50"/>
          <w:sz w:val="22"/>
          <w:szCs w:val="22"/>
        </w:rPr>
        <w:t xml:space="preserve">Radiology and imaging facilities that produce and interpret medical images. Integration involves DICOM for image data and HL7/FHIR for orders and reports.</w:t>
      </w:r>
    </w:p>
    <w:p>
      <w:pPr>
        <w:pStyle w:val="ListParagraph"/>
        <w:numPr>
          <w:ilvl w:val="0"/>
          <w:numId w:val="2"/>
        </w:numPr>
        <w:spacing w:before="40" w:after="40" w:line="300"/>
      </w:pPr>
      <w:r>
        <w:rPr>
          <w:rFonts w:ascii="Arial" w:cs="Arial" w:eastAsia="Arial" w:hAnsi="Arial"/>
          <w:b/>
          <w:bCs/>
          <w:color w:val="2C3E50"/>
          <w:sz w:val="22"/>
          <w:szCs w:val="22"/>
        </w:rPr>
        <w:t xml:space="preserve">Pharmacies: </w:t>
      </w:r>
      <w:r>
        <w:rPr>
          <w:rFonts w:ascii="Arial" w:cs="Arial" w:eastAsia="Arial" w:hAnsi="Arial"/>
          <w:color w:val="2C3E50"/>
          <w:sz w:val="22"/>
          <w:szCs w:val="22"/>
        </w:rPr>
        <w:t xml:space="preserve">Retail, specialty, mail-order, and compounding pharmacies. E-prescribing uses NCPDP SCRIPT standard for medication orders, refills, and medication history.</w:t>
      </w:r>
    </w:p>
    <w:p>
      <w:pPr>
        <w:pStyle w:val="ListParagraph"/>
        <w:numPr>
          <w:ilvl w:val="0"/>
          <w:numId w:val="2"/>
        </w:numPr>
        <w:spacing w:before="40" w:after="40" w:line="300"/>
      </w:pPr>
      <w:r>
        <w:rPr>
          <w:rFonts w:ascii="Arial" w:cs="Arial" w:eastAsia="Arial" w:hAnsi="Arial"/>
          <w:b/>
          <w:bCs/>
          <w:color w:val="2C3E50"/>
          <w:sz w:val="22"/>
          <w:szCs w:val="22"/>
        </w:rPr>
        <w:t xml:space="preserve">Medical Device Manufacturers: </w:t>
      </w:r>
      <w:r>
        <w:rPr>
          <w:rFonts w:ascii="Arial" w:cs="Arial" w:eastAsia="Arial" w:hAnsi="Arial"/>
          <w:color w:val="2C3E50"/>
          <w:sz w:val="22"/>
          <w:szCs w:val="22"/>
        </w:rPr>
        <w:t xml:space="preserve">Companies producing devices from infusion pumps to ventilators to wearable monitors. Device integration uses IEEE 11073 and increasingly FHIR for continuous data streaming.</w:t>
      </w:r>
    </w:p>
    <w:p>
      <w:pPr>
        <w:pStyle w:val="Heading3"/>
        <w:spacing w:before="240" w:after="120"/>
      </w:pPr>
      <w:r>
        <w:rPr>
          <w:rFonts w:ascii="Arial" w:cs="Arial" w:eastAsia="Arial" w:hAnsi="Arial"/>
          <w:b/>
          <w:bCs/>
          <w:color w:val="2980B9"/>
          <w:sz w:val="24"/>
          <w:szCs w:val="24"/>
        </w:rPr>
        <w:t xml:space="preserve">Public Health and Regulatory Agencies</w:t>
      </w:r>
    </w:p>
    <w:p>
      <w:pPr>
        <w:pStyle w:val="ListParagraph"/>
        <w:numPr>
          <w:ilvl w:val="0"/>
          <w:numId w:val="2"/>
        </w:numPr>
        <w:spacing w:before="40" w:after="40" w:line="300"/>
      </w:pPr>
      <w:r>
        <w:rPr>
          <w:rFonts w:ascii="Arial" w:cs="Arial" w:eastAsia="Arial" w:hAnsi="Arial"/>
          <w:b/>
          <w:bCs/>
          <w:color w:val="2C3E50"/>
          <w:sz w:val="22"/>
          <w:szCs w:val="22"/>
        </w:rPr>
        <w:t xml:space="preserve">Centers for Medicare and Medicaid Services (CMS): </w:t>
      </w:r>
      <w:r>
        <w:rPr>
          <w:rFonts w:ascii="Arial" w:cs="Arial" w:eastAsia="Arial" w:hAnsi="Arial"/>
          <w:color w:val="2C3E50"/>
          <w:sz w:val="22"/>
          <w:szCs w:val="22"/>
        </w:rPr>
        <w:t xml:space="preserve">Administers Medicare, Medicaid, and the Health Insurance Marketplace. Sets billing rules, quality reporting requirements, and interoperability mandates.</w:t>
      </w:r>
    </w:p>
    <w:p>
      <w:pPr>
        <w:pStyle w:val="ListParagraph"/>
        <w:numPr>
          <w:ilvl w:val="0"/>
          <w:numId w:val="2"/>
        </w:numPr>
        <w:spacing w:before="40" w:after="40" w:line="300"/>
      </w:pPr>
      <w:r>
        <w:rPr>
          <w:rFonts w:ascii="Arial" w:cs="Arial" w:eastAsia="Arial" w:hAnsi="Arial"/>
          <w:b/>
          <w:bCs/>
          <w:color w:val="2C3E50"/>
          <w:sz w:val="22"/>
          <w:szCs w:val="22"/>
        </w:rPr>
        <w:t xml:space="preserve">Office of the National Coordinator for Health IT (ONC): </w:t>
      </w:r>
      <w:r>
        <w:rPr>
          <w:rFonts w:ascii="Arial" w:cs="Arial" w:eastAsia="Arial" w:hAnsi="Arial"/>
          <w:color w:val="2C3E50"/>
          <w:sz w:val="22"/>
          <w:szCs w:val="22"/>
        </w:rPr>
        <w:t xml:space="preserve">Coordinates national health IT strategy, sets certification criteria for EHR systems, and oversees USCDI and TEFCA.</w:t>
      </w:r>
    </w:p>
    <w:p>
      <w:pPr>
        <w:pStyle w:val="ListParagraph"/>
        <w:numPr>
          <w:ilvl w:val="0"/>
          <w:numId w:val="2"/>
        </w:numPr>
        <w:spacing w:before="40" w:after="40" w:line="300"/>
      </w:pPr>
      <w:r>
        <w:rPr>
          <w:rFonts w:ascii="Arial" w:cs="Arial" w:eastAsia="Arial" w:hAnsi="Arial"/>
          <w:b/>
          <w:bCs/>
          <w:color w:val="2C3E50"/>
          <w:sz w:val="22"/>
          <w:szCs w:val="22"/>
        </w:rPr>
        <w:t xml:space="preserve">Centers for Disease Control and Prevention (CDC): </w:t>
      </w:r>
      <w:r>
        <w:rPr>
          <w:rFonts w:ascii="Arial" w:cs="Arial" w:eastAsia="Arial" w:hAnsi="Arial"/>
          <w:color w:val="2C3E50"/>
          <w:sz w:val="22"/>
          <w:szCs w:val="22"/>
        </w:rPr>
        <w:t xml:space="preserve">Receives syndromic surveillance data, electronic case reports, and immunization data from providers.</w:t>
      </w:r>
    </w:p>
    <w:p>
      <w:pPr>
        <w:pStyle w:val="ListParagraph"/>
        <w:numPr>
          <w:ilvl w:val="0"/>
          <w:numId w:val="2"/>
        </w:numPr>
        <w:spacing w:before="40" w:after="40" w:line="300"/>
      </w:pPr>
      <w:r>
        <w:rPr>
          <w:rFonts w:ascii="Arial" w:cs="Arial" w:eastAsia="Arial" w:hAnsi="Arial"/>
          <w:b/>
          <w:bCs/>
          <w:color w:val="2C3E50"/>
          <w:sz w:val="22"/>
          <w:szCs w:val="22"/>
        </w:rPr>
        <w:t xml:space="preserve">State Health Departments: </w:t>
      </w:r>
      <w:r>
        <w:rPr>
          <w:rFonts w:ascii="Arial" w:cs="Arial" w:eastAsia="Arial" w:hAnsi="Arial"/>
          <w:color w:val="2C3E50"/>
          <w:sz w:val="22"/>
          <w:szCs w:val="22"/>
        </w:rPr>
        <w:t xml:space="preserve">Manage immunization registries, vital records, reportable disease surveillance, and state-level HIE networks.</w:t>
      </w:r>
    </w:p>
    <w:p>
      <w:pPr>
        <w:pStyle w:val="ListParagraph"/>
        <w:numPr>
          <w:ilvl w:val="0"/>
          <w:numId w:val="2"/>
        </w:numPr>
        <w:spacing w:before="40" w:after="40" w:line="300"/>
      </w:pPr>
      <w:r>
        <w:rPr>
          <w:rFonts w:ascii="Arial" w:cs="Arial" w:eastAsia="Arial" w:hAnsi="Arial"/>
          <w:b/>
          <w:bCs/>
          <w:color w:val="2C3E50"/>
          <w:sz w:val="22"/>
          <w:szCs w:val="22"/>
        </w:rPr>
        <w:t xml:space="preserve">Food and Drug Administration (FDA): </w:t>
      </w:r>
      <w:r>
        <w:rPr>
          <w:rFonts w:ascii="Arial" w:cs="Arial" w:eastAsia="Arial" w:hAnsi="Arial"/>
          <w:color w:val="2C3E50"/>
          <w:sz w:val="22"/>
          <w:szCs w:val="22"/>
        </w:rPr>
        <w:t xml:space="preserve">Regulates medical devices including software-as-a-medical-device (SaMD), clinical decision support tools, and AI/ML-based diagnostics.</w:t>
      </w:r>
    </w:p>
    <w:p>
      <w:pPr>
        <w:pStyle w:val="Heading3"/>
        <w:spacing w:before="240" w:after="120"/>
      </w:pPr>
      <w:r>
        <w:rPr>
          <w:rFonts w:ascii="Arial" w:cs="Arial" w:eastAsia="Arial" w:hAnsi="Arial"/>
          <w:b/>
          <w:bCs/>
          <w:color w:val="2980B9"/>
          <w:sz w:val="24"/>
          <w:szCs w:val="24"/>
        </w:rPr>
        <w:t xml:space="preserve">Health Information Intermediaries</w:t>
      </w:r>
    </w:p>
    <w:p>
      <w:pPr>
        <w:pStyle w:val="ListParagraph"/>
        <w:numPr>
          <w:ilvl w:val="0"/>
          <w:numId w:val="2"/>
        </w:numPr>
        <w:spacing w:before="40" w:after="40" w:line="300"/>
      </w:pPr>
      <w:r>
        <w:rPr>
          <w:rFonts w:ascii="Arial" w:cs="Arial" w:eastAsia="Arial" w:hAnsi="Arial"/>
          <w:b/>
          <w:bCs/>
          <w:color w:val="2C3E50"/>
          <w:sz w:val="22"/>
          <w:szCs w:val="22"/>
        </w:rPr>
        <w:t xml:space="preserve">Health Information Exchanges (HIEs): </w:t>
      </w:r>
      <w:r>
        <w:rPr>
          <w:rFonts w:ascii="Arial" w:cs="Arial" w:eastAsia="Arial" w:hAnsi="Arial"/>
          <w:color w:val="2C3E50"/>
          <w:sz w:val="22"/>
          <w:szCs w:val="22"/>
        </w:rPr>
        <w:t xml:space="preserve">Organizations that facilitate electronic sharing of health information across organizations within a region or state. Examples include state-designated HIEs and private networks.</w:t>
      </w:r>
    </w:p>
    <w:p>
      <w:pPr>
        <w:pStyle w:val="ListParagraph"/>
        <w:numPr>
          <w:ilvl w:val="0"/>
          <w:numId w:val="2"/>
        </w:numPr>
        <w:spacing w:before="40" w:after="40" w:line="300"/>
      </w:pPr>
      <w:r>
        <w:rPr>
          <w:rFonts w:ascii="Arial" w:cs="Arial" w:eastAsia="Arial" w:hAnsi="Arial"/>
          <w:b/>
          <w:bCs/>
          <w:color w:val="2C3E50"/>
          <w:sz w:val="22"/>
          <w:szCs w:val="22"/>
        </w:rPr>
        <w:t xml:space="preserve">Clearinghouses: </w:t>
      </w:r>
      <w:r>
        <w:rPr>
          <w:rFonts w:ascii="Arial" w:cs="Arial" w:eastAsia="Arial" w:hAnsi="Arial"/>
          <w:color w:val="2C3E50"/>
          <w:sz w:val="22"/>
          <w:szCs w:val="22"/>
        </w:rPr>
        <w:t xml:space="preserve">Entities like Change Healthcare, Availity, and Trizetto that process and route claims, eligibility inquiries, and other administrative transactions between providers and payers.</w:t>
      </w:r>
    </w:p>
    <w:p>
      <w:pPr>
        <w:pStyle w:val="ListParagraph"/>
        <w:numPr>
          <w:ilvl w:val="0"/>
          <w:numId w:val="2"/>
        </w:numPr>
        <w:spacing w:before="40" w:after="40" w:line="300"/>
      </w:pPr>
      <w:r>
        <w:rPr>
          <w:rFonts w:ascii="Arial" w:cs="Arial" w:eastAsia="Arial" w:hAnsi="Arial"/>
          <w:b/>
          <w:bCs/>
          <w:color w:val="2C3E50"/>
          <w:sz w:val="22"/>
          <w:szCs w:val="22"/>
        </w:rPr>
        <w:t xml:space="preserve">Health Information Networks: </w:t>
      </w:r>
      <w:r>
        <w:rPr>
          <w:rFonts w:ascii="Arial" w:cs="Arial" w:eastAsia="Arial" w:hAnsi="Arial"/>
          <w:color w:val="2C3E50"/>
          <w:sz w:val="22"/>
          <w:szCs w:val="22"/>
        </w:rPr>
        <w:t xml:space="preserve">National-scale networks like Carequality, CommonWell Health Alliance, and eHealth Exchange that enable cross-organizational data exchange.</w:t>
      </w:r>
    </w:p>
    <w:p>
      <w:pPr>
        <w:spacing w:before="120" w:after="120"/>
      </w:pPr>
    </w:p>
    <w:p>
      <w:pPr>
        <w:pStyle w:val="Heading2"/>
        <w:spacing w:before="300" w:after="160"/>
      </w:pPr>
      <w:r>
        <w:rPr>
          <w:rFonts w:ascii="Arial" w:cs="Arial" w:eastAsia="Arial" w:hAnsi="Arial"/>
          <w:b/>
          <w:bCs/>
          <w:color w:val="2E86C1"/>
          <w:sz w:val="28"/>
          <w:szCs w:val="28"/>
        </w:rPr>
        <w:t xml:space="preserve">1.2 How Healthcare Entities Interact</w:t>
      </w:r>
    </w:p>
    <w:p>
      <w:pPr>
        <w:spacing w:before="60" w:after="100" w:line="320"/>
      </w:pPr>
      <w:r>
        <w:rPr>
          <w:rFonts w:ascii="Arial" w:cs="Arial" w:eastAsia="Arial" w:hAnsi="Arial"/>
          <w:color w:val="2C3E50"/>
          <w:sz w:val="22"/>
          <w:szCs w:val="22"/>
        </w:rPr>
        <w:t xml:space="preserve">Understanding the interaction patterns between healthcare entities is crucial for designing effective integration architectures. These interactions generate the data flows that integration engineers build and maintain.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Pattern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Entities Involved</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Exchanged</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Standards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Patient Referral</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PCP → Specialist</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Demographics, insurance, clinical history, reason for referral</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C-CDA, FHIR, Direct Messaging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 Ordering &amp; Results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Lab → Provider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Test orders, specimen info, results, interpretations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HL7 v2 (ORM/ORU), FHIR</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Prescription Transmission</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 Pharmacy</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Medication orders, refill requests, medication history</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NCPDP SCRIPT, FHIR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Claims Submission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Clearinghouse → Payer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Charges, diagnoses, procedures, patient demographics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X12 837P/837I</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Eligibility Verification</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Patient ID, insurance status, benefit details</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X12 270/271</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ADT Notifications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Hospital → HIE → Care Team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Admit, discharge, transfer events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HL7 v2 ADT, FHIR</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Public Health Reporting</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 Public Health Agency</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Case reports, immunizations, syndromic surveillance</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HL7 v2, eCR/eICR, FHIR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Prior Authorization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 documentation, service requests, approval status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X12 278, Da Vinci PAS (FHIR)</w:t>
            </w:r>
          </w:p>
        </w:tc>
      </w:tr>
    </w:tbl>
    <w:p>
      <w:pPr>
        <w:spacing w:before="120" w:after="120"/>
      </w:pPr>
    </w:p>
    <w:p>
      <w:pPr>
        <w:pStyle w:val="Heading2"/>
        <w:spacing w:before="300" w:after="160"/>
      </w:pPr>
      <w:r>
        <w:rPr>
          <w:rFonts w:ascii="Arial" w:cs="Arial" w:eastAsia="Arial" w:hAnsi="Arial"/>
          <w:b/>
          <w:bCs/>
          <w:color w:val="2E86C1"/>
          <w:sz w:val="28"/>
          <w:szCs w:val="28"/>
        </w:rPr>
        <w:t xml:space="preserve">1.3 The Patient Journey Across Systems</w:t>
      </w:r>
    </w:p>
    <w:p>
      <w:pPr>
        <w:spacing w:before="60" w:after="100" w:line="320"/>
      </w:pPr>
      <w:r>
        <w:rPr>
          <w:rFonts w:ascii="Arial" w:cs="Arial" w:eastAsia="Arial" w:hAnsi="Arial"/>
          <w:color w:val="2C3E50"/>
          <w:sz w:val="22"/>
          <w:szCs w:val="22"/>
        </w:rPr>
        <w:t xml:space="preserve">A single patient encounter can touch a dozen or more systems, each requiring data exchange. Consider a patient presenting to an emergency department with chest pain:</w:t>
      </w:r>
    </w:p>
    <w:p>
      <w:pPr>
        <w:pStyle w:val="ListParagraph"/>
        <w:numPr>
          <w:ilvl w:val="0"/>
          <w:numId w:val="2"/>
        </w:numPr>
        <w:spacing w:before="40" w:after="40" w:line="300"/>
      </w:pPr>
      <w:r>
        <w:rPr>
          <w:rFonts w:ascii="Arial" w:cs="Arial" w:eastAsia="Arial" w:hAnsi="Arial"/>
          <w:b/>
          <w:bCs/>
          <w:color w:val="2C3E50"/>
          <w:sz w:val="22"/>
          <w:szCs w:val="22"/>
        </w:rPr>
        <w:t xml:space="preserve">Step 1 — Registration: </w:t>
      </w:r>
      <w:r>
        <w:rPr>
          <w:rFonts w:ascii="Arial" w:cs="Arial" w:eastAsia="Arial" w:hAnsi="Arial"/>
          <w:color w:val="2C3E50"/>
          <w:sz w:val="22"/>
          <w:szCs w:val="22"/>
        </w:rPr>
        <w:t xml:space="preserve">Patient demographics entered in the EHR. ADT A04 message sent to downstream systems (lab, radiology, pharmacy, bed management).</w:t>
      </w:r>
    </w:p>
    <w:p>
      <w:pPr>
        <w:pStyle w:val="ListParagraph"/>
        <w:numPr>
          <w:ilvl w:val="0"/>
          <w:numId w:val="2"/>
        </w:numPr>
        <w:spacing w:before="40" w:after="40" w:line="300"/>
      </w:pPr>
      <w:r>
        <w:rPr>
          <w:rFonts w:ascii="Arial" w:cs="Arial" w:eastAsia="Arial" w:hAnsi="Arial"/>
          <w:b/>
          <w:bCs/>
          <w:color w:val="2C3E50"/>
          <w:sz w:val="22"/>
          <w:szCs w:val="22"/>
        </w:rPr>
        <w:t xml:space="preserve">Step 2 — Triage &amp; Assessment: </w:t>
      </w:r>
      <w:r>
        <w:rPr>
          <w:rFonts w:ascii="Arial" w:cs="Arial" w:eastAsia="Arial" w:hAnsi="Arial"/>
          <w:color w:val="2C3E50"/>
          <w:sz w:val="22"/>
          <w:szCs w:val="22"/>
        </w:rPr>
        <w:t xml:space="preserve">Clinical documentation captured in the EHR. Allergy and medication history queried from the HIE.</w:t>
      </w:r>
    </w:p>
    <w:p>
      <w:pPr>
        <w:pStyle w:val="ListParagraph"/>
        <w:numPr>
          <w:ilvl w:val="0"/>
          <w:numId w:val="2"/>
        </w:numPr>
        <w:spacing w:before="40" w:after="40" w:line="300"/>
      </w:pPr>
      <w:r>
        <w:rPr>
          <w:rFonts w:ascii="Arial" w:cs="Arial" w:eastAsia="Arial" w:hAnsi="Arial"/>
          <w:b/>
          <w:bCs/>
          <w:color w:val="2C3E50"/>
          <w:sz w:val="22"/>
          <w:szCs w:val="22"/>
        </w:rPr>
        <w:t xml:space="preserve">Step 3 — Diagnostic Orders: </w:t>
      </w:r>
      <w:r>
        <w:rPr>
          <w:rFonts w:ascii="Arial" w:cs="Arial" w:eastAsia="Arial" w:hAnsi="Arial"/>
          <w:color w:val="2C3E50"/>
          <w:sz w:val="22"/>
          <w:szCs w:val="22"/>
        </w:rPr>
        <w:t xml:space="preserve">Lab orders (troponin, BMP, CBC) sent via ORM message to the lab information system. Imaging orders (chest X-ray, CT) sent to the radiology information system.</w:t>
      </w:r>
    </w:p>
    <w:p>
      <w:pPr>
        <w:pStyle w:val="ListParagraph"/>
        <w:numPr>
          <w:ilvl w:val="0"/>
          <w:numId w:val="2"/>
        </w:numPr>
        <w:spacing w:before="40" w:after="40" w:line="300"/>
      </w:pPr>
      <w:r>
        <w:rPr>
          <w:rFonts w:ascii="Arial" w:cs="Arial" w:eastAsia="Arial" w:hAnsi="Arial"/>
          <w:b/>
          <w:bCs/>
          <w:color w:val="2C3E50"/>
          <w:sz w:val="22"/>
          <w:szCs w:val="22"/>
        </w:rPr>
        <w:t xml:space="preserve">Step 4 — Results Delivery: </w:t>
      </w:r>
      <w:r>
        <w:rPr>
          <w:rFonts w:ascii="Arial" w:cs="Arial" w:eastAsia="Arial" w:hAnsi="Arial"/>
          <w:color w:val="2C3E50"/>
          <w:sz w:val="22"/>
          <w:szCs w:val="22"/>
        </w:rPr>
        <w:t xml:space="preserve">Lab results returned via ORU messages. Radiology reports delivered with DICOM images to the PACS and text reports to the EHR.</w:t>
      </w:r>
    </w:p>
    <w:p>
      <w:pPr>
        <w:pStyle w:val="ListParagraph"/>
        <w:numPr>
          <w:ilvl w:val="0"/>
          <w:numId w:val="2"/>
        </w:numPr>
        <w:spacing w:before="40" w:after="40" w:line="300"/>
      </w:pPr>
      <w:r>
        <w:rPr>
          <w:rFonts w:ascii="Arial" w:cs="Arial" w:eastAsia="Arial" w:hAnsi="Arial"/>
          <w:b/>
          <w:bCs/>
          <w:color w:val="2C3E50"/>
          <w:sz w:val="22"/>
          <w:szCs w:val="22"/>
        </w:rPr>
        <w:t xml:space="preserve">Step 5 — Treatment: </w:t>
      </w:r>
      <w:r>
        <w:rPr>
          <w:rFonts w:ascii="Arial" w:cs="Arial" w:eastAsia="Arial" w:hAnsi="Arial"/>
          <w:color w:val="2C3E50"/>
          <w:sz w:val="22"/>
          <w:szCs w:val="22"/>
        </w:rPr>
        <w:t xml:space="preserve">Medications ordered and transmitted to pharmacy via NCPDP SCRIPT. Infusion pump data streamed to the EHR from medical devices.</w:t>
      </w:r>
    </w:p>
    <w:p>
      <w:pPr>
        <w:pStyle w:val="ListParagraph"/>
        <w:numPr>
          <w:ilvl w:val="0"/>
          <w:numId w:val="2"/>
        </w:numPr>
        <w:spacing w:before="40" w:after="40" w:line="300"/>
      </w:pPr>
      <w:r>
        <w:rPr>
          <w:rFonts w:ascii="Arial" w:cs="Arial" w:eastAsia="Arial" w:hAnsi="Arial"/>
          <w:b/>
          <w:bCs/>
          <w:color w:val="2C3E50"/>
          <w:sz w:val="22"/>
          <w:szCs w:val="22"/>
        </w:rPr>
        <w:t xml:space="preserve">Step 6 — Admission Decision: </w:t>
      </w:r>
      <w:r>
        <w:rPr>
          <w:rFonts w:ascii="Arial" w:cs="Arial" w:eastAsia="Arial" w:hAnsi="Arial"/>
          <w:color w:val="2C3E50"/>
          <w:sz w:val="22"/>
          <w:szCs w:val="22"/>
        </w:rPr>
        <w:t xml:space="preserve">If admitted, ADT A01 message triggers bed assignment, dietary, housekeeping, and care team notifications.</w:t>
      </w:r>
    </w:p>
    <w:p>
      <w:pPr>
        <w:pStyle w:val="ListParagraph"/>
        <w:numPr>
          <w:ilvl w:val="0"/>
          <w:numId w:val="2"/>
        </w:numPr>
        <w:spacing w:before="40" w:after="40" w:line="300"/>
      </w:pPr>
      <w:r>
        <w:rPr>
          <w:rFonts w:ascii="Arial" w:cs="Arial" w:eastAsia="Arial" w:hAnsi="Arial"/>
          <w:b/>
          <w:bCs/>
          <w:color w:val="2C3E50"/>
          <w:sz w:val="22"/>
          <w:szCs w:val="22"/>
        </w:rPr>
        <w:t xml:space="preserve">Step 7 — Discharge: </w:t>
      </w:r>
      <w:r>
        <w:rPr>
          <w:rFonts w:ascii="Arial" w:cs="Arial" w:eastAsia="Arial" w:hAnsi="Arial"/>
          <w:color w:val="2C3E50"/>
          <w:sz w:val="22"/>
          <w:szCs w:val="22"/>
        </w:rPr>
        <w:t xml:space="preserve">ADT A03 message triggers notifications to PCP, care coordinators, and the HIE. Discharge summary generated as C-CDA document. Prescriptions sent electronically to outpatient pharmacy.</w:t>
      </w:r>
    </w:p>
    <w:p>
      <w:pPr>
        <w:pStyle w:val="ListParagraph"/>
        <w:numPr>
          <w:ilvl w:val="0"/>
          <w:numId w:val="2"/>
        </w:numPr>
        <w:spacing w:before="40" w:after="40" w:line="300"/>
      </w:pPr>
      <w:r>
        <w:rPr>
          <w:rFonts w:ascii="Arial" w:cs="Arial" w:eastAsia="Arial" w:hAnsi="Arial"/>
          <w:b/>
          <w:bCs/>
          <w:color w:val="2C3E50"/>
          <w:sz w:val="22"/>
          <w:szCs w:val="22"/>
        </w:rPr>
        <w:t xml:space="preserve">Step 8 — Billing: </w:t>
      </w:r>
      <w:r>
        <w:rPr>
          <w:rFonts w:ascii="Arial" w:cs="Arial" w:eastAsia="Arial" w:hAnsi="Arial"/>
          <w:color w:val="2C3E50"/>
          <w:sz w:val="22"/>
          <w:szCs w:val="22"/>
        </w:rPr>
        <w:t xml:space="preserve">Charges compiled, coded, and submitted as X12 837I claim through the clearinghouse to the payer.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Integration Architect Insight</w:t>
            </w:r>
          </w:p>
          <w:p>
            <w:pPr>
              <w:spacing w:before="40"/>
            </w:pPr>
            <w:r>
              <w:rPr>
                <w:rFonts w:ascii="Arial" w:cs="Arial" w:eastAsia="Arial" w:hAnsi="Arial"/>
                <w:color w:val="2C3E50"/>
                <w:sz w:val="20"/>
                <w:szCs w:val="20"/>
              </w:rPr>
              <w:t xml:space="preserve">This single patient encounter involves HL7 v2 messaging, FHIR queries, DICOM imaging, NCPDP prescribing, C-CDA document exchange, X12 claims, and device integration. Understanding this end-to-end flow is what separates a great integration architect from a technically capable but contextually blind engineer.</w:t>
            </w:r>
          </w:p>
        </w:tc>
      </w:tr>
    </w:tbl>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2. Clinical Workflows</w:t>
      </w:r>
    </w:p>
    <w:p>
      <w:pPr>
        <w:spacing w:before="60" w:after="100" w:line="320"/>
      </w:pPr>
      <w:r>
        <w:rPr>
          <w:rFonts w:ascii="Arial" w:cs="Arial" w:eastAsia="Arial" w:hAnsi="Arial"/>
          <w:color w:val="2C3E50"/>
          <w:sz w:val="22"/>
          <w:szCs w:val="22"/>
        </w:rPr>
        <w:t xml:space="preserve">Clinical workflows are the structured sequences of activities that healthcare organizations follow to deliver patient care. For integration professionals, understanding these workflows is essential because every interface exists to support one or more workflow steps. Building an integration without understanding the clinical workflow it serves is like building a bridge without knowing where the road goes.</w:t>
      </w:r>
    </w:p>
    <w:p>
      <w:pPr>
        <w:pStyle w:val="Heading2"/>
        <w:spacing w:before="300" w:after="160"/>
      </w:pPr>
      <w:r>
        <w:rPr>
          <w:rFonts w:ascii="Arial" w:cs="Arial" w:eastAsia="Arial" w:hAnsi="Arial"/>
          <w:b/>
          <w:bCs/>
          <w:color w:val="2E86C1"/>
          <w:sz w:val="28"/>
          <w:szCs w:val="28"/>
        </w:rPr>
        <w:t xml:space="preserve">2.1 Patient Registration and Scheduling</w:t>
      </w:r>
    </w:p>
    <w:p>
      <w:pPr>
        <w:spacing w:before="60" w:after="100" w:line="320"/>
      </w:pPr>
      <w:r>
        <w:rPr>
          <w:rFonts w:ascii="Arial" w:cs="Arial" w:eastAsia="Arial" w:hAnsi="Arial"/>
          <w:color w:val="2C3E50"/>
          <w:sz w:val="22"/>
          <w:szCs w:val="22"/>
        </w:rPr>
        <w:t xml:space="preserve">The patient registration workflow is the entry point for nearly all healthcare encounters and triggers the first wave of integration events.</w:t>
      </w:r>
    </w:p>
    <w:p>
      <w:pPr>
        <w:pStyle w:val="Heading3"/>
        <w:spacing w:before="240" w:after="120"/>
      </w:pPr>
      <w:r>
        <w:rPr>
          <w:rFonts w:ascii="Arial" w:cs="Arial" w:eastAsia="Arial" w:hAnsi="Arial"/>
          <w:b/>
          <w:bCs/>
          <w:color w:val="2980B9"/>
          <w:sz w:val="24"/>
          <w:szCs w:val="24"/>
        </w:rPr>
        <w:t xml:space="preserve">Pre-Registration</w:t>
      </w:r>
    </w:p>
    <w:p>
      <w:pPr>
        <w:pStyle w:val="ListParagraph"/>
        <w:numPr>
          <w:ilvl w:val="0"/>
          <w:numId w:val="2"/>
        </w:numPr>
        <w:spacing w:before="40" w:after="40" w:line="300"/>
      </w:pPr>
      <w:r>
        <w:rPr>
          <w:rFonts w:ascii="Arial" w:cs="Arial" w:eastAsia="Arial" w:hAnsi="Arial"/>
          <w:b/>
          <w:bCs/>
          <w:color w:val="2C3E50"/>
          <w:sz w:val="22"/>
          <w:szCs w:val="22"/>
        </w:rPr>
        <w:t xml:space="preserve">Insurance Eligibility Verification: </w:t>
      </w:r>
      <w:r>
        <w:rPr>
          <w:rFonts w:ascii="Arial" w:cs="Arial" w:eastAsia="Arial" w:hAnsi="Arial"/>
          <w:color w:val="2C3E50"/>
          <w:sz w:val="22"/>
          <w:szCs w:val="22"/>
        </w:rPr>
        <w:t xml:space="preserve">Before the patient arrives, the front desk or automated system queries the payer (via X12 270/271) to confirm active coverage, benefit details, copay amounts, and deductible status.</w:t>
      </w:r>
    </w:p>
    <w:p>
      <w:pPr>
        <w:pStyle w:val="ListParagraph"/>
        <w:numPr>
          <w:ilvl w:val="0"/>
          <w:numId w:val="2"/>
        </w:numPr>
        <w:spacing w:before="40" w:after="40" w:line="300"/>
      </w:pPr>
      <w:r>
        <w:rPr>
          <w:rFonts w:ascii="Arial" w:cs="Arial" w:eastAsia="Arial" w:hAnsi="Arial"/>
          <w:b/>
          <w:bCs/>
          <w:color w:val="2C3E50"/>
          <w:sz w:val="22"/>
          <w:szCs w:val="22"/>
        </w:rPr>
        <w:t xml:space="preserve">Prior Authorization Check: </w:t>
      </w:r>
      <w:r>
        <w:rPr>
          <w:rFonts w:ascii="Arial" w:cs="Arial" w:eastAsia="Arial" w:hAnsi="Arial"/>
          <w:color w:val="2C3E50"/>
          <w:sz w:val="22"/>
          <w:szCs w:val="22"/>
        </w:rPr>
        <w:t xml:space="preserve">For scheduled procedures, the system verifies that required prior authorizations are in place. Missing authorizations can delay or cancel procedures.</w:t>
      </w:r>
    </w:p>
    <w:p>
      <w:pPr>
        <w:pStyle w:val="ListParagraph"/>
        <w:numPr>
          <w:ilvl w:val="0"/>
          <w:numId w:val="2"/>
        </w:numPr>
        <w:spacing w:before="40" w:after="40" w:line="300"/>
      </w:pPr>
      <w:r>
        <w:rPr>
          <w:rFonts w:ascii="Arial" w:cs="Arial" w:eastAsia="Arial" w:hAnsi="Arial"/>
          <w:b/>
          <w:bCs/>
          <w:color w:val="2C3E50"/>
          <w:sz w:val="22"/>
          <w:szCs w:val="22"/>
        </w:rPr>
        <w:t xml:space="preserve">Patient Identity Matching: </w:t>
      </w:r>
      <w:r>
        <w:rPr>
          <w:rFonts w:ascii="Arial" w:cs="Arial" w:eastAsia="Arial" w:hAnsi="Arial"/>
          <w:color w:val="2C3E50"/>
          <w:sz w:val="22"/>
          <w:szCs w:val="22"/>
        </w:rPr>
        <w:t xml:space="preserve">The system searches the Master Patient Index (MPI) to determine if this is a new or returning patient. Probabilistic matching algorithms compare name, date of birth, SSN, address, and phone number to find potential matches.</w:t>
      </w:r>
    </w:p>
    <w:p>
      <w:pPr>
        <w:pStyle w:val="Heading3"/>
        <w:spacing w:before="240" w:after="120"/>
      </w:pPr>
      <w:r>
        <w:rPr>
          <w:rFonts w:ascii="Arial" w:cs="Arial" w:eastAsia="Arial" w:hAnsi="Arial"/>
          <w:b/>
          <w:bCs/>
          <w:color w:val="2980B9"/>
          <w:sz w:val="24"/>
          <w:szCs w:val="24"/>
        </w:rPr>
        <w:t xml:space="preserve">Registration Process</w:t>
      </w:r>
    </w:p>
    <w:p>
      <w:pPr>
        <w:pStyle w:val="ListParagraph"/>
        <w:numPr>
          <w:ilvl w:val="0"/>
          <w:numId w:val="2"/>
        </w:numPr>
        <w:spacing w:before="40" w:after="40" w:line="300"/>
      </w:pPr>
      <w:r>
        <w:rPr>
          <w:rFonts w:ascii="Arial" w:cs="Arial" w:eastAsia="Arial" w:hAnsi="Arial"/>
          <w:b/>
          <w:bCs/>
          <w:color w:val="2C3E50"/>
          <w:sz w:val="22"/>
          <w:szCs w:val="22"/>
        </w:rPr>
        <w:t xml:space="preserve">Demographic Capture: </w:t>
      </w:r>
      <w:r>
        <w:rPr>
          <w:rFonts w:ascii="Arial" w:cs="Arial" w:eastAsia="Arial" w:hAnsi="Arial"/>
          <w:color w:val="2C3E50"/>
          <w:sz w:val="22"/>
          <w:szCs w:val="22"/>
        </w:rPr>
        <w:t xml:space="preserve">Name, date of birth, gender, address, phone, emergency contact, preferred language, race, ethnicity, and social determinants of health data. This maps directly to the PID segment in HL7 v2 and the Patient resource in FHIR.</w:t>
      </w:r>
    </w:p>
    <w:p>
      <w:pPr>
        <w:pStyle w:val="ListParagraph"/>
        <w:numPr>
          <w:ilvl w:val="0"/>
          <w:numId w:val="2"/>
        </w:numPr>
        <w:spacing w:before="40" w:after="40" w:line="300"/>
      </w:pPr>
      <w:r>
        <w:rPr>
          <w:rFonts w:ascii="Arial" w:cs="Arial" w:eastAsia="Arial" w:hAnsi="Arial"/>
          <w:b/>
          <w:bCs/>
          <w:color w:val="2C3E50"/>
          <w:sz w:val="22"/>
          <w:szCs w:val="22"/>
        </w:rPr>
        <w:t xml:space="preserve">Insurance Information: </w:t>
      </w:r>
      <w:r>
        <w:rPr>
          <w:rFonts w:ascii="Arial" w:cs="Arial" w:eastAsia="Arial" w:hAnsi="Arial"/>
          <w:color w:val="2C3E50"/>
          <w:sz w:val="22"/>
          <w:szCs w:val="22"/>
        </w:rPr>
        <w:t xml:space="preserve">Primary, secondary, and tertiary insurance details including plan ID, group number, subscriber information, and coordination of benefits. Maps to IN1/IN2 segments in HL7 v2.</w:t>
      </w:r>
    </w:p>
    <w:p>
      <w:pPr>
        <w:pStyle w:val="ListParagraph"/>
        <w:numPr>
          <w:ilvl w:val="0"/>
          <w:numId w:val="2"/>
        </w:numPr>
        <w:spacing w:before="40" w:after="40" w:line="300"/>
      </w:pPr>
      <w:r>
        <w:rPr>
          <w:rFonts w:ascii="Arial" w:cs="Arial" w:eastAsia="Arial" w:hAnsi="Arial"/>
          <w:b/>
          <w:bCs/>
          <w:color w:val="2C3E50"/>
          <w:sz w:val="22"/>
          <w:szCs w:val="22"/>
        </w:rPr>
        <w:t xml:space="preserve">Consent and Advance Directives: </w:t>
      </w:r>
      <w:r>
        <w:rPr>
          <w:rFonts w:ascii="Arial" w:cs="Arial" w:eastAsia="Arial" w:hAnsi="Arial"/>
          <w:color w:val="2C3E50"/>
          <w:sz w:val="22"/>
          <w:szCs w:val="22"/>
        </w:rPr>
        <w:t xml:space="preserve">Patient consent for treatment, consent for data sharing (including HIE participation), and advance directive documentation.</w:t>
      </w:r>
    </w:p>
    <w:p>
      <w:pPr>
        <w:pStyle w:val="ListParagraph"/>
        <w:numPr>
          <w:ilvl w:val="0"/>
          <w:numId w:val="2"/>
        </w:numPr>
        <w:spacing w:before="40" w:after="40" w:line="300"/>
      </w:pPr>
      <w:r>
        <w:rPr>
          <w:rFonts w:ascii="Arial" w:cs="Arial" w:eastAsia="Arial" w:hAnsi="Arial"/>
          <w:b/>
          <w:bCs/>
          <w:color w:val="2C3E50"/>
          <w:sz w:val="22"/>
          <w:szCs w:val="22"/>
        </w:rPr>
        <w:t xml:space="preserve">ADT Event Generation: </w:t>
      </w:r>
      <w:r>
        <w:rPr>
          <w:rFonts w:ascii="Arial" w:cs="Arial" w:eastAsia="Arial" w:hAnsi="Arial"/>
          <w:color w:val="2C3E50"/>
          <w:sz w:val="22"/>
          <w:szCs w:val="22"/>
        </w:rPr>
        <w:t xml:space="preserve">Registration triggers an ADT A04 (Register a Patient) message that is broadcast to all downstream systems: lab, radiology, pharmacy, dietary, bed management, and the HIE.</w:t>
      </w:r>
    </w:p>
    <w:p>
      <w:pPr>
        <w:pStyle w:val="Heading3"/>
        <w:spacing w:before="240" w:after="120"/>
      </w:pPr>
      <w:r>
        <w:rPr>
          <w:rFonts w:ascii="Arial" w:cs="Arial" w:eastAsia="Arial" w:hAnsi="Arial"/>
          <w:b/>
          <w:bCs/>
          <w:color w:val="2980B9"/>
          <w:sz w:val="24"/>
          <w:szCs w:val="24"/>
        </w:rPr>
        <w:t xml:space="preserve">Scheduling</w:t>
      </w:r>
    </w:p>
    <w:p>
      <w:pPr>
        <w:pStyle w:val="ListParagraph"/>
        <w:numPr>
          <w:ilvl w:val="0"/>
          <w:numId w:val="2"/>
        </w:numPr>
        <w:spacing w:before="40" w:after="40" w:line="300"/>
      </w:pPr>
      <w:r>
        <w:rPr>
          <w:rFonts w:ascii="Arial" w:cs="Arial" w:eastAsia="Arial" w:hAnsi="Arial"/>
          <w:b/>
          <w:bCs/>
          <w:color w:val="2C3E50"/>
          <w:sz w:val="22"/>
          <w:szCs w:val="22"/>
        </w:rPr>
        <w:t xml:space="preserve">Appointment Scheduling: </w:t>
      </w:r>
      <w:r>
        <w:rPr>
          <w:rFonts w:ascii="Arial" w:cs="Arial" w:eastAsia="Arial" w:hAnsi="Arial"/>
          <w:color w:val="2C3E50"/>
          <w:sz w:val="22"/>
          <w:szCs w:val="22"/>
        </w:rPr>
        <w:t xml:space="preserve">Scheduling systems manage provider availability, room/equipment booking, and appointment types. SIU (Schedule Information Unsolicited) messages notify downstream systems of scheduled, rescheduled, and cancelled appointments.</w:t>
      </w:r>
    </w:p>
    <w:p>
      <w:pPr>
        <w:pStyle w:val="ListParagraph"/>
        <w:numPr>
          <w:ilvl w:val="0"/>
          <w:numId w:val="2"/>
        </w:numPr>
        <w:spacing w:before="40" w:after="40" w:line="300"/>
      </w:pPr>
      <w:r>
        <w:rPr>
          <w:rFonts w:ascii="Arial" w:cs="Arial" w:eastAsia="Arial" w:hAnsi="Arial"/>
          <w:b/>
          <w:bCs/>
          <w:color w:val="2C3E50"/>
          <w:sz w:val="22"/>
          <w:szCs w:val="22"/>
        </w:rPr>
        <w:t xml:space="preserve">Resource Coordination: </w:t>
      </w:r>
      <w:r>
        <w:rPr>
          <w:rFonts w:ascii="Arial" w:cs="Arial" w:eastAsia="Arial" w:hAnsi="Arial"/>
          <w:color w:val="2C3E50"/>
          <w:sz w:val="22"/>
          <w:szCs w:val="22"/>
        </w:rPr>
        <w:t xml:space="preserve">Complex procedures require coordinating multiple resources: surgeon availability, anesthesiologist, operating room, equipment, and pre-procedure lab work. This involves multiple system interactions.</w:t>
      </w:r>
    </w:p>
    <w:p>
      <w:pPr>
        <w:spacing w:before="120" w:after="120"/>
      </w:pPr>
    </w:p>
    <w:p>
      <w:pPr>
        <w:pStyle w:val="Heading2"/>
        <w:spacing w:before="300" w:after="160"/>
      </w:pPr>
      <w:r>
        <w:rPr>
          <w:rFonts w:ascii="Arial" w:cs="Arial" w:eastAsia="Arial" w:hAnsi="Arial"/>
          <w:b/>
          <w:bCs/>
          <w:color w:val="2E86C1"/>
          <w:sz w:val="28"/>
          <w:szCs w:val="28"/>
        </w:rPr>
        <w:t xml:space="preserve">2.2 Clinical Ordering Workflow</w:t>
      </w:r>
    </w:p>
    <w:p>
      <w:pPr>
        <w:spacing w:before="60" w:after="100" w:line="320"/>
      </w:pPr>
      <w:r>
        <w:rPr>
          <w:rFonts w:ascii="Arial" w:cs="Arial" w:eastAsia="Arial" w:hAnsi="Arial"/>
          <w:color w:val="2C3E50"/>
          <w:sz w:val="22"/>
          <w:szCs w:val="22"/>
        </w:rPr>
        <w:t xml:space="preserve">The ordering workflow is one of the most integration-intensive processes in healthcare. When a provider places an order, it must be transmitted to the performing system, tracked through execution, and results returned to the ordering provider.</w:t>
      </w:r>
    </w:p>
    <w:p>
      <w:pPr>
        <w:pStyle w:val="Heading3"/>
        <w:spacing w:before="240" w:after="120"/>
      </w:pPr>
      <w:r>
        <w:rPr>
          <w:rFonts w:ascii="Arial" w:cs="Arial" w:eastAsia="Arial" w:hAnsi="Arial"/>
          <w:b/>
          <w:bCs/>
          <w:color w:val="2980B9"/>
          <w:sz w:val="24"/>
          <w:szCs w:val="24"/>
        </w:rPr>
        <w:t xml:space="preserve">Order Entry (CPOE)</w:t>
      </w:r>
    </w:p>
    <w:p>
      <w:pPr>
        <w:spacing w:before="60" w:after="100" w:line="320"/>
      </w:pPr>
      <w:r>
        <w:rPr>
          <w:rFonts w:ascii="Arial" w:cs="Arial" w:eastAsia="Arial" w:hAnsi="Arial"/>
          <w:color w:val="2C3E50"/>
          <w:sz w:val="22"/>
          <w:szCs w:val="22"/>
        </w:rPr>
        <w:t xml:space="preserve">Computerized Physician Order Entry (CPOE) is the process by which providers enter medical orders electronically. This is a critical patient safety feature that enables clinical decision support (CDS) to check for drug interactions, allergies, duplicate orders, and dosing errors in real time.</w:t>
      </w:r>
    </w:p>
    <w:p>
      <w:pPr>
        <w:pStyle w:val="ListParagraph"/>
        <w:numPr>
          <w:ilvl w:val="0"/>
          <w:numId w:val="2"/>
        </w:numPr>
        <w:spacing w:before="40" w:after="40" w:line="300"/>
      </w:pPr>
      <w:r>
        <w:rPr>
          <w:rFonts w:ascii="Arial" w:cs="Arial" w:eastAsia="Arial" w:hAnsi="Arial"/>
          <w:b/>
          <w:bCs/>
          <w:color w:val="2C3E50"/>
          <w:sz w:val="22"/>
          <w:szCs w:val="22"/>
        </w:rPr>
        <w:t xml:space="preserve">Laboratory Orders: </w:t>
      </w:r>
      <w:r>
        <w:rPr>
          <w:rFonts w:ascii="Arial" w:cs="Arial" w:eastAsia="Arial" w:hAnsi="Arial"/>
          <w:color w:val="2C3E50"/>
          <w:sz w:val="22"/>
          <w:szCs w:val="22"/>
        </w:rPr>
        <w:t xml:space="preserve">Transmitted via HL7 v2 ORM (Order Message) or OML (Laboratory Order) to the Laboratory Information System (LIS). Includes order details (OBR segment), patient information (PID), provider (ORC), and clinical context.</w:t>
      </w:r>
    </w:p>
    <w:p>
      <w:pPr>
        <w:pStyle w:val="ListParagraph"/>
        <w:numPr>
          <w:ilvl w:val="0"/>
          <w:numId w:val="2"/>
        </w:numPr>
        <w:spacing w:before="40" w:after="40" w:line="300"/>
      </w:pPr>
      <w:r>
        <w:rPr>
          <w:rFonts w:ascii="Arial" w:cs="Arial" w:eastAsia="Arial" w:hAnsi="Arial"/>
          <w:b/>
          <w:bCs/>
          <w:color w:val="2C3E50"/>
          <w:sz w:val="22"/>
          <w:szCs w:val="22"/>
        </w:rPr>
        <w:t xml:space="preserve">Radiology/Imaging Orders: </w:t>
      </w:r>
      <w:r>
        <w:rPr>
          <w:rFonts w:ascii="Arial" w:cs="Arial" w:eastAsia="Arial" w:hAnsi="Arial"/>
          <w:color w:val="2C3E50"/>
          <w:sz w:val="22"/>
          <w:szCs w:val="22"/>
        </w:rPr>
        <w:t xml:space="preserve">Sent to the Radiology Information System (RIS) which manages scheduling, technologist workflow, and image routing. Orders include exam type, clinical indication, priority, and relevant clinical history.</w:t>
      </w:r>
    </w:p>
    <w:p>
      <w:pPr>
        <w:pStyle w:val="ListParagraph"/>
        <w:numPr>
          <w:ilvl w:val="0"/>
          <w:numId w:val="2"/>
        </w:numPr>
        <w:spacing w:before="40" w:after="40" w:line="300"/>
      </w:pPr>
      <w:r>
        <w:rPr>
          <w:rFonts w:ascii="Arial" w:cs="Arial" w:eastAsia="Arial" w:hAnsi="Arial"/>
          <w:b/>
          <w:bCs/>
          <w:color w:val="2C3E50"/>
          <w:sz w:val="22"/>
          <w:szCs w:val="22"/>
        </w:rPr>
        <w:t xml:space="preserve">Medication Orders: </w:t>
      </w:r>
      <w:r>
        <w:rPr>
          <w:rFonts w:ascii="Arial" w:cs="Arial" w:eastAsia="Arial" w:hAnsi="Arial"/>
          <w:color w:val="2C3E50"/>
          <w:sz w:val="22"/>
          <w:szCs w:val="22"/>
        </w:rPr>
        <w:t xml:space="preserve">Inpatient medication orders go to the pharmacy information system for verification by a pharmacist before dispensing. Outpatient prescriptions are transmitted to the retail pharmacy via NCPDP SCRIPT NewRx.</w:t>
      </w:r>
    </w:p>
    <w:p>
      <w:pPr>
        <w:pStyle w:val="ListParagraph"/>
        <w:numPr>
          <w:ilvl w:val="0"/>
          <w:numId w:val="2"/>
        </w:numPr>
        <w:spacing w:before="40" w:after="40" w:line="300"/>
      </w:pPr>
      <w:r>
        <w:rPr>
          <w:rFonts w:ascii="Arial" w:cs="Arial" w:eastAsia="Arial" w:hAnsi="Arial"/>
          <w:b/>
          <w:bCs/>
          <w:color w:val="2C3E50"/>
          <w:sz w:val="22"/>
          <w:szCs w:val="22"/>
        </w:rPr>
        <w:t xml:space="preserve">Procedure Orders: </w:t>
      </w:r>
      <w:r>
        <w:rPr>
          <w:rFonts w:ascii="Arial" w:cs="Arial" w:eastAsia="Arial" w:hAnsi="Arial"/>
          <w:color w:val="2C3E50"/>
          <w:sz w:val="22"/>
          <w:szCs w:val="22"/>
        </w:rPr>
        <w:t xml:space="preserve">Surgical and procedural orders involve scheduling, consent documentation, pre-procedure testing requirements, and equipment preparation.</w:t>
      </w:r>
    </w:p>
    <w:p>
      <w:pPr>
        <w:pStyle w:val="Heading3"/>
        <w:spacing w:before="240" w:after="120"/>
      </w:pPr>
      <w:r>
        <w:rPr>
          <w:rFonts w:ascii="Arial" w:cs="Arial" w:eastAsia="Arial" w:hAnsi="Arial"/>
          <w:b/>
          <w:bCs/>
          <w:color w:val="2980B9"/>
          <w:sz w:val="24"/>
          <w:szCs w:val="24"/>
        </w:rPr>
        <w:t xml:space="preserve">Order Fulfillment and Results</w:t>
      </w:r>
    </w:p>
    <w:p>
      <w:pPr>
        <w:pStyle w:val="ListParagraph"/>
        <w:numPr>
          <w:ilvl w:val="0"/>
          <w:numId w:val="2"/>
        </w:numPr>
        <w:spacing w:before="40" w:after="40" w:line="300"/>
      </w:pPr>
      <w:r>
        <w:rPr>
          <w:rFonts w:ascii="Arial" w:cs="Arial" w:eastAsia="Arial" w:hAnsi="Arial"/>
          <w:b/>
          <w:bCs/>
          <w:color w:val="2C3E50"/>
          <w:sz w:val="22"/>
          <w:szCs w:val="22"/>
        </w:rPr>
        <w:t xml:space="preserve">Specimen Collection and Processing: </w:t>
      </w:r>
      <w:r>
        <w:rPr>
          <w:rFonts w:ascii="Arial" w:cs="Arial" w:eastAsia="Arial" w:hAnsi="Arial"/>
          <w:color w:val="2C3E50"/>
          <w:sz w:val="22"/>
          <w:szCs w:val="22"/>
        </w:rPr>
        <w:t xml:space="preserve">For lab orders, specimen collection is tracked, barcode labels are printed, and specimens are logged into the LIS. Results are generated with reference ranges, flags for abnormal values, and interpretive comments.</w:t>
      </w:r>
    </w:p>
    <w:p>
      <w:pPr>
        <w:pStyle w:val="ListParagraph"/>
        <w:numPr>
          <w:ilvl w:val="0"/>
          <w:numId w:val="2"/>
        </w:numPr>
        <w:spacing w:before="40" w:after="40" w:line="300"/>
      </w:pPr>
      <w:r>
        <w:rPr>
          <w:rFonts w:ascii="Arial" w:cs="Arial" w:eastAsia="Arial" w:hAnsi="Arial"/>
          <w:b/>
          <w:bCs/>
          <w:color w:val="2C3E50"/>
          <w:sz w:val="22"/>
          <w:szCs w:val="22"/>
        </w:rPr>
        <w:t xml:space="preserve">Results Delivery: </w:t>
      </w:r>
      <w:r>
        <w:rPr>
          <w:rFonts w:ascii="Arial" w:cs="Arial" w:eastAsia="Arial" w:hAnsi="Arial"/>
          <w:color w:val="2C3E50"/>
          <w:sz w:val="22"/>
          <w:szCs w:val="22"/>
        </w:rPr>
        <w:t xml:space="preserve">Lab results return via HL7 v2 ORU (Observation Result Unsolicited) messages with OBX segments containing individual result values, units, reference ranges, and abnormal flags. Critical results trigger separate alert workflows.</w:t>
      </w:r>
    </w:p>
    <w:p>
      <w:pPr>
        <w:pStyle w:val="ListParagraph"/>
        <w:numPr>
          <w:ilvl w:val="0"/>
          <w:numId w:val="2"/>
        </w:numPr>
        <w:spacing w:before="40" w:after="40" w:line="300"/>
      </w:pPr>
      <w:r>
        <w:rPr>
          <w:rFonts w:ascii="Arial" w:cs="Arial" w:eastAsia="Arial" w:hAnsi="Arial"/>
          <w:b/>
          <w:bCs/>
          <w:color w:val="2C3E50"/>
          <w:sz w:val="22"/>
          <w:szCs w:val="22"/>
        </w:rPr>
        <w:t xml:space="preserve">Radiology Results: </w:t>
      </w:r>
      <w:r>
        <w:rPr>
          <w:rFonts w:ascii="Arial" w:cs="Arial" w:eastAsia="Arial" w:hAnsi="Arial"/>
          <w:color w:val="2C3E50"/>
          <w:sz w:val="22"/>
          <w:szCs w:val="22"/>
        </w:rPr>
        <w:t xml:space="preserve">Images stored in PACS via DICOM. Radiology reports generated in the RIS and delivered to the EHR via ORU messages or as CDA documents. Preliminary and final reports have different statuses.</w:t>
      </w:r>
    </w:p>
    <w:p>
      <w:pPr>
        <w:spacing w:before="120" w:after="120"/>
      </w:pPr>
    </w:p>
    <w:p>
      <w:pPr>
        <w:pStyle w:val="Heading2"/>
        <w:spacing w:before="300" w:after="160"/>
      </w:pPr>
      <w:r>
        <w:rPr>
          <w:rFonts w:ascii="Arial" w:cs="Arial" w:eastAsia="Arial" w:hAnsi="Arial"/>
          <w:b/>
          <w:bCs/>
          <w:color w:val="2E86C1"/>
          <w:sz w:val="28"/>
          <w:szCs w:val="28"/>
        </w:rPr>
        <w:t xml:space="preserve">2.3 Clinical Documentation</w:t>
      </w:r>
    </w:p>
    <w:p>
      <w:pPr>
        <w:spacing w:before="60" w:after="100" w:line="320"/>
      </w:pPr>
      <w:r>
        <w:rPr>
          <w:rFonts w:ascii="Arial" w:cs="Arial" w:eastAsia="Arial" w:hAnsi="Arial"/>
          <w:color w:val="2C3E50"/>
          <w:sz w:val="22"/>
          <w:szCs w:val="22"/>
        </w:rPr>
        <w:t xml:space="preserve">Clinical documentation captures the narrative and structured record of patient care. It serves multiple purposes: continuity of care, legal record, billing justification, quality measurement, and research.</w:t>
      </w:r>
    </w:p>
    <w:p>
      <w:pPr>
        <w:pStyle w:val="ListParagraph"/>
        <w:numPr>
          <w:ilvl w:val="0"/>
          <w:numId w:val="2"/>
        </w:numPr>
        <w:spacing w:before="40" w:after="40" w:line="300"/>
      </w:pPr>
      <w:r>
        <w:rPr>
          <w:rFonts w:ascii="Arial" w:cs="Arial" w:eastAsia="Arial" w:hAnsi="Arial"/>
          <w:b/>
          <w:bCs/>
          <w:color w:val="2C3E50"/>
          <w:sz w:val="22"/>
          <w:szCs w:val="22"/>
        </w:rPr>
        <w:t xml:space="preserve">Progress Notes: </w:t>
      </w:r>
      <w:r>
        <w:rPr>
          <w:rFonts w:ascii="Arial" w:cs="Arial" w:eastAsia="Arial" w:hAnsi="Arial"/>
          <w:color w:val="2C3E50"/>
          <w:sz w:val="22"/>
          <w:szCs w:val="22"/>
        </w:rPr>
        <w:t xml:space="preserve">Daily documentation by physicians, nurses, and other providers recording assessments, plans, and interventions.</w:t>
      </w:r>
    </w:p>
    <w:p>
      <w:pPr>
        <w:pStyle w:val="ListParagraph"/>
        <w:numPr>
          <w:ilvl w:val="0"/>
          <w:numId w:val="2"/>
        </w:numPr>
        <w:spacing w:before="40" w:after="40" w:line="300"/>
      </w:pPr>
      <w:r>
        <w:rPr>
          <w:rFonts w:ascii="Arial" w:cs="Arial" w:eastAsia="Arial" w:hAnsi="Arial"/>
          <w:b/>
          <w:bCs/>
          <w:color w:val="2C3E50"/>
          <w:sz w:val="22"/>
          <w:szCs w:val="22"/>
        </w:rPr>
        <w:t xml:space="preserve">History and Physical (H&amp;P): </w:t>
      </w:r>
      <w:r>
        <w:rPr>
          <w:rFonts w:ascii="Arial" w:cs="Arial" w:eastAsia="Arial" w:hAnsi="Arial"/>
          <w:color w:val="2C3E50"/>
          <w:sz w:val="22"/>
          <w:szCs w:val="22"/>
        </w:rPr>
        <w:t xml:space="preserve">Comprehensive document created at admission detailing the patient’s medical history, physical examination findings, and initial assessment and plan.</w:t>
      </w:r>
    </w:p>
    <w:p>
      <w:pPr>
        <w:pStyle w:val="ListParagraph"/>
        <w:numPr>
          <w:ilvl w:val="0"/>
          <w:numId w:val="2"/>
        </w:numPr>
        <w:spacing w:before="40" w:after="40" w:line="300"/>
      </w:pPr>
      <w:r>
        <w:rPr>
          <w:rFonts w:ascii="Arial" w:cs="Arial" w:eastAsia="Arial" w:hAnsi="Arial"/>
          <w:b/>
          <w:bCs/>
          <w:color w:val="2C3E50"/>
          <w:sz w:val="22"/>
          <w:szCs w:val="22"/>
        </w:rPr>
        <w:t xml:space="preserve">Operative Reports: </w:t>
      </w:r>
      <w:r>
        <w:rPr>
          <w:rFonts w:ascii="Arial" w:cs="Arial" w:eastAsia="Arial" w:hAnsi="Arial"/>
          <w:color w:val="2C3E50"/>
          <w:sz w:val="22"/>
          <w:szCs w:val="22"/>
        </w:rPr>
        <w:t xml:space="preserve">Detailed accounts of surgical procedures including findings, techniques used, and post-operative instructions.</w:t>
      </w:r>
    </w:p>
    <w:p>
      <w:pPr>
        <w:pStyle w:val="ListParagraph"/>
        <w:numPr>
          <w:ilvl w:val="0"/>
          <w:numId w:val="2"/>
        </w:numPr>
        <w:spacing w:before="40" w:after="40" w:line="300"/>
      </w:pPr>
      <w:r>
        <w:rPr>
          <w:rFonts w:ascii="Arial" w:cs="Arial" w:eastAsia="Arial" w:hAnsi="Arial"/>
          <w:b/>
          <w:bCs/>
          <w:color w:val="2C3E50"/>
          <w:sz w:val="22"/>
          <w:szCs w:val="22"/>
        </w:rPr>
        <w:t xml:space="preserve">Discharge Summaries: </w:t>
      </w:r>
      <w:r>
        <w:rPr>
          <w:rFonts w:ascii="Arial" w:cs="Arial" w:eastAsia="Arial" w:hAnsi="Arial"/>
          <w:color w:val="2C3E50"/>
          <w:sz w:val="22"/>
          <w:szCs w:val="22"/>
        </w:rPr>
        <w:t xml:space="preserve">Comprehensive documents summarizing the hospital stay, diagnoses, procedures, medications at discharge, and follow-up instructions. Often exchanged as C-CDA documents via HIEs.</w:t>
      </w:r>
    </w:p>
    <w:p>
      <w:pPr>
        <w:pStyle w:val="ListParagraph"/>
        <w:numPr>
          <w:ilvl w:val="0"/>
          <w:numId w:val="2"/>
        </w:numPr>
        <w:spacing w:before="40" w:after="40" w:line="300"/>
      </w:pPr>
      <w:r>
        <w:rPr>
          <w:rFonts w:ascii="Arial" w:cs="Arial" w:eastAsia="Arial" w:hAnsi="Arial"/>
          <w:b/>
          <w:bCs/>
          <w:color w:val="2C3E50"/>
          <w:sz w:val="22"/>
          <w:szCs w:val="22"/>
        </w:rPr>
        <w:t xml:space="preserve">Nursing Documentation: </w:t>
      </w:r>
      <w:r>
        <w:rPr>
          <w:rFonts w:ascii="Arial" w:cs="Arial" w:eastAsia="Arial" w:hAnsi="Arial"/>
          <w:color w:val="2C3E50"/>
          <w:sz w:val="22"/>
          <w:szCs w:val="22"/>
        </w:rPr>
        <w:t xml:space="preserve">Flowsheets, assessments, medication administration records (MARs), and care plans documented by nursing staff.</w:t>
      </w:r>
    </w:p>
    <w:p>
      <w:pPr>
        <w:spacing w:before="120" w:after="120"/>
      </w:pPr>
    </w:p>
    <w:p>
      <w:pPr>
        <w:pStyle w:val="Heading2"/>
        <w:spacing w:before="300" w:after="160"/>
      </w:pPr>
      <w:r>
        <w:rPr>
          <w:rFonts w:ascii="Arial" w:cs="Arial" w:eastAsia="Arial" w:hAnsi="Arial"/>
          <w:b/>
          <w:bCs/>
          <w:color w:val="2E86C1"/>
          <w:sz w:val="28"/>
          <w:szCs w:val="28"/>
        </w:rPr>
        <w:t xml:space="preserve">2.4 Discharge and Care Transitions</w:t>
      </w:r>
    </w:p>
    <w:p>
      <w:pPr>
        <w:spacing w:before="60" w:after="100" w:line="320"/>
      </w:pPr>
      <w:r>
        <w:rPr>
          <w:rFonts w:ascii="Arial" w:cs="Arial" w:eastAsia="Arial" w:hAnsi="Arial"/>
          <w:color w:val="2C3E50"/>
          <w:sz w:val="22"/>
          <w:szCs w:val="22"/>
        </w:rPr>
        <w:t xml:space="preserve">The discharge process is a critical juncture where data must flow accurately between multiple systems and organizations to ensure safe care transitions.</w:t>
      </w:r>
    </w:p>
    <w:p>
      <w:pPr>
        <w:pStyle w:val="ListParagraph"/>
        <w:numPr>
          <w:ilvl w:val="0"/>
          <w:numId w:val="2"/>
        </w:numPr>
        <w:spacing w:before="40" w:after="40" w:line="300"/>
      </w:pPr>
      <w:r>
        <w:rPr>
          <w:rFonts w:ascii="Arial" w:cs="Arial" w:eastAsia="Arial" w:hAnsi="Arial"/>
          <w:b/>
          <w:bCs/>
          <w:color w:val="2C3E50"/>
          <w:sz w:val="22"/>
          <w:szCs w:val="22"/>
        </w:rPr>
        <w:t xml:space="preserve">Discharge Order: </w:t>
      </w:r>
      <w:r>
        <w:rPr>
          <w:rFonts w:ascii="Arial" w:cs="Arial" w:eastAsia="Arial" w:hAnsi="Arial"/>
          <w:color w:val="2C3E50"/>
          <w:sz w:val="22"/>
          <w:szCs w:val="22"/>
        </w:rPr>
        <w:t xml:space="preserve">Triggers ADT A03 (Discharge) message broadcast to all systems.</w:t>
      </w:r>
    </w:p>
    <w:p>
      <w:pPr>
        <w:pStyle w:val="ListParagraph"/>
        <w:numPr>
          <w:ilvl w:val="0"/>
          <w:numId w:val="2"/>
        </w:numPr>
        <w:spacing w:before="40" w:after="40" w:line="300"/>
      </w:pPr>
      <w:r>
        <w:rPr>
          <w:rFonts w:ascii="Arial" w:cs="Arial" w:eastAsia="Arial" w:hAnsi="Arial"/>
          <w:b/>
          <w:bCs/>
          <w:color w:val="2C3E50"/>
          <w:sz w:val="22"/>
          <w:szCs w:val="22"/>
        </w:rPr>
        <w:t xml:space="preserve">Medication Reconciliation: </w:t>
      </w:r>
      <w:r>
        <w:rPr>
          <w:rFonts w:ascii="Arial" w:cs="Arial" w:eastAsia="Arial" w:hAnsi="Arial"/>
          <w:color w:val="2C3E50"/>
          <w:sz w:val="22"/>
          <w:szCs w:val="22"/>
        </w:rPr>
        <w:t xml:space="preserve">Comparing inpatient medications with pre-admission medications to create an accurate discharge medication list. Errors in this process are a leading cause of readmissions.</w:t>
      </w:r>
    </w:p>
    <w:p>
      <w:pPr>
        <w:pStyle w:val="ListParagraph"/>
        <w:numPr>
          <w:ilvl w:val="0"/>
          <w:numId w:val="2"/>
        </w:numPr>
        <w:spacing w:before="40" w:after="40" w:line="300"/>
      </w:pPr>
      <w:r>
        <w:rPr>
          <w:rFonts w:ascii="Arial" w:cs="Arial" w:eastAsia="Arial" w:hAnsi="Arial"/>
          <w:b/>
          <w:bCs/>
          <w:color w:val="2C3E50"/>
          <w:sz w:val="22"/>
          <w:szCs w:val="22"/>
        </w:rPr>
        <w:t xml:space="preserve">Discharge Summary Generation: </w:t>
      </w:r>
      <w:r>
        <w:rPr>
          <w:rFonts w:ascii="Arial" w:cs="Arial" w:eastAsia="Arial" w:hAnsi="Arial"/>
          <w:color w:val="2C3E50"/>
          <w:sz w:val="22"/>
          <w:szCs w:val="22"/>
        </w:rPr>
        <w:t xml:space="preserve">Compiled as a C-CDA document containing diagnoses, procedures, medications, allergies, follow-up appointments, and patient instructions.</w:t>
      </w:r>
    </w:p>
    <w:p>
      <w:pPr>
        <w:pStyle w:val="ListParagraph"/>
        <w:numPr>
          <w:ilvl w:val="0"/>
          <w:numId w:val="2"/>
        </w:numPr>
        <w:spacing w:before="40" w:after="40" w:line="300"/>
      </w:pPr>
      <w:r>
        <w:rPr>
          <w:rFonts w:ascii="Arial" w:cs="Arial" w:eastAsia="Arial" w:hAnsi="Arial"/>
          <w:b/>
          <w:bCs/>
          <w:color w:val="2C3E50"/>
          <w:sz w:val="22"/>
          <w:szCs w:val="22"/>
        </w:rPr>
        <w:t xml:space="preserve">Care Team Notification: </w:t>
      </w:r>
      <w:r>
        <w:rPr>
          <w:rFonts w:ascii="Arial" w:cs="Arial" w:eastAsia="Arial" w:hAnsi="Arial"/>
          <w:color w:val="2C3E50"/>
          <w:sz w:val="22"/>
          <w:szCs w:val="22"/>
        </w:rPr>
        <w:t xml:space="preserve">PCP, specialists, and care coordinators notified via ADT notifications through the HIE. CMS requires certain providers to send electronic ADT notifications under the CMS Interoperability and Patient Access Rule.</w:t>
      </w:r>
    </w:p>
    <w:p>
      <w:pPr>
        <w:pStyle w:val="ListParagraph"/>
        <w:numPr>
          <w:ilvl w:val="0"/>
          <w:numId w:val="2"/>
        </w:numPr>
        <w:spacing w:before="40" w:after="40" w:line="300"/>
      </w:pPr>
      <w:r>
        <w:rPr>
          <w:rFonts w:ascii="Arial" w:cs="Arial" w:eastAsia="Arial" w:hAnsi="Arial"/>
          <w:b/>
          <w:bCs/>
          <w:color w:val="2C3E50"/>
          <w:sz w:val="22"/>
          <w:szCs w:val="22"/>
        </w:rPr>
        <w:t xml:space="preserve">Post-Acute Referral: </w:t>
      </w:r>
      <w:r>
        <w:rPr>
          <w:rFonts w:ascii="Arial" w:cs="Arial" w:eastAsia="Arial" w:hAnsi="Arial"/>
          <w:color w:val="2C3E50"/>
          <w:sz w:val="22"/>
          <w:szCs w:val="22"/>
        </w:rPr>
        <w:t xml:space="preserve">If the patient is being transferred to a SNF, home health, or rehabilitation facility, a comprehensive care summary must be transmitted to the receiving organization.</w:t>
      </w:r>
    </w:p>
    <w:p>
      <w:pPr>
        <w:spacing w:before="120" w:after="120"/>
      </w:pPr>
    </w:p>
    <w:p>
      <w:pPr>
        <w:pStyle w:val="Heading2"/>
        <w:spacing w:before="300" w:after="160"/>
      </w:pPr>
      <w:r>
        <w:rPr>
          <w:rFonts w:ascii="Arial" w:cs="Arial" w:eastAsia="Arial" w:hAnsi="Arial"/>
          <w:b/>
          <w:bCs/>
          <w:color w:val="2E86C1"/>
          <w:sz w:val="28"/>
          <w:szCs w:val="28"/>
        </w:rPr>
        <w:t xml:space="preserve">2.5 Billing and Coding Workflow</w:t>
      </w:r>
    </w:p>
    <w:p>
      <w:pPr>
        <w:spacing w:before="60" w:after="100" w:line="320"/>
      </w:pPr>
      <w:r>
        <w:rPr>
          <w:rFonts w:ascii="Arial" w:cs="Arial" w:eastAsia="Arial" w:hAnsi="Arial"/>
          <w:color w:val="2C3E50"/>
          <w:sz w:val="22"/>
          <w:szCs w:val="22"/>
        </w:rPr>
        <w:t xml:space="preserve">After clinical care is delivered, the billing workflow translates clinical activities into financial transactions. This workflow is covered in greater depth in the Revenue Cycle Management section but its connection to clinical workflows is essential to understand.</w:t>
      </w:r>
    </w:p>
    <w:p>
      <w:pPr>
        <w:pStyle w:val="ListParagraph"/>
        <w:numPr>
          <w:ilvl w:val="0"/>
          <w:numId w:val="2"/>
        </w:numPr>
        <w:spacing w:before="40" w:after="40" w:line="300"/>
      </w:pPr>
      <w:r>
        <w:rPr>
          <w:rFonts w:ascii="Arial" w:cs="Arial" w:eastAsia="Arial" w:hAnsi="Arial"/>
          <w:b/>
          <w:bCs/>
          <w:color w:val="2C3E50"/>
          <w:sz w:val="22"/>
          <w:szCs w:val="22"/>
        </w:rPr>
        <w:t xml:space="preserve">Charge Capture: </w:t>
      </w:r>
      <w:r>
        <w:rPr>
          <w:rFonts w:ascii="Arial" w:cs="Arial" w:eastAsia="Arial" w:hAnsi="Arial"/>
          <w:color w:val="2C3E50"/>
          <w:sz w:val="22"/>
          <w:szCs w:val="22"/>
        </w:rPr>
        <w:t xml:space="preserve">Clinical activities (procedures, medications, supplies) are translated into billable charges with appropriate CPT, HCPCS, and revenue codes.</w:t>
      </w:r>
    </w:p>
    <w:p>
      <w:pPr>
        <w:pStyle w:val="ListParagraph"/>
        <w:numPr>
          <w:ilvl w:val="0"/>
          <w:numId w:val="2"/>
        </w:numPr>
        <w:spacing w:before="40" w:after="40" w:line="300"/>
      </w:pPr>
      <w:r>
        <w:rPr>
          <w:rFonts w:ascii="Arial" w:cs="Arial" w:eastAsia="Arial" w:hAnsi="Arial"/>
          <w:b/>
          <w:bCs/>
          <w:color w:val="2C3E50"/>
          <w:sz w:val="22"/>
          <w:szCs w:val="22"/>
        </w:rPr>
        <w:t xml:space="preserve">Clinical Coding: </w:t>
      </w:r>
      <w:r>
        <w:rPr>
          <w:rFonts w:ascii="Arial" w:cs="Arial" w:eastAsia="Arial" w:hAnsi="Arial"/>
          <w:color w:val="2C3E50"/>
          <w:sz w:val="22"/>
          <w:szCs w:val="22"/>
        </w:rPr>
        <w:t xml:space="preserve">Certified coders review clinical documentation and assign ICD-10-CM/PCS diagnosis and procedure codes. Coding accuracy directly impacts reimbursement.</w:t>
      </w:r>
    </w:p>
    <w:p>
      <w:pPr>
        <w:pStyle w:val="ListParagraph"/>
        <w:numPr>
          <w:ilvl w:val="0"/>
          <w:numId w:val="2"/>
        </w:numPr>
        <w:spacing w:before="40" w:after="40" w:line="300"/>
      </w:pPr>
      <w:r>
        <w:rPr>
          <w:rFonts w:ascii="Arial" w:cs="Arial" w:eastAsia="Arial" w:hAnsi="Arial"/>
          <w:b/>
          <w:bCs/>
          <w:color w:val="2C3E50"/>
          <w:sz w:val="22"/>
          <w:szCs w:val="22"/>
        </w:rPr>
        <w:t xml:space="preserve">DFT Messages: </w:t>
      </w:r>
      <w:r>
        <w:rPr>
          <w:rFonts w:ascii="Arial" w:cs="Arial" w:eastAsia="Arial" w:hAnsi="Arial"/>
          <w:color w:val="2C3E50"/>
          <w:sz w:val="22"/>
          <w:szCs w:val="22"/>
        </w:rPr>
        <w:t xml:space="preserve">Detailed Financial Transaction (DFT) messages in HL7 v2 transmit charge information from clinical systems to the billing system.</w:t>
      </w:r>
    </w:p>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3. Medical Terminology and Coding Systems</w:t>
      </w:r>
    </w:p>
    <w:p>
      <w:pPr>
        <w:spacing w:before="60" w:after="100" w:line="320"/>
      </w:pPr>
      <w:r>
        <w:rPr>
          <w:rFonts w:ascii="Arial" w:cs="Arial" w:eastAsia="Arial" w:hAnsi="Arial"/>
          <w:color w:val="2C3E50"/>
          <w:sz w:val="22"/>
          <w:szCs w:val="22"/>
        </w:rPr>
        <w:t xml:space="preserve">Medical terminology and standardized coding systems are the language of healthcare data. Without a solid understanding of how clinical concepts are represented, coded, and classified, an integration professional cannot accurately map data between systems, validate interface outputs, or troubleshoot data quality issues.</w:t>
      </w:r>
    </w:p>
    <w:p>
      <w:pPr>
        <w:pStyle w:val="Heading2"/>
        <w:spacing w:before="300" w:after="160"/>
      </w:pPr>
      <w:r>
        <w:rPr>
          <w:rFonts w:ascii="Arial" w:cs="Arial" w:eastAsia="Arial" w:hAnsi="Arial"/>
          <w:b/>
          <w:bCs/>
          <w:color w:val="2E86C1"/>
          <w:sz w:val="28"/>
          <w:szCs w:val="28"/>
        </w:rPr>
        <w:t xml:space="preserve">3.1 Foundational Medical Terminology</w:t>
      </w:r>
    </w:p>
    <w:p>
      <w:pPr>
        <w:spacing w:before="60" w:after="100" w:line="320"/>
      </w:pPr>
      <w:r>
        <w:rPr>
          <w:rFonts w:ascii="Arial" w:cs="Arial" w:eastAsia="Arial" w:hAnsi="Arial"/>
          <w:color w:val="2C3E50"/>
          <w:sz w:val="22"/>
          <w:szCs w:val="22"/>
        </w:rPr>
        <w:t xml:space="preserve">Healthcare professionals use a precise vocabulary derived from Greek and Latin roots. Integration professionals do not need to become clinicians, but they must be able to read and understand the medical terms that flow through their interfaces.</w:t>
      </w:r>
    </w:p>
    <w:p>
      <w:pPr>
        <w:pStyle w:val="Heading3"/>
        <w:spacing w:before="240" w:after="120"/>
      </w:pPr>
      <w:r>
        <w:rPr>
          <w:rFonts w:ascii="Arial" w:cs="Arial" w:eastAsia="Arial" w:hAnsi="Arial"/>
          <w:b/>
          <w:bCs/>
          <w:color w:val="2980B9"/>
          <w:sz w:val="24"/>
          <w:szCs w:val="24"/>
        </w:rPr>
        <w:t xml:space="preserve">Word Construction</w:t>
      </w:r>
    </w:p>
    <w:p>
      <w:pPr>
        <w:spacing w:before="60" w:after="100" w:line="320"/>
      </w:pPr>
      <w:r>
        <w:rPr>
          <w:rFonts w:ascii="Arial" w:cs="Arial" w:eastAsia="Arial" w:hAnsi="Arial"/>
          <w:color w:val="2C3E50"/>
          <w:sz w:val="22"/>
          <w:szCs w:val="22"/>
        </w:rPr>
        <w:t xml:space="preserve">Medical terms are constructed from building blocks that, once understood, allow you to decode thousands of terms:</w:t>
      </w:r>
    </w:p>
    <w:p>
      <w:pPr>
        <w:pStyle w:val="ListParagraph"/>
        <w:numPr>
          <w:ilvl w:val="0"/>
          <w:numId w:val="2"/>
        </w:numPr>
        <w:spacing w:before="40" w:after="40" w:line="300"/>
      </w:pPr>
      <w:r>
        <w:rPr>
          <w:rFonts w:ascii="Arial" w:cs="Arial" w:eastAsia="Arial" w:hAnsi="Arial"/>
          <w:b/>
          <w:bCs/>
          <w:color w:val="2C3E50"/>
          <w:sz w:val="22"/>
          <w:szCs w:val="22"/>
        </w:rPr>
        <w:t xml:space="preserve">Prefixes: </w:t>
      </w:r>
      <w:r>
        <w:rPr>
          <w:rFonts w:ascii="Arial" w:cs="Arial" w:eastAsia="Arial" w:hAnsi="Arial"/>
          <w:color w:val="2C3E50"/>
          <w:sz w:val="22"/>
          <w:szCs w:val="22"/>
        </w:rPr>
        <w:t xml:space="preserve">Indicate location, number, or status. Examples: hyper- (excessive), hypo- (deficient), tachy- (fast), brady- (slow), pre- (before), post- (after), bi- (two), poly- (many).</w:t>
      </w:r>
    </w:p>
    <w:p>
      <w:pPr>
        <w:pStyle w:val="ListParagraph"/>
        <w:numPr>
          <w:ilvl w:val="0"/>
          <w:numId w:val="2"/>
        </w:numPr>
        <w:spacing w:before="40" w:after="40" w:line="300"/>
      </w:pPr>
      <w:r>
        <w:rPr>
          <w:rFonts w:ascii="Arial" w:cs="Arial" w:eastAsia="Arial" w:hAnsi="Arial"/>
          <w:b/>
          <w:bCs/>
          <w:color w:val="2C3E50"/>
          <w:sz w:val="22"/>
          <w:szCs w:val="22"/>
        </w:rPr>
        <w:t xml:space="preserve">Root Words: </w:t>
      </w:r>
      <w:r>
        <w:rPr>
          <w:rFonts w:ascii="Arial" w:cs="Arial" w:eastAsia="Arial" w:hAnsi="Arial"/>
          <w:color w:val="2C3E50"/>
          <w:sz w:val="22"/>
          <w:szCs w:val="22"/>
        </w:rPr>
        <w:t xml:space="preserve">Indicate the body part or system. Examples: cardi- (heart), hepat- (liver), nephr- (kidney), neur- (nerve), gastr- (stomach), pulmon- (lung), hem-/hemat- (blood).</w:t>
      </w:r>
    </w:p>
    <w:p>
      <w:pPr>
        <w:pStyle w:val="ListParagraph"/>
        <w:numPr>
          <w:ilvl w:val="0"/>
          <w:numId w:val="2"/>
        </w:numPr>
        <w:spacing w:before="40" w:after="40" w:line="300"/>
      </w:pPr>
      <w:r>
        <w:rPr>
          <w:rFonts w:ascii="Arial" w:cs="Arial" w:eastAsia="Arial" w:hAnsi="Arial"/>
          <w:b/>
          <w:bCs/>
          <w:color w:val="2C3E50"/>
          <w:sz w:val="22"/>
          <w:szCs w:val="22"/>
        </w:rPr>
        <w:t xml:space="preserve">Suffixes: </w:t>
      </w:r>
      <w:r>
        <w:rPr>
          <w:rFonts w:ascii="Arial" w:cs="Arial" w:eastAsia="Arial" w:hAnsi="Arial"/>
          <w:color w:val="2C3E50"/>
          <w:sz w:val="22"/>
          <w:szCs w:val="22"/>
        </w:rPr>
        <w:t xml:space="preserve">Indicate the condition, procedure, or test. Examples: -itis (inflammation), -ectomy (surgical removal), -osis (abnormal condition), -emia (blood condition), -graphy (imaging), -scopy (visual examination).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Practical Example</w:t>
            </w:r>
          </w:p>
          <w:p>
            <w:pPr>
              <w:spacing w:before="40"/>
            </w:pPr>
            <w:r>
              <w:rPr>
                <w:rFonts w:ascii="Arial" w:cs="Arial" w:eastAsia="Arial" w:hAnsi="Arial"/>
                <w:color w:val="2C3E50"/>
                <w:sz w:val="20"/>
                <w:szCs w:val="20"/>
              </w:rPr>
              <w:t xml:space="preserve">The term 'cholecystectomy' breaks down as: chole- (bile/gallbladder) + cyst- (bladder/sac) + -ectomy (surgical removal) = surgical removal of the gallbladder. Seeing this term in an OBR segment or Procedure resource, an integration engineer can understand the clinical context.</w:t>
            </w:r>
          </w:p>
        </w:tc>
      </w:tr>
    </w:tbl>
    <w:p>
      <w:pPr>
        <w:spacing w:before="120" w:after="120"/>
      </w:pPr>
    </w:p>
    <w:p>
      <w:pPr>
        <w:pStyle w:val="Heading2"/>
        <w:spacing w:before="300" w:after="160"/>
      </w:pPr>
      <w:r>
        <w:rPr>
          <w:rFonts w:ascii="Arial" w:cs="Arial" w:eastAsia="Arial" w:hAnsi="Arial"/>
          <w:b/>
          <w:bCs/>
          <w:color w:val="2E86C1"/>
          <w:sz w:val="28"/>
          <w:szCs w:val="28"/>
        </w:rPr>
        <w:t xml:space="preserve">3.2 Major Healthcare Coding Systems</w:t>
      </w:r>
    </w:p>
    <w:p>
      <w:pPr>
        <w:spacing w:before="60" w:after="100" w:line="320"/>
      </w:pPr>
      <w:r>
        <w:rPr>
          <w:rFonts w:ascii="Arial" w:cs="Arial" w:eastAsia="Arial" w:hAnsi="Arial"/>
          <w:color w:val="2C3E50"/>
          <w:sz w:val="22"/>
          <w:szCs w:val="22"/>
        </w:rPr>
        <w:t xml:space="preserve">Standardized coding systems transform free-text clinical concepts into structured, computable data. Integration architects must know which coding system to use for each type of clinical data, how to validate codes in interfaces, and how to map between systems.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200"/>
        <w:gridCol w:w="24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Coding System</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ICD-10-CM</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International Classification of Diseases, 10th Revision, Clinical Modification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Diagnosis coding for morbidity reporting and billing</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E11.65 — Type 2 diabetes with hyperglycemia</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ICD-10-PCS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ICD-10 Procedure Coding System</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Inpatient procedure coding</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0DBN4ZZ — Excision of sigmoid colon, percutaneous endoscopic</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CPT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Current Procedural Terminology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Outpatient/physician procedure and service coding (AMA)</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99213 — Office visit, established patient, low complexity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HCPCS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Healthcare Common Procedure Coding System</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Supplies, equipment, drugs, non-physician services (CMS)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J0129 — Abatacept injection, 10 mg</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SNOMED CT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Systematized Nomenclature of Medicine — Clinical Terms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Clinical terminology for EHR documentation and clinical decision support</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73211009 — Diabetes mellitus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LOINC</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Logical Observation Identifiers Names and Codes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Laboratory tests, clinical observations, vital signs, and documents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2093-3 — Cholesterol [Mass/volume] in Serum or Plasma</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RxNorm</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RxNorm (NLM)</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Normalized drug names linking clinical drugs to ingredients and dose forms</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860975 — Metformin 500 MG Oral Tablet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NDC</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National Drug Code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FDA drug product identifier (labeler, product, package)</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0069-3770-30</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CVX</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CDC Vaccine Code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Vaccine product identification for immunization registries</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208 — COVID-19 Pfizer-BioNTech</w:t>
            </w:r>
          </w:p>
        </w:tc>
      </w:tr>
    </w:tbl>
    <w:p>
      <w:pPr>
        <w:spacing w:before="120" w:after="120"/>
      </w:pPr>
    </w:p>
    <w:p>
      <w:pPr>
        <w:pStyle w:val="Heading3"/>
        <w:spacing w:before="240" w:after="120"/>
      </w:pPr>
      <w:r>
        <w:rPr>
          <w:rFonts w:ascii="Arial" w:cs="Arial" w:eastAsia="Arial" w:hAnsi="Arial"/>
          <w:b/>
          <w:bCs/>
          <w:color w:val="2980B9"/>
          <w:sz w:val="24"/>
          <w:szCs w:val="24"/>
        </w:rPr>
        <w:t xml:space="preserve">ICD-10-CM/PCS (Diagnosis and Procedure Codes)</w:t>
      </w:r>
    </w:p>
    <w:p>
      <w:pPr>
        <w:spacing w:before="60" w:after="100" w:line="320"/>
      </w:pPr>
      <w:r>
        <w:rPr>
          <w:rFonts w:ascii="Arial" w:cs="Arial" w:eastAsia="Arial" w:hAnsi="Arial"/>
          <w:color w:val="2C3E50"/>
          <w:sz w:val="22"/>
          <w:szCs w:val="22"/>
        </w:rPr>
        <w:t xml:space="preserve">ICD-10 is the foundation of healthcare billing and clinical classification. ICD-10-CM codes are used on every claim submitted to payers. The system contains over 70,000 diagnosis codes with a hierarchical structure.</w:t>
      </w:r>
    </w:p>
    <w:p>
      <w:pPr>
        <w:pStyle w:val="ListParagraph"/>
        <w:numPr>
          <w:ilvl w:val="0"/>
          <w:numId w:val="2"/>
        </w:numPr>
        <w:spacing w:before="40" w:after="40" w:line="300"/>
      </w:pPr>
      <w:r>
        <w:rPr>
          <w:rFonts w:ascii="Arial" w:cs="Arial" w:eastAsia="Arial" w:hAnsi="Arial"/>
          <w:b/>
          <w:bCs/>
          <w:color w:val="2C3E50"/>
          <w:sz w:val="22"/>
          <w:szCs w:val="22"/>
        </w:rPr>
        <w:t xml:space="preserve">Structure: </w:t>
      </w:r>
      <w:r>
        <w:rPr>
          <w:rFonts w:ascii="Arial" w:cs="Arial" w:eastAsia="Arial" w:hAnsi="Arial"/>
          <w:color w:val="2C3E50"/>
          <w:sz w:val="22"/>
          <w:szCs w:val="22"/>
        </w:rPr>
        <w:t xml:space="preserve">3-7 characters. First character is alpha (A-Z except U), followed by digits. A decimal point follows the third character. Example: S72.001A (Fracture of unspecified part of neck of right femur, initial encounter).</w:t>
      </w:r>
    </w:p>
    <w:p>
      <w:pPr>
        <w:pStyle w:val="ListParagraph"/>
        <w:numPr>
          <w:ilvl w:val="0"/>
          <w:numId w:val="2"/>
        </w:numPr>
        <w:spacing w:before="40" w:after="40" w:line="30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ICD-10 codes appear in DG1 segments of HL7 v2 messages, Condition resources in FHIR, and as principal and secondary diagnoses on X12 837 claims. Incorrect codes cause claim denials.</w:t>
      </w:r>
    </w:p>
    <w:p>
      <w:pPr>
        <w:pStyle w:val="Heading3"/>
        <w:spacing w:before="240" w:after="120"/>
      </w:pPr>
      <w:r>
        <w:rPr>
          <w:rFonts w:ascii="Arial" w:cs="Arial" w:eastAsia="Arial" w:hAnsi="Arial"/>
          <w:b/>
          <w:bCs/>
          <w:color w:val="2980B9"/>
          <w:sz w:val="24"/>
          <w:szCs w:val="24"/>
        </w:rPr>
        <w:t xml:space="preserve">SNOMED CT</w:t>
      </w:r>
    </w:p>
    <w:p>
      <w:pPr>
        <w:spacing w:before="60" w:after="100" w:line="320"/>
      </w:pPr>
      <w:r>
        <w:rPr>
          <w:rFonts w:ascii="Arial" w:cs="Arial" w:eastAsia="Arial" w:hAnsi="Arial"/>
          <w:color w:val="2C3E50"/>
          <w:sz w:val="22"/>
          <w:szCs w:val="22"/>
        </w:rPr>
        <w:t xml:space="preserve">SNOMED CT is the most comprehensive clinical terminology system, containing over 350,000 concepts organized in a polyhierarchy. Unlike ICD-10 (which is primarily for billing), SNOMED CT is designed for clinical documentation and decision support.</w:t>
      </w:r>
    </w:p>
    <w:p>
      <w:pPr>
        <w:pStyle w:val="ListParagraph"/>
        <w:numPr>
          <w:ilvl w:val="0"/>
          <w:numId w:val="2"/>
        </w:numPr>
        <w:spacing w:before="40" w:after="40" w:line="300"/>
      </w:pPr>
      <w:r>
        <w:rPr>
          <w:rFonts w:ascii="Arial" w:cs="Arial" w:eastAsia="Arial" w:hAnsi="Arial"/>
          <w:b/>
          <w:bCs/>
          <w:color w:val="2C3E50"/>
          <w:sz w:val="22"/>
          <w:szCs w:val="22"/>
        </w:rPr>
        <w:t xml:space="preserve">Structure: </w:t>
      </w:r>
      <w:r>
        <w:rPr>
          <w:rFonts w:ascii="Arial" w:cs="Arial" w:eastAsia="Arial" w:hAnsi="Arial"/>
          <w:color w:val="2C3E50"/>
          <w:sz w:val="22"/>
          <w:szCs w:val="22"/>
        </w:rPr>
        <w:t xml:space="preserve">Numeric concept IDs (e.g., 73211009 for Diabetes mellitus) with descriptions, relationships, and reference sets. Concepts have IS-A hierarchical relationships enabling clinical reasoning.</w:t>
      </w:r>
    </w:p>
    <w:p>
      <w:pPr>
        <w:pStyle w:val="ListParagraph"/>
        <w:numPr>
          <w:ilvl w:val="0"/>
          <w:numId w:val="2"/>
        </w:numPr>
        <w:spacing w:before="40" w:after="40" w:line="30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SNOMED CT appears in OBX segments, FHIR Condition.code, and C-CDA entries. Mapping between SNOMED CT and ICD-10 is a common integration challenge (using SNOMED CT to ICD-10 maps maintained by NLM).</w:t>
      </w:r>
    </w:p>
    <w:p>
      <w:pPr>
        <w:pStyle w:val="Heading3"/>
        <w:spacing w:before="240" w:after="120"/>
      </w:pPr>
      <w:r>
        <w:rPr>
          <w:rFonts w:ascii="Arial" w:cs="Arial" w:eastAsia="Arial" w:hAnsi="Arial"/>
          <w:b/>
          <w:bCs/>
          <w:color w:val="2980B9"/>
          <w:sz w:val="24"/>
          <w:szCs w:val="24"/>
        </w:rPr>
        <w:t xml:space="preserve">LOINC</w:t>
      </w:r>
    </w:p>
    <w:p>
      <w:pPr>
        <w:spacing w:before="60" w:after="100" w:line="320"/>
      </w:pPr>
      <w:r>
        <w:rPr>
          <w:rFonts w:ascii="Arial" w:cs="Arial" w:eastAsia="Arial" w:hAnsi="Arial"/>
          <w:color w:val="2C3E50"/>
          <w:sz w:val="22"/>
          <w:szCs w:val="22"/>
        </w:rPr>
        <w:t xml:space="preserve">LOINC provides universal identifiers for laboratory tests and clinical observations. Without LOINC, the same lab test may have different local codes in every hospital, making data aggregation and exchange impossible.</w:t>
      </w:r>
    </w:p>
    <w:p>
      <w:pPr>
        <w:pStyle w:val="ListParagraph"/>
        <w:numPr>
          <w:ilvl w:val="0"/>
          <w:numId w:val="2"/>
        </w:numPr>
        <w:spacing w:before="40" w:after="40" w:line="300"/>
      </w:pPr>
      <w:r>
        <w:rPr>
          <w:rFonts w:ascii="Arial" w:cs="Arial" w:eastAsia="Arial" w:hAnsi="Arial"/>
          <w:b/>
          <w:bCs/>
          <w:color w:val="2C3E50"/>
          <w:sz w:val="22"/>
          <w:szCs w:val="22"/>
        </w:rPr>
        <w:t xml:space="preserve">Structure: </w:t>
      </w:r>
      <w:r>
        <w:rPr>
          <w:rFonts w:ascii="Arial" w:cs="Arial" w:eastAsia="Arial" w:hAnsi="Arial"/>
          <w:color w:val="2C3E50"/>
          <w:sz w:val="22"/>
          <w:szCs w:val="22"/>
        </w:rPr>
        <w:t xml:space="preserve">Numeric codes with six axes: component, property, time, system, scale, and method. Example: 2093-3 (Cholesterol, mass concentration, point in time, serum/plasma, quantitative).</w:t>
      </w:r>
    </w:p>
    <w:p>
      <w:pPr>
        <w:pStyle w:val="ListParagraph"/>
        <w:numPr>
          <w:ilvl w:val="0"/>
          <w:numId w:val="2"/>
        </w:numPr>
        <w:spacing w:before="40" w:after="40" w:line="30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LOINC codes are essential in OBX-3 (Observation Identifier) in HL7 v2 ORU messages and Observation.code in FHIR. ONC certification requires LOINC for lab results.</w:t>
      </w:r>
    </w:p>
    <w:p>
      <w:pPr>
        <w:pStyle w:val="Heading3"/>
        <w:spacing w:before="240" w:after="120"/>
      </w:pPr>
      <w:r>
        <w:rPr>
          <w:rFonts w:ascii="Arial" w:cs="Arial" w:eastAsia="Arial" w:hAnsi="Arial"/>
          <w:b/>
          <w:bCs/>
          <w:color w:val="2980B9"/>
          <w:sz w:val="24"/>
          <w:szCs w:val="24"/>
        </w:rPr>
        <w:t xml:space="preserve">RxNorm</w:t>
      </w:r>
    </w:p>
    <w:p>
      <w:pPr>
        <w:spacing w:before="60" w:after="100" w:line="320"/>
      </w:pPr>
      <w:r>
        <w:rPr>
          <w:rFonts w:ascii="Arial" w:cs="Arial" w:eastAsia="Arial" w:hAnsi="Arial"/>
          <w:color w:val="2C3E50"/>
          <w:sz w:val="22"/>
          <w:szCs w:val="22"/>
        </w:rPr>
        <w:t xml:space="preserve">RxNorm is the National Library of Medicine’s normalized naming system for clinical drugs. It connects the various names used for a single drug (brand names, generic names, ingredient names) into a unified concept.</w:t>
      </w:r>
    </w:p>
    <w:p>
      <w:pPr>
        <w:pStyle w:val="ListParagraph"/>
        <w:numPr>
          <w:ilvl w:val="0"/>
          <w:numId w:val="2"/>
        </w:numPr>
        <w:spacing w:before="40" w:after="40" w:line="300"/>
      </w:pPr>
      <w:r>
        <w:rPr>
          <w:rFonts w:ascii="Arial" w:cs="Arial" w:eastAsia="Arial" w:hAnsi="Arial"/>
          <w:b/>
          <w:bCs/>
          <w:color w:val="2C3E50"/>
          <w:sz w:val="22"/>
          <w:szCs w:val="22"/>
        </w:rPr>
        <w:t xml:space="preserve">Term Types: </w:t>
      </w:r>
      <w:r>
        <w:rPr>
          <w:rFonts w:ascii="Arial" w:cs="Arial" w:eastAsia="Arial" w:hAnsi="Arial"/>
          <w:color w:val="2C3E50"/>
          <w:sz w:val="22"/>
          <w:szCs w:val="22"/>
        </w:rPr>
        <w:t xml:space="preserve">IN (Ingredient), SCD (Semantic Clinical Drug), SBD (Semantic Branded Drug), GPCK (Generic Pack), BPCK (Branded Pack). Each provides a different level of specificity.</w:t>
      </w:r>
    </w:p>
    <w:p>
      <w:pPr>
        <w:pStyle w:val="ListParagraph"/>
        <w:numPr>
          <w:ilvl w:val="0"/>
          <w:numId w:val="2"/>
        </w:numPr>
        <w:spacing w:before="40" w:after="40" w:line="300"/>
      </w:pPr>
      <w:r>
        <w:rPr>
          <w:rFonts w:ascii="Arial" w:cs="Arial" w:eastAsia="Arial" w:hAnsi="Arial"/>
          <w:b/>
          <w:bCs/>
          <w:color w:val="2C3E50"/>
          <w:sz w:val="22"/>
          <w:szCs w:val="22"/>
        </w:rPr>
        <w:t xml:space="preserve">Integration Impact: </w:t>
      </w:r>
      <w:r>
        <w:rPr>
          <w:rFonts w:ascii="Arial" w:cs="Arial" w:eastAsia="Arial" w:hAnsi="Arial"/>
          <w:color w:val="2C3E50"/>
          <w:sz w:val="22"/>
          <w:szCs w:val="22"/>
        </w:rPr>
        <w:t xml:space="preserve">RxNorm codes are used in MedicationRequest resources in FHIR, RXE segments in HL7 v2, and are required by ONC certification for medication data. Drug-drug interaction checking relies on RxNorm ingredient mapping.</w:t>
      </w:r>
    </w:p>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4. Healthcare Regulations</w:t>
      </w:r>
    </w:p>
    <w:p>
      <w:pPr>
        <w:spacing w:before="60" w:after="100" w:line="320"/>
      </w:pPr>
      <w:r>
        <w:rPr>
          <w:rFonts w:ascii="Arial" w:cs="Arial" w:eastAsia="Arial" w:hAnsi="Arial"/>
          <w:color w:val="2C3E50"/>
          <w:sz w:val="22"/>
          <w:szCs w:val="22"/>
        </w:rPr>
        <w:t xml:space="preserve">Healthcare is one of the most heavily regulated industries in the world. Integration architects must understand the regulatory landscape because regulations directly dictate what data can be exchanged, how it must be protected, and what interoperability capabilities must be supported. Regulatory non-compliance can result in severe financial penalties, loss of certification, and reputational damage.</w:t>
      </w:r>
    </w:p>
    <w:p>
      <w:pPr>
        <w:pStyle w:val="Heading2"/>
        <w:spacing w:before="300" w:after="160"/>
      </w:pPr>
      <w:r>
        <w:rPr>
          <w:rFonts w:ascii="Arial" w:cs="Arial" w:eastAsia="Arial" w:hAnsi="Arial"/>
          <w:b/>
          <w:bCs/>
          <w:color w:val="2E86C1"/>
          <w:sz w:val="28"/>
          <w:szCs w:val="28"/>
        </w:rPr>
        <w:t xml:space="preserve">4.1 HIPAA (Health Insurance Portability and Accountability Act)</w:t>
      </w:r>
    </w:p>
    <w:p>
      <w:pPr>
        <w:spacing w:before="60" w:after="100" w:line="320"/>
      </w:pPr>
      <w:r>
        <w:rPr>
          <w:rFonts w:ascii="Arial" w:cs="Arial" w:eastAsia="Arial" w:hAnsi="Arial"/>
          <w:color w:val="2C3E50"/>
          <w:sz w:val="22"/>
          <w:szCs w:val="22"/>
        </w:rPr>
        <w:t xml:space="preserve">HIPAA is the foundational federal law governing health data privacy and security in the United States. Enacted in 1996 and significantly updated through subsequent rules, HIPAA establishes the framework within which all healthcare data exchange must operate.</w:t>
      </w:r>
    </w:p>
    <w:p>
      <w:pPr>
        <w:pStyle w:val="Heading3"/>
        <w:spacing w:before="240" w:after="120"/>
      </w:pPr>
      <w:r>
        <w:rPr>
          <w:rFonts w:ascii="Arial" w:cs="Arial" w:eastAsia="Arial" w:hAnsi="Arial"/>
          <w:b/>
          <w:bCs/>
          <w:color w:val="2980B9"/>
          <w:sz w:val="24"/>
          <w:szCs w:val="24"/>
        </w:rPr>
        <w:t xml:space="preserve">HIPAA Privacy Rule</w:t>
      </w:r>
    </w:p>
    <w:p>
      <w:pPr>
        <w:spacing w:before="60" w:after="100" w:line="320"/>
      </w:pPr>
      <w:r>
        <w:rPr>
          <w:rFonts w:ascii="Arial" w:cs="Arial" w:eastAsia="Arial" w:hAnsi="Arial"/>
          <w:color w:val="2C3E50"/>
          <w:sz w:val="22"/>
          <w:szCs w:val="22"/>
        </w:rPr>
        <w:t xml:space="preserve">The Privacy Rule establishes national standards for the protection of individually identifiable health information, known as Protected Health Information (PHI).</w:t>
      </w:r>
    </w:p>
    <w:p>
      <w:pPr>
        <w:pStyle w:val="ListParagraph"/>
        <w:numPr>
          <w:ilvl w:val="0"/>
          <w:numId w:val="2"/>
        </w:numPr>
        <w:spacing w:before="40" w:after="40" w:line="300"/>
      </w:pPr>
      <w:r>
        <w:rPr>
          <w:rFonts w:ascii="Arial" w:cs="Arial" w:eastAsia="Arial" w:hAnsi="Arial"/>
          <w:b/>
          <w:bCs/>
          <w:color w:val="2C3E50"/>
          <w:sz w:val="22"/>
          <w:szCs w:val="22"/>
        </w:rPr>
        <w:t xml:space="preserve">Covered Entities: </w:t>
      </w:r>
      <w:r>
        <w:rPr>
          <w:rFonts w:ascii="Arial" w:cs="Arial" w:eastAsia="Arial" w:hAnsi="Arial"/>
          <w:color w:val="2C3E50"/>
          <w:sz w:val="22"/>
          <w:szCs w:val="22"/>
        </w:rPr>
        <w:t xml:space="preserve">Health plans, healthcare clearinghouses, and healthcare providers who conduct electronic transactions. These entities are directly subject to HIPAA requirements.</w:t>
      </w:r>
    </w:p>
    <w:p>
      <w:pPr>
        <w:pStyle w:val="ListParagraph"/>
        <w:numPr>
          <w:ilvl w:val="0"/>
          <w:numId w:val="2"/>
        </w:numPr>
        <w:spacing w:before="40" w:after="40" w:line="300"/>
      </w:pPr>
      <w:r>
        <w:rPr>
          <w:rFonts w:ascii="Arial" w:cs="Arial" w:eastAsia="Arial" w:hAnsi="Arial"/>
          <w:b/>
          <w:bCs/>
          <w:color w:val="2C3E50"/>
          <w:sz w:val="22"/>
          <w:szCs w:val="22"/>
        </w:rPr>
        <w:t xml:space="preserve">Business Associates: </w:t>
      </w:r>
      <w:r>
        <w:rPr>
          <w:rFonts w:ascii="Arial" w:cs="Arial" w:eastAsia="Arial" w:hAnsi="Arial"/>
          <w:color w:val="2C3E50"/>
          <w:sz w:val="22"/>
          <w:szCs w:val="22"/>
        </w:rPr>
        <w:t xml:space="preserve">Third parties that create, receive, maintain, or transmit PHI on behalf of covered entities. Integration engine vendors, cloud hosting providers, and HIEs are typically business associates and must sign Business Associate Agreements (BAAs).</w:t>
      </w:r>
    </w:p>
    <w:p>
      <w:pPr>
        <w:pStyle w:val="ListParagraph"/>
        <w:numPr>
          <w:ilvl w:val="0"/>
          <w:numId w:val="2"/>
        </w:numPr>
        <w:spacing w:before="40" w:after="40" w:line="300"/>
      </w:pPr>
      <w:r>
        <w:rPr>
          <w:rFonts w:ascii="Arial" w:cs="Arial" w:eastAsia="Arial" w:hAnsi="Arial"/>
          <w:b/>
          <w:bCs/>
          <w:color w:val="2C3E50"/>
          <w:sz w:val="22"/>
          <w:szCs w:val="22"/>
        </w:rPr>
        <w:t xml:space="preserve">Permitted Uses and Disclosures: </w:t>
      </w:r>
      <w:r>
        <w:rPr>
          <w:rFonts w:ascii="Arial" w:cs="Arial" w:eastAsia="Arial" w:hAnsi="Arial"/>
          <w:color w:val="2C3E50"/>
          <w:sz w:val="22"/>
          <w:szCs w:val="22"/>
        </w:rPr>
        <w:t xml:space="preserve">PHI may be used without patient authorization for Treatment, Payment, and Healthcare Operations (TPO). All other uses generally require written patient authorization.</w:t>
      </w:r>
    </w:p>
    <w:p>
      <w:pPr>
        <w:pStyle w:val="ListParagraph"/>
        <w:numPr>
          <w:ilvl w:val="0"/>
          <w:numId w:val="2"/>
        </w:numPr>
        <w:spacing w:before="40" w:after="40" w:line="300"/>
      </w:pPr>
      <w:r>
        <w:rPr>
          <w:rFonts w:ascii="Arial" w:cs="Arial" w:eastAsia="Arial" w:hAnsi="Arial"/>
          <w:b/>
          <w:bCs/>
          <w:color w:val="2C3E50"/>
          <w:sz w:val="22"/>
          <w:szCs w:val="22"/>
        </w:rPr>
        <w:t xml:space="preserve">Minimum Necessary Standard: </w:t>
      </w:r>
      <w:r>
        <w:rPr>
          <w:rFonts w:ascii="Arial" w:cs="Arial" w:eastAsia="Arial" w:hAnsi="Arial"/>
          <w:color w:val="2C3E50"/>
          <w:sz w:val="22"/>
          <w:szCs w:val="22"/>
        </w:rPr>
        <w:t xml:space="preserve">Covered entities must limit PHI disclosures to the minimum amount necessary to accomplish the intended purpose. This directly impacts integration design — interfaces should only transmit the data fields required for the receiving system’s function.</w:t>
      </w:r>
    </w:p>
    <w:p>
      <w:pPr>
        <w:pStyle w:val="ListParagraph"/>
        <w:numPr>
          <w:ilvl w:val="0"/>
          <w:numId w:val="2"/>
        </w:numPr>
        <w:spacing w:before="40" w:after="40" w:line="300"/>
      </w:pPr>
      <w:r>
        <w:rPr>
          <w:rFonts w:ascii="Arial" w:cs="Arial" w:eastAsia="Arial" w:hAnsi="Arial"/>
          <w:b/>
          <w:bCs/>
          <w:color w:val="2C3E50"/>
          <w:sz w:val="22"/>
          <w:szCs w:val="22"/>
        </w:rPr>
        <w:t xml:space="preserve">Patient Rights: </w:t>
      </w:r>
      <w:r>
        <w:rPr>
          <w:rFonts w:ascii="Arial" w:cs="Arial" w:eastAsia="Arial" w:hAnsi="Arial"/>
          <w:color w:val="2C3E50"/>
          <w:sz w:val="22"/>
          <w:szCs w:val="22"/>
        </w:rPr>
        <w:t xml:space="preserve">Patients have the right to access their records, request amendments, receive an accounting of disclosures, and request restrictions on use of their information.</w:t>
      </w:r>
    </w:p>
    <w:p>
      <w:pPr>
        <w:pStyle w:val="Heading3"/>
        <w:spacing w:before="240" w:after="120"/>
      </w:pPr>
      <w:r>
        <w:rPr>
          <w:rFonts w:ascii="Arial" w:cs="Arial" w:eastAsia="Arial" w:hAnsi="Arial"/>
          <w:b/>
          <w:bCs/>
          <w:color w:val="2980B9"/>
          <w:sz w:val="24"/>
          <w:szCs w:val="24"/>
        </w:rPr>
        <w:t xml:space="preserve">HIPAA Security Rule</w:t>
      </w:r>
    </w:p>
    <w:p>
      <w:pPr>
        <w:spacing w:before="60" w:after="100" w:line="320"/>
      </w:pPr>
      <w:r>
        <w:rPr>
          <w:rFonts w:ascii="Arial" w:cs="Arial" w:eastAsia="Arial" w:hAnsi="Arial"/>
          <w:color w:val="2C3E50"/>
          <w:sz w:val="22"/>
          <w:szCs w:val="22"/>
        </w:rPr>
        <w:t xml:space="preserve">The Security Rule establishes standards for protecting electronic PHI (ePHI) and is organized into three categories of safeguards:</w:t>
      </w:r>
    </w:p>
    <w:p>
      <w:pPr>
        <w:pStyle w:val="ListParagraph"/>
        <w:numPr>
          <w:ilvl w:val="0"/>
          <w:numId w:val="2"/>
        </w:numPr>
        <w:spacing w:before="40" w:after="40" w:line="300"/>
      </w:pPr>
      <w:r>
        <w:rPr>
          <w:rFonts w:ascii="Arial" w:cs="Arial" w:eastAsia="Arial" w:hAnsi="Arial"/>
          <w:b/>
          <w:bCs/>
          <w:color w:val="2C3E50"/>
          <w:sz w:val="22"/>
          <w:szCs w:val="22"/>
        </w:rPr>
        <w:t xml:space="preserve">Administrative Safeguards: </w:t>
      </w:r>
      <w:r>
        <w:rPr>
          <w:rFonts w:ascii="Arial" w:cs="Arial" w:eastAsia="Arial" w:hAnsi="Arial"/>
          <w:color w:val="2C3E50"/>
          <w:sz w:val="22"/>
          <w:szCs w:val="22"/>
        </w:rPr>
        <w:t xml:space="preserve">Risk analysis and management, workforce training, information access management, security incident procedures, contingency planning, and business associate agreements.</w:t>
      </w:r>
    </w:p>
    <w:p>
      <w:pPr>
        <w:pStyle w:val="ListParagraph"/>
        <w:numPr>
          <w:ilvl w:val="0"/>
          <w:numId w:val="2"/>
        </w:numPr>
        <w:spacing w:before="40" w:after="40" w:line="300"/>
      </w:pPr>
      <w:r>
        <w:rPr>
          <w:rFonts w:ascii="Arial" w:cs="Arial" w:eastAsia="Arial" w:hAnsi="Arial"/>
          <w:b/>
          <w:bCs/>
          <w:color w:val="2C3E50"/>
          <w:sz w:val="22"/>
          <w:szCs w:val="22"/>
        </w:rPr>
        <w:t xml:space="preserve">Physical Safeguards: </w:t>
      </w:r>
      <w:r>
        <w:rPr>
          <w:rFonts w:ascii="Arial" w:cs="Arial" w:eastAsia="Arial" w:hAnsi="Arial"/>
          <w:color w:val="2C3E50"/>
          <w:sz w:val="22"/>
          <w:szCs w:val="22"/>
        </w:rPr>
        <w:t xml:space="preserve">Facility access controls, workstation security, device and media controls.</w:t>
      </w:r>
    </w:p>
    <w:p>
      <w:pPr>
        <w:pStyle w:val="ListParagraph"/>
        <w:numPr>
          <w:ilvl w:val="0"/>
          <w:numId w:val="2"/>
        </w:numPr>
        <w:spacing w:before="40" w:after="40" w:line="300"/>
      </w:pPr>
      <w:r>
        <w:rPr>
          <w:rFonts w:ascii="Arial" w:cs="Arial" w:eastAsia="Arial" w:hAnsi="Arial"/>
          <w:b/>
          <w:bCs/>
          <w:color w:val="2C3E50"/>
          <w:sz w:val="22"/>
          <w:szCs w:val="22"/>
        </w:rPr>
        <w:t xml:space="preserve">Technical Safeguards: </w:t>
      </w:r>
      <w:r>
        <w:rPr>
          <w:rFonts w:ascii="Arial" w:cs="Arial" w:eastAsia="Arial" w:hAnsi="Arial"/>
          <w:color w:val="2C3E50"/>
          <w:sz w:val="22"/>
          <w:szCs w:val="22"/>
        </w:rPr>
        <w:t xml:space="preserve">Access controls (unique user identification, emergency access, automatic logoff, encryption), audit controls, integrity controls, person or entity authentication, and transmission security.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Integration Impact of the Security Rule</w:t>
            </w:r>
          </w:p>
          <w:p>
            <w:pPr>
              <w:spacing w:before="40"/>
            </w:pPr>
            <w:r>
              <w:rPr>
                <w:rFonts w:ascii="Arial" w:cs="Arial" w:eastAsia="Arial" w:hAnsi="Arial"/>
                <w:color w:val="2C3E50"/>
                <w:sz w:val="20"/>
                <w:szCs w:val="20"/>
              </w:rPr>
              <w:t xml:space="preserve">Every integration interface must comply with the Security Rule’s technical safeguards. This means: encryption in transit (TLS 1.2+), encryption at rest for stored PHI, access controls limiting who can view interface data, comprehensive audit logging of all data access and transmission, and authentication of all connecting systems (often via mutual TLS or OAuth 2.0).</w:t>
            </w:r>
          </w:p>
        </w:tc>
      </w:tr>
    </w:tbl>
    <w:p>
      <w:pPr>
        <w:spacing w:before="120" w:after="120"/>
      </w:pPr>
    </w:p>
    <w:p>
      <w:pPr>
        <w:pStyle w:val="Heading3"/>
        <w:spacing w:before="240" w:after="120"/>
      </w:pPr>
      <w:r>
        <w:rPr>
          <w:rFonts w:ascii="Arial" w:cs="Arial" w:eastAsia="Arial" w:hAnsi="Arial"/>
          <w:b/>
          <w:bCs/>
          <w:color w:val="2980B9"/>
          <w:sz w:val="24"/>
          <w:szCs w:val="24"/>
        </w:rPr>
        <w:t xml:space="preserve">HIPAA Breach Notification Rule</w:t>
      </w:r>
    </w:p>
    <w:p>
      <w:pPr>
        <w:spacing w:before="60" w:after="100" w:line="320"/>
      </w:pPr>
      <w:r>
        <w:rPr>
          <w:rFonts w:ascii="Arial" w:cs="Arial" w:eastAsia="Arial" w:hAnsi="Arial"/>
          <w:color w:val="2C3E50"/>
          <w:sz w:val="22"/>
          <w:szCs w:val="22"/>
        </w:rPr>
        <w:t xml:space="preserve">Requires covered entities and business associates to notify affected individuals, HHS, and in some cases the media following a breach of unsecured PHI. A breach is presumed unless a four-factor risk assessment demonstrates a low probability of compromise. Integration failures that expose PHI (such as sending data to the wrong destination or logging PHI in plain text) can constitute reportable breaches.</w:t>
      </w:r>
    </w:p>
    <w:p>
      <w:pPr>
        <w:pStyle w:val="Heading2"/>
        <w:spacing w:before="300" w:after="160"/>
      </w:pPr>
      <w:r>
        <w:rPr>
          <w:rFonts w:ascii="Arial" w:cs="Arial" w:eastAsia="Arial" w:hAnsi="Arial"/>
          <w:b/>
          <w:bCs/>
          <w:color w:val="2E86C1"/>
          <w:sz w:val="28"/>
          <w:szCs w:val="28"/>
        </w:rPr>
        <w:t xml:space="preserve">4.2 HITECH Act</w:t>
      </w:r>
    </w:p>
    <w:p>
      <w:pPr>
        <w:spacing w:before="60" w:after="100" w:line="320"/>
      </w:pPr>
      <w:r>
        <w:rPr>
          <w:rFonts w:ascii="Arial" w:cs="Arial" w:eastAsia="Arial" w:hAnsi="Arial"/>
          <w:color w:val="2C3E50"/>
          <w:sz w:val="22"/>
          <w:szCs w:val="22"/>
        </w:rPr>
        <w:t xml:space="preserve">The Health Information Technology for Economic and Clinical Health (HITECH) Act of 2009 provided over $35 billion in incentives for EHR adoption and significantly strengthened HIPAA enforcement.</w:t>
      </w:r>
    </w:p>
    <w:p>
      <w:pPr>
        <w:pStyle w:val="ListParagraph"/>
        <w:numPr>
          <w:ilvl w:val="0"/>
          <w:numId w:val="2"/>
        </w:numPr>
        <w:spacing w:before="40" w:after="40" w:line="300"/>
      </w:pPr>
      <w:r>
        <w:rPr>
          <w:rFonts w:ascii="Arial" w:cs="Arial" w:eastAsia="Arial" w:hAnsi="Arial"/>
          <w:b/>
          <w:bCs/>
          <w:color w:val="2C3E50"/>
          <w:sz w:val="22"/>
          <w:szCs w:val="22"/>
        </w:rPr>
        <w:t xml:space="preserve">Meaningful Use/Promoting Interoperability: </w:t>
      </w:r>
      <w:r>
        <w:rPr>
          <w:rFonts w:ascii="Arial" w:cs="Arial" w:eastAsia="Arial" w:hAnsi="Arial"/>
          <w:color w:val="2C3E50"/>
          <w:sz w:val="22"/>
          <w:szCs w:val="22"/>
        </w:rPr>
        <w:t xml:space="preserve">Established incentive programs (and later penalties) for EHR adoption and use. Required specific interoperability capabilities including clinical summary exchange, transition of care documents, and public health reporting.</w:t>
      </w:r>
    </w:p>
    <w:p>
      <w:pPr>
        <w:pStyle w:val="ListParagraph"/>
        <w:numPr>
          <w:ilvl w:val="0"/>
          <w:numId w:val="2"/>
        </w:numPr>
        <w:spacing w:before="40" w:after="40" w:line="300"/>
      </w:pPr>
      <w:r>
        <w:rPr>
          <w:rFonts w:ascii="Arial" w:cs="Arial" w:eastAsia="Arial" w:hAnsi="Arial"/>
          <w:b/>
          <w:bCs/>
          <w:color w:val="2C3E50"/>
          <w:sz w:val="22"/>
          <w:szCs w:val="22"/>
        </w:rPr>
        <w:t xml:space="preserve">Enhanced HIPAA Enforcement: </w:t>
      </w:r>
      <w:r>
        <w:rPr>
          <w:rFonts w:ascii="Arial" w:cs="Arial" w:eastAsia="Arial" w:hAnsi="Arial"/>
          <w:color w:val="2C3E50"/>
          <w:sz w:val="22"/>
          <w:szCs w:val="22"/>
        </w:rPr>
        <w:t xml:space="preserve">Extended HIPAA requirements directly to business associates, increased penalty amounts (up to $1.5 million per violation category per year), and required HHS to conduct periodic audits.</w:t>
      </w:r>
    </w:p>
    <w:p>
      <w:pPr>
        <w:pStyle w:val="ListParagraph"/>
        <w:numPr>
          <w:ilvl w:val="0"/>
          <w:numId w:val="2"/>
        </w:numPr>
        <w:spacing w:before="40" w:after="40" w:line="300"/>
      </w:pPr>
      <w:r>
        <w:rPr>
          <w:rFonts w:ascii="Arial" w:cs="Arial" w:eastAsia="Arial" w:hAnsi="Arial"/>
          <w:b/>
          <w:bCs/>
          <w:color w:val="2C3E50"/>
          <w:sz w:val="22"/>
          <w:szCs w:val="22"/>
        </w:rPr>
        <w:t xml:space="preserve">Breach Notification: </w:t>
      </w:r>
      <w:r>
        <w:rPr>
          <w:rFonts w:ascii="Arial" w:cs="Arial" w:eastAsia="Arial" w:hAnsi="Arial"/>
          <w:color w:val="2C3E50"/>
          <w:sz w:val="22"/>
          <w:szCs w:val="22"/>
        </w:rPr>
        <w:t xml:space="preserve">Established the breach notification requirements that were later incorporated into HIPAA regulations.</w:t>
      </w:r>
    </w:p>
    <w:p>
      <w:pPr>
        <w:pStyle w:val="Heading2"/>
        <w:spacing w:before="300" w:after="160"/>
      </w:pPr>
      <w:r>
        <w:rPr>
          <w:rFonts w:ascii="Arial" w:cs="Arial" w:eastAsia="Arial" w:hAnsi="Arial"/>
          <w:b/>
          <w:bCs/>
          <w:color w:val="2E86C1"/>
          <w:sz w:val="28"/>
          <w:szCs w:val="28"/>
        </w:rPr>
        <w:t xml:space="preserve">4.3 21st Century Cures Act</w:t>
      </w:r>
    </w:p>
    <w:p>
      <w:pPr>
        <w:spacing w:before="60" w:after="100" w:line="320"/>
      </w:pPr>
      <w:r>
        <w:rPr>
          <w:rFonts w:ascii="Arial" w:cs="Arial" w:eastAsia="Arial" w:hAnsi="Arial"/>
          <w:color w:val="2C3E50"/>
          <w:sz w:val="22"/>
          <w:szCs w:val="22"/>
        </w:rPr>
        <w:t xml:space="preserve">The 21st Century Cures Act of 2016 is the most significant recent legislation affecting healthcare interoperability. Its information blocking provisions and interoperability requirements are reshaping how health data is exchanged.</w:t>
      </w:r>
    </w:p>
    <w:p>
      <w:pPr>
        <w:pStyle w:val="ListParagraph"/>
        <w:numPr>
          <w:ilvl w:val="0"/>
          <w:numId w:val="2"/>
        </w:numPr>
        <w:spacing w:before="40" w:after="40" w:line="300"/>
      </w:pPr>
      <w:r>
        <w:rPr>
          <w:rFonts w:ascii="Arial" w:cs="Arial" w:eastAsia="Arial" w:hAnsi="Arial"/>
          <w:b/>
          <w:bCs/>
          <w:color w:val="2C3E50"/>
          <w:sz w:val="22"/>
          <w:szCs w:val="22"/>
        </w:rPr>
        <w:t xml:space="preserve">Information Blocking Prohibition: </w:t>
      </w:r>
      <w:r>
        <w:rPr>
          <w:rFonts w:ascii="Arial" w:cs="Arial" w:eastAsia="Arial" w:hAnsi="Arial"/>
          <w:color w:val="2C3E50"/>
          <w:sz w:val="22"/>
          <w:szCs w:val="22"/>
        </w:rPr>
        <w:t xml:space="preserve">Prohibits healthcare providers, certified health IT developers, and health information networks from practices that are likely to interfere with the access, exchange, or use of electronic health information (EHI). Violations can result in penalties up to $1 million per occurrence for IT developers and networks.</w:t>
      </w:r>
    </w:p>
    <w:p>
      <w:pPr>
        <w:pStyle w:val="ListParagraph"/>
        <w:numPr>
          <w:ilvl w:val="0"/>
          <w:numId w:val="2"/>
        </w:numPr>
        <w:spacing w:before="40" w:after="40" w:line="300"/>
      </w:pPr>
      <w:r>
        <w:rPr>
          <w:rFonts w:ascii="Arial" w:cs="Arial" w:eastAsia="Arial" w:hAnsi="Arial"/>
          <w:b/>
          <w:bCs/>
          <w:color w:val="2C3E50"/>
          <w:sz w:val="22"/>
          <w:szCs w:val="22"/>
        </w:rPr>
        <w:t xml:space="preserve">ONC Health IT Certification: </w:t>
      </w:r>
      <w:r>
        <w:rPr>
          <w:rFonts w:ascii="Arial" w:cs="Arial" w:eastAsia="Arial" w:hAnsi="Arial"/>
          <w:color w:val="2C3E50"/>
          <w:sz w:val="22"/>
          <w:szCs w:val="22"/>
        </w:rPr>
        <w:t xml:space="preserve">Requires certified EHR systems to support standardized APIs (FHIR-based) for patient and provider access to electronic health information.</w:t>
      </w:r>
    </w:p>
    <w:p>
      <w:pPr>
        <w:pStyle w:val="ListParagraph"/>
        <w:numPr>
          <w:ilvl w:val="0"/>
          <w:numId w:val="2"/>
        </w:numPr>
        <w:spacing w:before="40" w:after="40" w:line="300"/>
      </w:pPr>
      <w:r>
        <w:rPr>
          <w:rFonts w:ascii="Arial" w:cs="Arial" w:eastAsia="Arial" w:hAnsi="Arial"/>
          <w:b/>
          <w:bCs/>
          <w:color w:val="2C3E50"/>
          <w:sz w:val="22"/>
          <w:szCs w:val="22"/>
        </w:rPr>
        <w:t xml:space="preserve">Patient Access: </w:t>
      </w:r>
      <w:r>
        <w:rPr>
          <w:rFonts w:ascii="Arial" w:cs="Arial" w:eastAsia="Arial" w:hAnsi="Arial"/>
          <w:color w:val="2C3E50"/>
          <w:sz w:val="22"/>
          <w:szCs w:val="22"/>
        </w:rPr>
        <w:t xml:space="preserve">Gives patients the right to access their EHI through standardized APIs using third-party applications of their choosing.</w:t>
      </w:r>
    </w:p>
    <w:p>
      <w:pPr>
        <w:pStyle w:val="ListParagraph"/>
        <w:numPr>
          <w:ilvl w:val="0"/>
          <w:numId w:val="2"/>
        </w:numPr>
        <w:spacing w:before="40" w:after="40" w:line="300"/>
      </w:pPr>
      <w:r>
        <w:rPr>
          <w:rFonts w:ascii="Arial" w:cs="Arial" w:eastAsia="Arial" w:hAnsi="Arial"/>
          <w:b/>
          <w:bCs/>
          <w:color w:val="2C3E50"/>
          <w:sz w:val="22"/>
          <w:szCs w:val="22"/>
        </w:rPr>
        <w:t xml:space="preserve">USCDI: </w:t>
      </w:r>
      <w:r>
        <w:rPr>
          <w:rFonts w:ascii="Arial" w:cs="Arial" w:eastAsia="Arial" w:hAnsi="Arial"/>
          <w:color w:val="2C3E50"/>
          <w:sz w:val="22"/>
          <w:szCs w:val="22"/>
        </w:rPr>
        <w:t xml:space="preserve">Established the United States Core Data for Interoperability as the baseline data set that must be supported for interoperability.</w:t>
      </w:r>
    </w:p>
    <w:p>
      <w:pPr>
        <w:pStyle w:val="Heading2"/>
        <w:spacing w:before="300" w:after="160"/>
      </w:pPr>
      <w:r>
        <w:rPr>
          <w:rFonts w:ascii="Arial" w:cs="Arial" w:eastAsia="Arial" w:hAnsi="Arial"/>
          <w:b/>
          <w:bCs/>
          <w:color w:val="2E86C1"/>
          <w:sz w:val="28"/>
          <w:szCs w:val="28"/>
        </w:rPr>
        <w:t xml:space="preserve">4.4 CMS Interoperability Rules</w:t>
      </w:r>
    </w:p>
    <w:p>
      <w:pPr>
        <w:spacing w:before="60" w:after="100" w:line="320"/>
      </w:pPr>
      <w:r>
        <w:rPr>
          <w:rFonts w:ascii="Arial" w:cs="Arial" w:eastAsia="Arial" w:hAnsi="Arial"/>
          <w:color w:val="2C3E50"/>
          <w:sz w:val="22"/>
          <w:szCs w:val="22"/>
        </w:rPr>
        <w:t xml:space="preserve">CMS has issued several rules that impose specific interoperability requirements on healthcare organizations participating in CMS programs.</w:t>
      </w:r>
    </w:p>
    <w:p>
      <w:pPr>
        <w:pStyle w:val="ListParagraph"/>
        <w:numPr>
          <w:ilvl w:val="0"/>
          <w:numId w:val="2"/>
        </w:numPr>
        <w:spacing w:before="40" w:after="40" w:line="300"/>
      </w:pPr>
      <w:r>
        <w:rPr>
          <w:rFonts w:ascii="Arial" w:cs="Arial" w:eastAsia="Arial" w:hAnsi="Arial"/>
          <w:b/>
          <w:bCs/>
          <w:color w:val="2C3E50"/>
          <w:sz w:val="22"/>
          <w:szCs w:val="22"/>
        </w:rPr>
        <w:t xml:space="preserve">CMS Interoperability and Patient Access Rule (CMS-9115-F): </w:t>
      </w:r>
      <w:r>
        <w:rPr>
          <w:rFonts w:ascii="Arial" w:cs="Arial" w:eastAsia="Arial" w:hAnsi="Arial"/>
          <w:color w:val="2C3E50"/>
          <w:sz w:val="22"/>
          <w:szCs w:val="22"/>
        </w:rPr>
        <w:t xml:space="preserve">Requires CMS-regulated payers to implement Patient Access APIs (FHIR-based), Provider Directory APIs, and payer-to-payer data exchange. Also requires hospitals to send electronic ADT notifications to the patient’s established care team.</w:t>
      </w:r>
    </w:p>
    <w:p>
      <w:pPr>
        <w:pStyle w:val="ListParagraph"/>
        <w:numPr>
          <w:ilvl w:val="0"/>
          <w:numId w:val="2"/>
        </w:numPr>
        <w:spacing w:before="40" w:after="40" w:line="300"/>
      </w:pPr>
      <w:r>
        <w:rPr>
          <w:rFonts w:ascii="Arial" w:cs="Arial" w:eastAsia="Arial" w:hAnsi="Arial"/>
          <w:b/>
          <w:bCs/>
          <w:color w:val="2C3E50"/>
          <w:sz w:val="22"/>
          <w:szCs w:val="22"/>
        </w:rPr>
        <w:t xml:space="preserve">CMS Prior Authorization Rule (CMS-0057-F): </w:t>
      </w:r>
      <w:r>
        <w:rPr>
          <w:rFonts w:ascii="Arial" w:cs="Arial" w:eastAsia="Arial" w:hAnsi="Arial"/>
          <w:color w:val="2C3E50"/>
          <w:sz w:val="22"/>
          <w:szCs w:val="22"/>
        </w:rPr>
        <w:t xml:space="preserve">Requires payers to implement Prior Authorization APIs (FHIR-based) to automate the prior authorization process, reducing administrative burden.</w:t>
      </w:r>
    </w:p>
    <w:p>
      <w:pPr>
        <w:pStyle w:val="Heading2"/>
        <w:spacing w:before="300" w:after="160"/>
      </w:pPr>
      <w:r>
        <w:rPr>
          <w:rFonts w:ascii="Arial" w:cs="Arial" w:eastAsia="Arial" w:hAnsi="Arial"/>
          <w:b/>
          <w:bCs/>
          <w:color w:val="2E86C1"/>
          <w:sz w:val="28"/>
          <w:szCs w:val="28"/>
        </w:rPr>
        <w:t xml:space="preserve">4.5 TEFCA (Trusted Exchange Framework and Common Agreement)</w:t>
      </w:r>
    </w:p>
    <w:p>
      <w:pPr>
        <w:spacing w:before="60" w:after="100" w:line="320"/>
      </w:pPr>
      <w:r>
        <w:rPr>
          <w:rFonts w:ascii="Arial" w:cs="Arial" w:eastAsia="Arial" w:hAnsi="Arial"/>
          <w:color w:val="2C3E50"/>
          <w:sz w:val="22"/>
          <w:szCs w:val="22"/>
        </w:rPr>
        <w:t xml:space="preserve">TEFCA establishes a universal governance, policy, and technical framework for nationwide health information exchange. Under TEFCA, Qualified Health Information Networks (QHINs) agree to a Common Agreement that establishes how data flows between networks.</w:t>
      </w:r>
    </w:p>
    <w:p>
      <w:pPr>
        <w:pStyle w:val="ListParagraph"/>
        <w:numPr>
          <w:ilvl w:val="0"/>
          <w:numId w:val="2"/>
        </w:numPr>
        <w:spacing w:before="40" w:after="40" w:line="300"/>
      </w:pPr>
      <w:r>
        <w:rPr>
          <w:rFonts w:ascii="Arial" w:cs="Arial" w:eastAsia="Arial" w:hAnsi="Arial"/>
          <w:b/>
          <w:bCs/>
          <w:color w:val="2C3E50"/>
          <w:sz w:val="22"/>
          <w:szCs w:val="22"/>
        </w:rPr>
        <w:t xml:space="preserve">Exchange Purposes: </w:t>
      </w:r>
      <w:r>
        <w:rPr>
          <w:rFonts w:ascii="Arial" w:cs="Arial" w:eastAsia="Arial" w:hAnsi="Arial"/>
          <w:color w:val="2C3E50"/>
          <w:sz w:val="22"/>
          <w:szCs w:val="22"/>
        </w:rPr>
        <w:t xml:space="preserve">Treatment, Payment, Healthcare Operations, Public Health, Government Benefits Determination, and Individual Access Services.</w:t>
      </w:r>
    </w:p>
    <w:p>
      <w:pPr>
        <w:pStyle w:val="ListParagraph"/>
        <w:numPr>
          <w:ilvl w:val="0"/>
          <w:numId w:val="2"/>
        </w:numPr>
        <w:spacing w:before="40" w:after="40" w:line="300"/>
      </w:pPr>
      <w:r>
        <w:rPr>
          <w:rFonts w:ascii="Arial" w:cs="Arial" w:eastAsia="Arial" w:hAnsi="Arial"/>
          <w:b/>
          <w:bCs/>
          <w:color w:val="2C3E50"/>
          <w:sz w:val="22"/>
          <w:szCs w:val="22"/>
        </w:rPr>
        <w:t xml:space="preserve">Technical Requirements: </w:t>
      </w:r>
      <w:r>
        <w:rPr>
          <w:rFonts w:ascii="Arial" w:cs="Arial" w:eastAsia="Arial" w:hAnsi="Arial"/>
          <w:color w:val="2C3E50"/>
          <w:sz w:val="22"/>
          <w:szCs w:val="22"/>
        </w:rPr>
        <w:t xml:space="preserve">QHINs must support query-based exchange, document exchange, and increasingly FHIR-based exchange (Facilitated FHIR).</w:t>
      </w:r>
    </w:p>
    <w:p>
      <w:pPr>
        <w:pStyle w:val="ListParagraph"/>
        <w:numPr>
          <w:ilvl w:val="0"/>
          <w:numId w:val="2"/>
        </w:numPr>
        <w:spacing w:before="40" w:after="40" w:line="300"/>
      </w:pPr>
      <w:r>
        <w:rPr>
          <w:rFonts w:ascii="Arial" w:cs="Arial" w:eastAsia="Arial" w:hAnsi="Arial"/>
          <w:b/>
          <w:bCs/>
          <w:color w:val="2C3E50"/>
          <w:sz w:val="22"/>
          <w:szCs w:val="22"/>
        </w:rPr>
        <w:t xml:space="preserve">USCDI as the Data Set: </w:t>
      </w:r>
      <w:r>
        <w:rPr>
          <w:rFonts w:ascii="Arial" w:cs="Arial" w:eastAsia="Arial" w:hAnsi="Arial"/>
          <w:color w:val="2C3E50"/>
          <w:sz w:val="22"/>
          <w:szCs w:val="22"/>
        </w:rPr>
        <w:t xml:space="preserve">TEFCA uses USCDI to define the minimum data set that must be available for exchange.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Impact on Integration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HIPAA</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1996</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Establishes privacy, security, and transaction standards for all health data exchange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HITECH Act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2009</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Drives EHR adoption, strengthens HIPAA enforcement, extends requirements to business associates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21st Century Cures Act</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2016</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Prohibits information blocking, mandates FHIR-based APIs, establishes USCDI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CMS Interoperability Rule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2020</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Requires Patient Access API, Provider Directory API, ADT notifications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ONC HTI-1 Final Rule</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2023</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Updates certification criteria, adopts USCDI v3, requires FHIR Bulk 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CMS Prior Auth Rule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2024</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Mandates FHIR-based prior authorization APIs for payers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TEFCA</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2024+</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Establishes nationwide exchange framework through QHINs</w:t>
            </w:r>
          </w:p>
        </w:tc>
      </w:tr>
    </w:tbl>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5. Revenue Cycle Management (RCM)</w:t>
      </w:r>
    </w:p>
    <w:p>
      <w:pPr>
        <w:spacing w:before="60" w:after="100" w:line="320"/>
      </w:pPr>
      <w:r>
        <w:rPr>
          <w:rFonts w:ascii="Arial" w:cs="Arial" w:eastAsia="Arial" w:hAnsi="Arial"/>
          <w:color w:val="2C3E50"/>
          <w:sz w:val="22"/>
          <w:szCs w:val="22"/>
        </w:rPr>
        <w:t xml:space="preserve">Revenue Cycle Management encompasses the entire financial lifecycle of a patient encounter, from the moment a patient schedules an appointment through the final collection of payment. RCM is one of the most integration-intensive domains in healthcare because it requires data from clinical systems, registration systems, billing systems, payer systems, and clearinghouses to work in concert.</w:t>
      </w:r>
    </w:p>
    <w:p>
      <w:pPr>
        <w:spacing w:before="60" w:after="100" w:line="320"/>
      </w:pPr>
      <w:r>
        <w:rPr>
          <w:rFonts w:ascii="Arial" w:cs="Arial" w:eastAsia="Arial" w:hAnsi="Arial"/>
          <w:color w:val="2C3E50"/>
          <w:sz w:val="22"/>
          <w:szCs w:val="22"/>
        </w:rPr>
        <w:t xml:space="preserve">For integration architects, understanding RCM is critical because financial interfaces often represent the highest-priority, highest-volume, and most tightly regulated data flows in a healthcare organization. A failed billing interface can cost a health system millions of dollars in delayed or denied revenue.</w:t>
      </w:r>
    </w:p>
    <w:p>
      <w:pPr>
        <w:pStyle w:val="Heading2"/>
        <w:spacing w:before="300" w:after="160"/>
      </w:pPr>
      <w:r>
        <w:rPr>
          <w:rFonts w:ascii="Arial" w:cs="Arial" w:eastAsia="Arial" w:hAnsi="Arial"/>
          <w:b/>
          <w:bCs/>
          <w:color w:val="2E86C1"/>
          <w:sz w:val="28"/>
          <w:szCs w:val="28"/>
        </w:rPr>
        <w:t xml:space="preserve">5.1 The Revenue Cycle Stages</w:t>
      </w:r>
    </w:p>
    <w:p>
      <w:pPr>
        <w:pStyle w:val="Heading3"/>
        <w:spacing w:before="240" w:after="120"/>
      </w:pPr>
      <w:r>
        <w:rPr>
          <w:rFonts w:ascii="Arial" w:cs="Arial" w:eastAsia="Arial" w:hAnsi="Arial"/>
          <w:b/>
          <w:bCs/>
          <w:color w:val="2980B9"/>
          <w:sz w:val="24"/>
          <w:szCs w:val="24"/>
        </w:rPr>
        <w:t xml:space="preserve">Stage 1: Pre-Encounter</w:t>
      </w:r>
    </w:p>
    <w:p>
      <w:pPr>
        <w:pStyle w:val="ListParagraph"/>
        <w:numPr>
          <w:ilvl w:val="0"/>
          <w:numId w:val="2"/>
        </w:numPr>
        <w:spacing w:before="40" w:after="40" w:line="300"/>
      </w:pPr>
      <w:r>
        <w:rPr>
          <w:rFonts w:ascii="Arial" w:cs="Arial" w:eastAsia="Arial" w:hAnsi="Arial"/>
          <w:b/>
          <w:bCs/>
          <w:color w:val="2C3E50"/>
          <w:sz w:val="22"/>
          <w:szCs w:val="22"/>
        </w:rPr>
        <w:t xml:space="preserve">Patient Scheduling: </w:t>
      </w:r>
      <w:r>
        <w:rPr>
          <w:rFonts w:ascii="Arial" w:cs="Arial" w:eastAsia="Arial" w:hAnsi="Arial"/>
          <w:color w:val="2C3E50"/>
          <w:sz w:val="22"/>
          <w:szCs w:val="22"/>
        </w:rPr>
        <w:t xml:space="preserve">The revenue cycle begins when a patient schedules an appointment. The scheduling system captures the expected service, provider, location, and appointment type.</w:t>
      </w:r>
    </w:p>
    <w:p>
      <w:pPr>
        <w:pStyle w:val="ListParagraph"/>
        <w:numPr>
          <w:ilvl w:val="0"/>
          <w:numId w:val="2"/>
        </w:numPr>
        <w:spacing w:before="40" w:after="40" w:line="300"/>
      </w:pPr>
      <w:r>
        <w:rPr>
          <w:rFonts w:ascii="Arial" w:cs="Arial" w:eastAsia="Arial" w:hAnsi="Arial"/>
          <w:b/>
          <w:bCs/>
          <w:color w:val="2C3E50"/>
          <w:sz w:val="22"/>
          <w:szCs w:val="22"/>
        </w:rPr>
        <w:t xml:space="preserve">Insurance Verification: </w:t>
      </w:r>
      <w:r>
        <w:rPr>
          <w:rFonts w:ascii="Arial" w:cs="Arial" w:eastAsia="Arial" w:hAnsi="Arial"/>
          <w:color w:val="2C3E50"/>
          <w:sz w:val="22"/>
          <w:szCs w:val="22"/>
        </w:rPr>
        <w:t xml:space="preserve">Eligibility is verified electronically via X12 270 (Eligibility Inquiry) and 271 (Eligibility Response) transactions. This confirms active coverage, co-pay amounts, deductible status, and benefit limits.</w:t>
      </w:r>
    </w:p>
    <w:p>
      <w:pPr>
        <w:pStyle w:val="ListParagraph"/>
        <w:numPr>
          <w:ilvl w:val="0"/>
          <w:numId w:val="2"/>
        </w:numPr>
        <w:spacing w:before="40" w:after="40" w:line="300"/>
      </w:pPr>
      <w:r>
        <w:rPr>
          <w:rFonts w:ascii="Arial" w:cs="Arial" w:eastAsia="Arial" w:hAnsi="Arial"/>
          <w:b/>
          <w:bCs/>
          <w:color w:val="2C3E50"/>
          <w:sz w:val="22"/>
          <w:szCs w:val="22"/>
        </w:rPr>
        <w:t xml:space="preserve">Prior Authorization: </w:t>
      </w:r>
      <w:r>
        <w:rPr>
          <w:rFonts w:ascii="Arial" w:cs="Arial" w:eastAsia="Arial" w:hAnsi="Arial"/>
          <w:color w:val="2C3E50"/>
          <w:sz w:val="22"/>
          <w:szCs w:val="22"/>
        </w:rPr>
        <w:t xml:space="preserve">For services requiring prior authorization, the provider must obtain approval from the payer before rendering services. This involves submitting clinical documentation to justify medical necessity. Authorization numbers must be captured and included on the eventual claim.</w:t>
      </w:r>
    </w:p>
    <w:p>
      <w:pPr>
        <w:pStyle w:val="ListParagraph"/>
        <w:numPr>
          <w:ilvl w:val="0"/>
          <w:numId w:val="2"/>
        </w:numPr>
        <w:spacing w:before="40" w:after="40" w:line="300"/>
      </w:pPr>
      <w:r>
        <w:rPr>
          <w:rFonts w:ascii="Arial" w:cs="Arial" w:eastAsia="Arial" w:hAnsi="Arial"/>
          <w:b/>
          <w:bCs/>
          <w:color w:val="2C3E50"/>
          <w:sz w:val="22"/>
          <w:szCs w:val="22"/>
        </w:rPr>
        <w:t xml:space="preserve">Financial Counseling: </w:t>
      </w:r>
      <w:r>
        <w:rPr>
          <w:rFonts w:ascii="Arial" w:cs="Arial" w:eastAsia="Arial" w:hAnsi="Arial"/>
          <w:color w:val="2C3E50"/>
          <w:sz w:val="22"/>
          <w:szCs w:val="22"/>
        </w:rPr>
        <w:t xml:space="preserve">For patients with high deductibles or no insurance, financial counselors assess the patient’s ability to pay and establish payment arrangements before services are rendered.</w:t>
      </w:r>
    </w:p>
    <w:p>
      <w:pPr>
        <w:pStyle w:val="Heading3"/>
        <w:spacing w:before="240" w:after="120"/>
      </w:pPr>
      <w:r>
        <w:rPr>
          <w:rFonts w:ascii="Arial" w:cs="Arial" w:eastAsia="Arial" w:hAnsi="Arial"/>
          <w:b/>
          <w:bCs/>
          <w:color w:val="2980B9"/>
          <w:sz w:val="24"/>
          <w:szCs w:val="24"/>
        </w:rPr>
        <w:t xml:space="preserve">Stage 2: Encounter</w:t>
      </w:r>
    </w:p>
    <w:p>
      <w:pPr>
        <w:pStyle w:val="ListParagraph"/>
        <w:numPr>
          <w:ilvl w:val="0"/>
          <w:numId w:val="2"/>
        </w:numPr>
        <w:spacing w:before="40" w:after="40" w:line="300"/>
      </w:pPr>
      <w:r>
        <w:rPr>
          <w:rFonts w:ascii="Arial" w:cs="Arial" w:eastAsia="Arial" w:hAnsi="Arial"/>
          <w:b/>
          <w:bCs/>
          <w:color w:val="2C3E50"/>
          <w:sz w:val="22"/>
          <w:szCs w:val="22"/>
        </w:rPr>
        <w:t xml:space="preserve">Patient Registration: </w:t>
      </w:r>
      <w:r>
        <w:rPr>
          <w:rFonts w:ascii="Arial" w:cs="Arial" w:eastAsia="Arial" w:hAnsi="Arial"/>
          <w:color w:val="2C3E50"/>
          <w:sz w:val="22"/>
          <w:szCs w:val="22"/>
        </w:rPr>
        <w:t xml:space="preserve">Accurate capture of demographic and insurance information. Errors at registration are the leading cause of claim denials.</w:t>
      </w:r>
    </w:p>
    <w:p>
      <w:pPr>
        <w:pStyle w:val="ListParagraph"/>
        <w:numPr>
          <w:ilvl w:val="0"/>
          <w:numId w:val="2"/>
        </w:numPr>
        <w:spacing w:before="40" w:after="40" w:line="300"/>
      </w:pPr>
      <w:r>
        <w:rPr>
          <w:rFonts w:ascii="Arial" w:cs="Arial" w:eastAsia="Arial" w:hAnsi="Arial"/>
          <w:b/>
          <w:bCs/>
          <w:color w:val="2C3E50"/>
          <w:sz w:val="22"/>
          <w:szCs w:val="22"/>
        </w:rPr>
        <w:t xml:space="preserve">Charge Capture: </w:t>
      </w:r>
      <w:r>
        <w:rPr>
          <w:rFonts w:ascii="Arial" w:cs="Arial" w:eastAsia="Arial" w:hAnsi="Arial"/>
          <w:color w:val="2C3E50"/>
          <w:sz w:val="22"/>
          <w:szCs w:val="22"/>
        </w:rPr>
        <w:t xml:space="preserve">As clinical services are provided, charges are generated. This can happen automatically (procedure orders generating charges) or manually (charge capture sheets). Charges include CPT/HCPCS procedure codes, revenue codes, units, and modifiers.</w:t>
      </w:r>
    </w:p>
    <w:p>
      <w:pPr>
        <w:pStyle w:val="ListParagraph"/>
        <w:numPr>
          <w:ilvl w:val="0"/>
          <w:numId w:val="2"/>
        </w:numPr>
        <w:spacing w:before="40" w:after="40" w:line="300"/>
      </w:pPr>
      <w:r>
        <w:rPr>
          <w:rFonts w:ascii="Arial" w:cs="Arial" w:eastAsia="Arial" w:hAnsi="Arial"/>
          <w:b/>
          <w:bCs/>
          <w:color w:val="2C3E50"/>
          <w:sz w:val="22"/>
          <w:szCs w:val="22"/>
        </w:rPr>
        <w:t xml:space="preserve">Clinical Documentation: </w:t>
      </w:r>
      <w:r>
        <w:rPr>
          <w:rFonts w:ascii="Arial" w:cs="Arial" w:eastAsia="Arial" w:hAnsi="Arial"/>
          <w:color w:val="2C3E50"/>
          <w:sz w:val="22"/>
          <w:szCs w:val="22"/>
        </w:rPr>
        <w:t xml:space="preserve">The clinical record must support the medical necessity of services billed. Insufficient documentation leads to claim denials, downcoding, and audit risk.</w:t>
      </w:r>
    </w:p>
    <w:p>
      <w:pPr>
        <w:pStyle w:val="ListParagraph"/>
        <w:numPr>
          <w:ilvl w:val="0"/>
          <w:numId w:val="2"/>
        </w:numPr>
        <w:spacing w:before="40" w:after="40" w:line="300"/>
      </w:pPr>
      <w:r>
        <w:rPr>
          <w:rFonts w:ascii="Arial" w:cs="Arial" w:eastAsia="Arial" w:hAnsi="Arial"/>
          <w:b/>
          <w:bCs/>
          <w:color w:val="2C3E50"/>
          <w:sz w:val="22"/>
          <w:szCs w:val="22"/>
        </w:rPr>
        <w:t xml:space="preserve">DFT Messages: </w:t>
      </w:r>
      <w:r>
        <w:rPr>
          <w:rFonts w:ascii="Arial" w:cs="Arial" w:eastAsia="Arial" w:hAnsi="Arial"/>
          <w:color w:val="2C3E50"/>
          <w:sz w:val="22"/>
          <w:szCs w:val="22"/>
        </w:rPr>
        <w:t xml:space="preserve">HL7 v2 Detail Financial Transaction (DFT) messages transmit charges from clinical systems to the billing/patient accounting system. These messages contain patient demographics (PID), financial transaction data (FT1), diagnosis codes (DG1), and insurance information (IN1).</w:t>
      </w:r>
    </w:p>
    <w:p>
      <w:pPr>
        <w:pStyle w:val="Heading3"/>
        <w:spacing w:before="240" w:after="120"/>
      </w:pPr>
      <w:r>
        <w:rPr>
          <w:rFonts w:ascii="Arial" w:cs="Arial" w:eastAsia="Arial" w:hAnsi="Arial"/>
          <w:b/>
          <w:bCs/>
          <w:color w:val="2980B9"/>
          <w:sz w:val="24"/>
          <w:szCs w:val="24"/>
        </w:rPr>
        <w:t xml:space="preserve">Stage 3: Claims Processing</w:t>
      </w:r>
    </w:p>
    <w:p>
      <w:pPr>
        <w:pStyle w:val="ListParagraph"/>
        <w:numPr>
          <w:ilvl w:val="0"/>
          <w:numId w:val="2"/>
        </w:numPr>
        <w:spacing w:before="40" w:after="40" w:line="300"/>
      </w:pPr>
      <w:r>
        <w:rPr>
          <w:rFonts w:ascii="Arial" w:cs="Arial" w:eastAsia="Arial" w:hAnsi="Arial"/>
          <w:b/>
          <w:bCs/>
          <w:color w:val="2C3E50"/>
          <w:sz w:val="22"/>
          <w:szCs w:val="22"/>
        </w:rPr>
        <w:t xml:space="preserve">Charge Review: </w:t>
      </w:r>
      <w:r>
        <w:rPr>
          <w:rFonts w:ascii="Arial" w:cs="Arial" w:eastAsia="Arial" w:hAnsi="Arial"/>
          <w:color w:val="2C3E50"/>
          <w:sz w:val="22"/>
          <w:szCs w:val="22"/>
        </w:rPr>
        <w:t xml:space="preserve">Before claim submission, charges are reviewed for accuracy. This includes verifying correct codes, checking for bundling issues, and ensuring documentation supports the billed services.</w:t>
      </w:r>
    </w:p>
    <w:p>
      <w:pPr>
        <w:pStyle w:val="ListParagraph"/>
        <w:numPr>
          <w:ilvl w:val="0"/>
          <w:numId w:val="2"/>
        </w:numPr>
        <w:spacing w:before="40" w:after="40" w:line="300"/>
      </w:pPr>
      <w:r>
        <w:rPr>
          <w:rFonts w:ascii="Arial" w:cs="Arial" w:eastAsia="Arial" w:hAnsi="Arial"/>
          <w:b/>
          <w:bCs/>
          <w:color w:val="2C3E50"/>
          <w:sz w:val="22"/>
          <w:szCs w:val="22"/>
        </w:rPr>
        <w:t xml:space="preserve">Claim Generation: </w:t>
      </w:r>
      <w:r>
        <w:rPr>
          <w:rFonts w:ascii="Arial" w:cs="Arial" w:eastAsia="Arial" w:hAnsi="Arial"/>
          <w:color w:val="2C3E50"/>
          <w:sz w:val="22"/>
          <w:szCs w:val="22"/>
        </w:rPr>
        <w:t xml:space="preserve">The billing system generates a claim in X12 837 format. Professional claims use the 837P format; institutional (hospital) claims use 837I. The claim contains all patient demographics, insurance details, diagnosis codes, procedure codes, charges, and service dates.</w:t>
      </w:r>
    </w:p>
    <w:p>
      <w:pPr>
        <w:pStyle w:val="ListParagraph"/>
        <w:numPr>
          <w:ilvl w:val="0"/>
          <w:numId w:val="2"/>
        </w:numPr>
        <w:spacing w:before="40" w:after="40" w:line="300"/>
      </w:pPr>
      <w:r>
        <w:rPr>
          <w:rFonts w:ascii="Arial" w:cs="Arial" w:eastAsia="Arial" w:hAnsi="Arial"/>
          <w:b/>
          <w:bCs/>
          <w:color w:val="2C3E50"/>
          <w:sz w:val="22"/>
          <w:szCs w:val="22"/>
        </w:rPr>
        <w:t xml:space="preserve">Claim Scrubbing: </w:t>
      </w:r>
      <w:r>
        <w:rPr>
          <w:rFonts w:ascii="Arial" w:cs="Arial" w:eastAsia="Arial" w:hAnsi="Arial"/>
          <w:color w:val="2C3E50"/>
          <w:sz w:val="22"/>
          <w:szCs w:val="22"/>
        </w:rPr>
        <w:t xml:space="preserve">Before submission, claims pass through claim scrubbing software that checks for common errors: missing fields, invalid code combinations, bundling violations, and payer-specific requirements.</w:t>
      </w:r>
    </w:p>
    <w:p>
      <w:pPr>
        <w:pStyle w:val="ListParagraph"/>
        <w:numPr>
          <w:ilvl w:val="0"/>
          <w:numId w:val="2"/>
        </w:numPr>
        <w:spacing w:before="40" w:after="40" w:line="300"/>
      </w:pPr>
      <w:r>
        <w:rPr>
          <w:rFonts w:ascii="Arial" w:cs="Arial" w:eastAsia="Arial" w:hAnsi="Arial"/>
          <w:b/>
          <w:bCs/>
          <w:color w:val="2C3E50"/>
          <w:sz w:val="22"/>
          <w:szCs w:val="22"/>
        </w:rPr>
        <w:t xml:space="preserve">Clearinghouse Submission: </w:t>
      </w:r>
      <w:r>
        <w:rPr>
          <w:rFonts w:ascii="Arial" w:cs="Arial" w:eastAsia="Arial" w:hAnsi="Arial"/>
          <w:color w:val="2C3E50"/>
          <w:sz w:val="22"/>
          <w:szCs w:val="22"/>
        </w:rPr>
        <w:t xml:space="preserve">Claims are submitted electronically to a clearinghouse (such as Change Healthcare, Availity, or Trizetto) which validates, translates, and routes the claim to the appropriate payer.</w:t>
      </w:r>
    </w:p>
    <w:p>
      <w:pPr>
        <w:pStyle w:val="Heading3"/>
        <w:spacing w:before="240" w:after="120"/>
      </w:pPr>
      <w:r>
        <w:rPr>
          <w:rFonts w:ascii="Arial" w:cs="Arial" w:eastAsia="Arial" w:hAnsi="Arial"/>
          <w:b/>
          <w:bCs/>
          <w:color w:val="2980B9"/>
          <w:sz w:val="24"/>
          <w:szCs w:val="24"/>
        </w:rPr>
        <w:t xml:space="preserve">Stage 4: Payment and Adjudication</w:t>
      </w:r>
    </w:p>
    <w:p>
      <w:pPr>
        <w:pStyle w:val="ListParagraph"/>
        <w:numPr>
          <w:ilvl w:val="0"/>
          <w:numId w:val="2"/>
        </w:numPr>
        <w:spacing w:before="40" w:after="40" w:line="300"/>
      </w:pPr>
      <w:r>
        <w:rPr>
          <w:rFonts w:ascii="Arial" w:cs="Arial" w:eastAsia="Arial" w:hAnsi="Arial"/>
          <w:b/>
          <w:bCs/>
          <w:color w:val="2C3E50"/>
          <w:sz w:val="22"/>
          <w:szCs w:val="22"/>
        </w:rPr>
        <w:t xml:space="preserve">Claim Adjudication: </w:t>
      </w:r>
      <w:r>
        <w:rPr>
          <w:rFonts w:ascii="Arial" w:cs="Arial" w:eastAsia="Arial" w:hAnsi="Arial"/>
          <w:color w:val="2C3E50"/>
          <w:sz w:val="22"/>
          <w:szCs w:val="22"/>
        </w:rPr>
        <w:t xml:space="preserve">The payer processes the claim against the patient’s benefit plan, applying coverage rules, medical policies, fee schedules, contracted rates, and patient cost-sharing provisions.</w:t>
      </w:r>
    </w:p>
    <w:p>
      <w:pPr>
        <w:pStyle w:val="ListParagraph"/>
        <w:numPr>
          <w:ilvl w:val="0"/>
          <w:numId w:val="2"/>
        </w:numPr>
        <w:spacing w:before="40" w:after="40" w:line="300"/>
      </w:pPr>
      <w:r>
        <w:rPr>
          <w:rFonts w:ascii="Arial" w:cs="Arial" w:eastAsia="Arial" w:hAnsi="Arial"/>
          <w:b/>
          <w:bCs/>
          <w:color w:val="2C3E50"/>
          <w:sz w:val="22"/>
          <w:szCs w:val="22"/>
        </w:rPr>
        <w:t xml:space="preserve">Remittance Advice: </w:t>
      </w:r>
      <w:r>
        <w:rPr>
          <w:rFonts w:ascii="Arial" w:cs="Arial" w:eastAsia="Arial" w:hAnsi="Arial"/>
          <w:color w:val="2C3E50"/>
          <w:sz w:val="22"/>
          <w:szCs w:val="22"/>
        </w:rPr>
        <w:t xml:space="preserve">The payer returns an X12 835 (Electronic Remittance Advice / ERA) indicating payment amounts, adjustments, and denial reasons for each service line. This is automatically posted to the billing system.</w:t>
      </w:r>
    </w:p>
    <w:p>
      <w:pPr>
        <w:pStyle w:val="ListParagraph"/>
        <w:numPr>
          <w:ilvl w:val="0"/>
          <w:numId w:val="2"/>
        </w:numPr>
        <w:spacing w:before="40" w:after="40" w:line="300"/>
      </w:pPr>
      <w:r>
        <w:rPr>
          <w:rFonts w:ascii="Arial" w:cs="Arial" w:eastAsia="Arial" w:hAnsi="Arial"/>
          <w:b/>
          <w:bCs/>
          <w:color w:val="2C3E50"/>
          <w:sz w:val="22"/>
          <w:szCs w:val="22"/>
        </w:rPr>
        <w:t xml:space="preserve">Explanation of Benefits (EOB): </w:t>
      </w:r>
      <w:r>
        <w:rPr>
          <w:rFonts w:ascii="Arial" w:cs="Arial" w:eastAsia="Arial" w:hAnsi="Arial"/>
          <w:color w:val="2C3E50"/>
          <w:sz w:val="22"/>
          <w:szCs w:val="22"/>
        </w:rPr>
        <w:t xml:space="preserve">The payer sends the patient an EOB explaining what was billed, what the insurance paid, and what the patient owes.</w:t>
      </w:r>
    </w:p>
    <w:p>
      <w:pPr>
        <w:pStyle w:val="ListParagraph"/>
        <w:numPr>
          <w:ilvl w:val="0"/>
          <w:numId w:val="2"/>
        </w:numPr>
        <w:spacing w:before="40" w:after="40" w:line="300"/>
      </w:pPr>
      <w:r>
        <w:rPr>
          <w:rFonts w:ascii="Arial" w:cs="Arial" w:eastAsia="Arial" w:hAnsi="Arial"/>
          <w:b/>
          <w:bCs/>
          <w:color w:val="2C3E50"/>
          <w:sz w:val="22"/>
          <w:szCs w:val="22"/>
        </w:rPr>
        <w:t xml:space="preserve">Payment Posting: </w:t>
      </w:r>
      <w:r>
        <w:rPr>
          <w:rFonts w:ascii="Arial" w:cs="Arial" w:eastAsia="Arial" w:hAnsi="Arial"/>
          <w:color w:val="2C3E50"/>
          <w:sz w:val="22"/>
          <w:szCs w:val="22"/>
        </w:rPr>
        <w:t xml:space="preserve">ERA payments are posted to patient accounts in the billing system. Automated payment posting matches ERA data to open claims and records payments, adjustments, and denials.</w:t>
      </w:r>
    </w:p>
    <w:p>
      <w:pPr>
        <w:pStyle w:val="Heading3"/>
        <w:spacing w:before="240" w:after="120"/>
      </w:pPr>
      <w:r>
        <w:rPr>
          <w:rFonts w:ascii="Arial" w:cs="Arial" w:eastAsia="Arial" w:hAnsi="Arial"/>
          <w:b/>
          <w:bCs/>
          <w:color w:val="2980B9"/>
          <w:sz w:val="24"/>
          <w:szCs w:val="24"/>
        </w:rPr>
        <w:t xml:space="preserve">Stage 5: Denial Management and Collections</w:t>
      </w:r>
    </w:p>
    <w:p>
      <w:pPr>
        <w:pStyle w:val="ListParagraph"/>
        <w:numPr>
          <w:ilvl w:val="0"/>
          <w:numId w:val="2"/>
        </w:numPr>
        <w:spacing w:before="40" w:after="40" w:line="300"/>
      </w:pPr>
      <w:r>
        <w:rPr>
          <w:rFonts w:ascii="Arial" w:cs="Arial" w:eastAsia="Arial" w:hAnsi="Arial"/>
          <w:b/>
          <w:bCs/>
          <w:color w:val="2C3E50"/>
          <w:sz w:val="22"/>
          <w:szCs w:val="22"/>
        </w:rPr>
        <w:t xml:space="preserve">Denial Analysis: </w:t>
      </w:r>
      <w:r>
        <w:rPr>
          <w:rFonts w:ascii="Arial" w:cs="Arial" w:eastAsia="Arial" w:hAnsi="Arial"/>
          <w:color w:val="2C3E50"/>
          <w:sz w:val="22"/>
          <w:szCs w:val="22"/>
        </w:rPr>
        <w:t xml:space="preserve">Denied claims are categorized by reason code (using CARC — Claim Adjustment Reason Codes and RARC — Remittance Advice Remark Codes). Common denial reasons include: patient not eligible, prior authorization missing, coding errors, timely filing exceeded, and medical necessity not established.</w:t>
      </w:r>
    </w:p>
    <w:p>
      <w:pPr>
        <w:pStyle w:val="ListParagraph"/>
        <w:numPr>
          <w:ilvl w:val="0"/>
          <w:numId w:val="2"/>
        </w:numPr>
        <w:spacing w:before="40" w:after="40" w:line="300"/>
      </w:pPr>
      <w:r>
        <w:rPr>
          <w:rFonts w:ascii="Arial" w:cs="Arial" w:eastAsia="Arial" w:hAnsi="Arial"/>
          <w:b/>
          <w:bCs/>
          <w:color w:val="2C3E50"/>
          <w:sz w:val="22"/>
          <w:szCs w:val="22"/>
        </w:rPr>
        <w:t xml:space="preserve">Appeals: </w:t>
      </w:r>
      <w:r>
        <w:rPr>
          <w:rFonts w:ascii="Arial" w:cs="Arial" w:eastAsia="Arial" w:hAnsi="Arial"/>
          <w:color w:val="2C3E50"/>
          <w:sz w:val="22"/>
          <w:szCs w:val="22"/>
        </w:rPr>
        <w:t xml:space="preserve">For improperly denied claims, the billing team submits appeals with additional documentation. The appeals process follows payer-specific timelines and requirements.</w:t>
      </w:r>
    </w:p>
    <w:p>
      <w:pPr>
        <w:pStyle w:val="ListParagraph"/>
        <w:numPr>
          <w:ilvl w:val="0"/>
          <w:numId w:val="2"/>
        </w:numPr>
        <w:spacing w:before="40" w:after="40" w:line="300"/>
      </w:pPr>
      <w:r>
        <w:rPr>
          <w:rFonts w:ascii="Arial" w:cs="Arial" w:eastAsia="Arial" w:hAnsi="Arial"/>
          <w:b/>
          <w:bCs/>
          <w:color w:val="2C3E50"/>
          <w:sz w:val="22"/>
          <w:szCs w:val="22"/>
        </w:rPr>
        <w:t xml:space="preserve">Patient Balance Billing: </w:t>
      </w:r>
      <w:r>
        <w:rPr>
          <w:rFonts w:ascii="Arial" w:cs="Arial" w:eastAsia="Arial" w:hAnsi="Arial"/>
          <w:color w:val="2C3E50"/>
          <w:sz w:val="22"/>
          <w:szCs w:val="22"/>
        </w:rPr>
        <w:t xml:space="preserve">After insurance payment, remaining patient responsibility (copays, coinsurance, deductibles) is billed to the patient via patient statements.</w:t>
      </w:r>
    </w:p>
    <w:p>
      <w:pPr>
        <w:pStyle w:val="ListParagraph"/>
        <w:numPr>
          <w:ilvl w:val="0"/>
          <w:numId w:val="2"/>
        </w:numPr>
        <w:spacing w:before="40" w:after="40" w:line="300"/>
      </w:pPr>
      <w:r>
        <w:rPr>
          <w:rFonts w:ascii="Arial" w:cs="Arial" w:eastAsia="Arial" w:hAnsi="Arial"/>
          <w:b/>
          <w:bCs/>
          <w:color w:val="2C3E50"/>
          <w:sz w:val="22"/>
          <w:szCs w:val="22"/>
        </w:rPr>
        <w:t xml:space="preserve">Collections: </w:t>
      </w:r>
      <w:r>
        <w:rPr>
          <w:rFonts w:ascii="Arial" w:cs="Arial" w:eastAsia="Arial" w:hAnsi="Arial"/>
          <w:color w:val="2C3E50"/>
          <w:sz w:val="22"/>
          <w:szCs w:val="22"/>
        </w:rPr>
        <w:t xml:space="preserve">Unpaid patient balances are worked through internal collection efforts and, if necessary, referred to external collection agencies.</w:t>
      </w:r>
    </w:p>
    <w:p>
      <w:pPr>
        <w:spacing w:before="120" w:after="120"/>
      </w:pPr>
    </w:p>
    <w:p>
      <w:pPr>
        <w:pStyle w:val="Heading2"/>
        <w:spacing w:before="300" w:after="160"/>
      </w:pPr>
      <w:r>
        <w:rPr>
          <w:rFonts w:ascii="Arial" w:cs="Arial" w:eastAsia="Arial" w:hAnsi="Arial"/>
          <w:b/>
          <w:bCs/>
          <w:color w:val="2E86C1"/>
          <w:sz w:val="28"/>
          <w:szCs w:val="28"/>
        </w:rPr>
        <w:t xml:space="preserve">5.2 Key RCM Financial Transactions and Standards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300"/>
        <w:gridCol w:w="36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X12 Code</w:t>
            </w:r>
          </w:p>
        </w:tc>
        <w:tc>
          <w:tcPr>
            <w:tcW w:type="dxa" w:w="2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Eligibility Inquiry</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270</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Query patient’s insurance coverage and benefits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Eligibility Response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271</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Payer → Provider</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Return coverage details, copays, deductibles, benefit limits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Claim Submission (Professional)</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837P</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Submit physician/outpatient charges for reimbursement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Claim Submission (Institutional)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837I</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Submit hospital/facility charges for reimbursement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Remittance Advice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835</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Payer → Provider</w:t>
            </w:r>
          </w:p>
        </w:tc>
        <w:tc>
          <w:tcPr>
            <w:tcW w:type="dxa" w:w="3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Report payment amounts, adjustments, and denial reasons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Claim Status Inquiry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276</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Check processing status of a submitted claim</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Claim Status Response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277</w:t>
            </w:r>
          </w:p>
        </w:tc>
        <w:tc>
          <w:tcPr>
            <w:tcW w:type="dxa" w:w="2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Payer → Provider</w:t>
            </w:r>
          </w:p>
        </w:tc>
        <w:tc>
          <w:tcPr>
            <w:tcW w:type="dxa" w:w="3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Return current adjudication status of the claim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Prior Auth Request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278</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Provider → Payer</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Request pre-service authorization for planned services</w:t>
            </w:r>
          </w:p>
        </w:tc>
      </w:tr>
    </w:tbl>
    <w:p>
      <w:pPr>
        <w:spacing w:before="120" w:after="120"/>
      </w:pPr>
    </w:p>
    <w:p>
      <w:pPr>
        <w:pStyle w:val="Heading2"/>
        <w:spacing w:before="300" w:after="160"/>
      </w:pPr>
      <w:r>
        <w:rPr>
          <w:rFonts w:ascii="Arial" w:cs="Arial" w:eastAsia="Arial" w:hAnsi="Arial"/>
          <w:b/>
          <w:bCs/>
          <w:color w:val="2E86C1"/>
          <w:sz w:val="28"/>
          <w:szCs w:val="28"/>
        </w:rPr>
        <w:t xml:space="preserve">5.3 RCM Metrics and KPIs</w:t>
      </w:r>
    </w:p>
    <w:p>
      <w:pPr>
        <w:spacing w:before="60" w:after="100" w:line="320"/>
      </w:pPr>
      <w:r>
        <w:rPr>
          <w:rFonts w:ascii="Arial" w:cs="Arial" w:eastAsia="Arial" w:hAnsi="Arial"/>
          <w:color w:val="2C3E50"/>
          <w:sz w:val="22"/>
          <w:szCs w:val="22"/>
        </w:rPr>
        <w:t xml:space="preserve">Integration architects should understand the key performance indicators used to measure revenue cycle health, as these metrics often drive priorities for interface development and optimization.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Days in A/R</w:t>
            </w:r>
          </w:p>
        </w:tc>
        <w:tc>
          <w:tcPr>
            <w:tcW w:type="dxa" w:w="4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Average number of days from service to payment</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30–40 days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Clean Claim Rate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Percentage of claims accepted without errors on first submission</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&gt;95%</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Denial Rate</w:t>
            </w:r>
          </w:p>
        </w:tc>
        <w:tc>
          <w:tcPr>
            <w:tcW w:type="dxa" w:w="4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Percentage of claims denied by payers</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&lt;5%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Net Collection Rate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Percentage of expected reimbursement actually collected</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&gt;95%</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Cost to Collect</w:t>
            </w:r>
          </w:p>
        </w:tc>
        <w:tc>
          <w:tcPr>
            <w:tcW w:type="dxa" w:w="4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Administrative cost to collect each dollar of revenue</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&lt;3–4%</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First Pass Resolution Rate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Percentage of claims paid on first submission without rework</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&gt;90%</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Integration Architect Insight — RCM</w:t>
            </w:r>
          </w:p>
          <w:p>
            <w:pPr>
              <w:spacing w:before="40"/>
            </w:pPr>
            <w:r>
              <w:rPr>
                <w:rFonts w:ascii="Arial" w:cs="Arial" w:eastAsia="Arial" w:hAnsi="Arial"/>
                <w:color w:val="2C3E50"/>
                <w:sz w:val="20"/>
                <w:szCs w:val="20"/>
              </w:rPr>
              <w:t xml:space="preserve">Revenue cycle interfaces are among the most critical in any healthcare organization. A billing interface outage that lasts even a few hours can create a claims backlog that takes weeks to clear. When designing RCM integrations, prioritize reliability, error handling, duplicate detection, and monitoring. Always include automated alerting for queue depth, error rates, and processing latency.</w:t>
            </w:r>
          </w:p>
        </w:tc>
      </w:tr>
    </w:tbl>
    <w:p>
      <w:r>
        <w:br w:type="page"/>
      </w:r>
    </w:p>
    <w:p>
      <w:pPr>
        <w:pStyle w:val="Heading1"/>
        <w:pBdr>
          <w:bottom w:val="single" w:color="2E86C1" w:sz="3" w:space="8"/>
        </w:pBdr>
        <w:spacing w:before="360" w:after="200"/>
      </w:pPr>
      <w:r>
        <w:rPr>
          <w:rFonts w:ascii="Arial" w:cs="Arial" w:eastAsia="Arial" w:hAnsi="Arial"/>
          <w:b/>
          <w:bCs/>
          <w:color w:val="1B4F72"/>
          <w:sz w:val="36"/>
          <w:szCs w:val="36"/>
        </w:rPr>
        <w:t xml:space="preserve">6. Recommended Learning Resources</w:t>
      </w:r>
    </w:p>
    <w:p>
      <w:pPr>
        <w:pStyle w:val="Heading2"/>
        <w:spacing w:before="300" w:after="160"/>
      </w:pPr>
      <w:r>
        <w:rPr>
          <w:rFonts w:ascii="Arial" w:cs="Arial" w:eastAsia="Arial" w:hAnsi="Arial"/>
          <w:b/>
          <w:bCs/>
          <w:color w:val="2E86C1"/>
          <w:sz w:val="28"/>
          <w:szCs w:val="28"/>
        </w:rPr>
        <w:t xml:space="preserve">6.1 Books and Publications</w:t>
      </w:r>
    </w:p>
    <w:p>
      <w:pPr>
        <w:pStyle w:val="ListParagraph"/>
        <w:numPr>
          <w:ilvl w:val="0"/>
          <w:numId w:val="2"/>
        </w:numPr>
        <w:spacing w:before="40" w:after="40" w:line="300"/>
      </w:pPr>
      <w:r>
        <w:rPr>
          <w:rFonts w:ascii="Arial" w:cs="Arial" w:eastAsia="Arial" w:hAnsi="Arial"/>
          <w:b/>
          <w:bCs/>
          <w:color w:val="2C3E50"/>
          <w:sz w:val="22"/>
          <w:szCs w:val="22"/>
        </w:rPr>
        <w:t xml:space="preserve">Health Information Exchange: Navigating and Managing a Networked Health Information Environment </w:t>
      </w:r>
      <w:r>
        <w:rPr>
          <w:rFonts w:ascii="Arial" w:cs="Arial" w:eastAsia="Arial" w:hAnsi="Arial"/>
          <w:color w:val="2C3E50"/>
          <w:sz w:val="22"/>
          <w:szCs w:val="22"/>
        </w:rPr>
        <w:t xml:space="preserve">— Comprehensive guide to HIE concepts and architecture.</w:t>
      </w:r>
    </w:p>
    <w:p>
      <w:pPr>
        <w:pStyle w:val="ListParagraph"/>
        <w:numPr>
          <w:ilvl w:val="0"/>
          <w:numId w:val="2"/>
        </w:numPr>
        <w:spacing w:before="40" w:after="40" w:line="300"/>
      </w:pPr>
      <w:r>
        <w:rPr>
          <w:rFonts w:ascii="Arial" w:cs="Arial" w:eastAsia="Arial" w:hAnsi="Arial"/>
          <w:b/>
          <w:bCs/>
          <w:color w:val="2C3E50"/>
          <w:sz w:val="22"/>
          <w:szCs w:val="22"/>
        </w:rPr>
        <w:t xml:space="preserve">HL7 for Busy Professionals (Zhitomirsky-Geffet) </w:t>
      </w:r>
      <w:r>
        <w:rPr>
          <w:rFonts w:ascii="Arial" w:cs="Arial" w:eastAsia="Arial" w:hAnsi="Arial"/>
          <w:color w:val="2C3E50"/>
          <w:sz w:val="22"/>
          <w:szCs w:val="22"/>
        </w:rPr>
        <w:t xml:space="preserve">— Practical HL7 v2 reference.</w:t>
      </w:r>
    </w:p>
    <w:p>
      <w:pPr>
        <w:pStyle w:val="ListParagraph"/>
        <w:numPr>
          <w:ilvl w:val="0"/>
          <w:numId w:val="2"/>
        </w:numPr>
        <w:spacing w:before="40" w:after="40" w:line="300"/>
      </w:pPr>
      <w:r>
        <w:rPr>
          <w:rFonts w:ascii="Arial" w:cs="Arial" w:eastAsia="Arial" w:hAnsi="Arial"/>
          <w:b/>
          <w:bCs/>
          <w:color w:val="2C3E50"/>
          <w:sz w:val="22"/>
          <w:szCs w:val="22"/>
        </w:rPr>
        <w:t xml:space="preserve">Medical Terminology: A Short Course (Chabner) </w:t>
      </w:r>
      <w:r>
        <w:rPr>
          <w:rFonts w:ascii="Arial" w:cs="Arial" w:eastAsia="Arial" w:hAnsi="Arial"/>
          <w:color w:val="2C3E50"/>
          <w:sz w:val="22"/>
          <w:szCs w:val="22"/>
        </w:rPr>
        <w:t xml:space="preserve">— Accessible introduction to healthcare terminology.</w:t>
      </w:r>
    </w:p>
    <w:p>
      <w:pPr>
        <w:pStyle w:val="ListParagraph"/>
        <w:numPr>
          <w:ilvl w:val="0"/>
          <w:numId w:val="2"/>
        </w:numPr>
        <w:spacing w:before="40" w:after="40" w:line="300"/>
      </w:pPr>
      <w:r>
        <w:rPr>
          <w:rFonts w:ascii="Arial" w:cs="Arial" w:eastAsia="Arial" w:hAnsi="Arial"/>
          <w:b/>
          <w:bCs/>
          <w:color w:val="2C3E50"/>
          <w:sz w:val="22"/>
          <w:szCs w:val="22"/>
        </w:rPr>
        <w:t xml:space="preserve">Understanding Health Policy: A Clinical Approach (Bodenheimer &amp; Grumbach) </w:t>
      </w:r>
      <w:r>
        <w:rPr>
          <w:rFonts w:ascii="Arial" w:cs="Arial" w:eastAsia="Arial" w:hAnsi="Arial"/>
          <w:color w:val="2C3E50"/>
          <w:sz w:val="22"/>
          <w:szCs w:val="22"/>
        </w:rPr>
        <w:t xml:space="preserve">— Healthcare system overview with policy context.</w:t>
      </w:r>
    </w:p>
    <w:p>
      <w:pPr>
        <w:pStyle w:val="Heading2"/>
        <w:spacing w:before="300" w:after="160"/>
      </w:pPr>
      <w:r>
        <w:rPr>
          <w:rFonts w:ascii="Arial" w:cs="Arial" w:eastAsia="Arial" w:hAnsi="Arial"/>
          <w:b/>
          <w:bCs/>
          <w:color w:val="2E86C1"/>
          <w:sz w:val="28"/>
          <w:szCs w:val="28"/>
        </w:rPr>
        <w:t xml:space="preserve">6.2 Online Platforms</w:t>
      </w:r>
    </w:p>
    <w:p>
      <w:pPr>
        <w:pStyle w:val="ListParagraph"/>
        <w:numPr>
          <w:ilvl w:val="0"/>
          <w:numId w:val="2"/>
        </w:numPr>
        <w:spacing w:before="40" w:after="40" w:line="300"/>
      </w:pPr>
      <w:r>
        <w:rPr>
          <w:rFonts w:ascii="Arial" w:cs="Arial" w:eastAsia="Arial" w:hAnsi="Arial"/>
          <w:b/>
          <w:bCs/>
          <w:color w:val="2C3E50"/>
          <w:sz w:val="22"/>
          <w:szCs w:val="22"/>
        </w:rPr>
        <w:t xml:space="preserve">CMS.gov </w:t>
      </w:r>
      <w:r>
        <w:rPr>
          <w:rFonts w:ascii="Arial" w:cs="Arial" w:eastAsia="Arial" w:hAnsi="Arial"/>
          <w:color w:val="2C3E50"/>
          <w:sz w:val="22"/>
          <w:szCs w:val="22"/>
        </w:rPr>
        <w:t xml:space="preserve">— Official CMS website for Medicare/Medicaid regulations, billing guidelines, and interoperability rules.</w:t>
      </w:r>
    </w:p>
    <w:p>
      <w:pPr>
        <w:pStyle w:val="ListParagraph"/>
        <w:numPr>
          <w:ilvl w:val="0"/>
          <w:numId w:val="2"/>
        </w:numPr>
        <w:spacing w:before="40" w:after="40" w:line="300"/>
      </w:pPr>
      <w:r>
        <w:rPr>
          <w:rFonts w:ascii="Arial" w:cs="Arial" w:eastAsia="Arial" w:hAnsi="Arial"/>
          <w:b/>
          <w:bCs/>
          <w:color w:val="2C3E50"/>
          <w:sz w:val="22"/>
          <w:szCs w:val="22"/>
        </w:rPr>
        <w:t xml:space="preserve">HealthIT.gov </w:t>
      </w:r>
      <w:r>
        <w:rPr>
          <w:rFonts w:ascii="Arial" w:cs="Arial" w:eastAsia="Arial" w:hAnsi="Arial"/>
          <w:color w:val="2C3E50"/>
          <w:sz w:val="22"/>
          <w:szCs w:val="22"/>
        </w:rPr>
        <w:t xml:space="preserve">— ONC’s portal for health IT regulations, USCDI, TEFCA, and certification criteria.</w:t>
      </w:r>
    </w:p>
    <w:p>
      <w:pPr>
        <w:pStyle w:val="ListParagraph"/>
        <w:numPr>
          <w:ilvl w:val="0"/>
          <w:numId w:val="2"/>
        </w:numPr>
        <w:spacing w:before="40" w:after="40" w:line="300"/>
      </w:pPr>
      <w:r>
        <w:rPr>
          <w:rFonts w:ascii="Arial" w:cs="Arial" w:eastAsia="Arial" w:hAnsi="Arial"/>
          <w:b/>
          <w:bCs/>
          <w:color w:val="2C3E50"/>
          <w:sz w:val="22"/>
          <w:szCs w:val="22"/>
        </w:rPr>
        <w:t xml:space="preserve">NLM MedlinePlus (medlineplus.gov) </w:t>
      </w:r>
      <w:r>
        <w:rPr>
          <w:rFonts w:ascii="Arial" w:cs="Arial" w:eastAsia="Arial" w:hAnsi="Arial"/>
          <w:color w:val="2C3E50"/>
          <w:sz w:val="22"/>
          <w:szCs w:val="22"/>
        </w:rPr>
        <w:t xml:space="preserve">— National Library of Medicine’s resource for medical terminology and health information.</w:t>
      </w:r>
    </w:p>
    <w:p>
      <w:pPr>
        <w:pStyle w:val="ListParagraph"/>
        <w:numPr>
          <w:ilvl w:val="0"/>
          <w:numId w:val="2"/>
        </w:numPr>
        <w:spacing w:before="40" w:after="40" w:line="300"/>
      </w:pPr>
      <w:r>
        <w:rPr>
          <w:rFonts w:ascii="Arial" w:cs="Arial" w:eastAsia="Arial" w:hAnsi="Arial"/>
          <w:b/>
          <w:bCs/>
          <w:color w:val="2C3E50"/>
          <w:sz w:val="22"/>
          <w:szCs w:val="22"/>
        </w:rPr>
        <w:t xml:space="preserve">HL7 International (hl7.org) </w:t>
      </w:r>
      <w:r>
        <w:rPr>
          <w:rFonts w:ascii="Arial" w:cs="Arial" w:eastAsia="Arial" w:hAnsi="Arial"/>
          <w:color w:val="2C3E50"/>
          <w:sz w:val="22"/>
          <w:szCs w:val="22"/>
        </w:rPr>
        <w:t xml:space="preserve">— Standards specifications, educational materials, and certification programs.</w:t>
      </w:r>
    </w:p>
    <w:p>
      <w:pPr>
        <w:pStyle w:val="ListParagraph"/>
        <w:numPr>
          <w:ilvl w:val="0"/>
          <w:numId w:val="2"/>
        </w:numPr>
        <w:spacing w:before="40" w:after="40" w:line="300"/>
      </w:pPr>
      <w:r>
        <w:rPr>
          <w:rFonts w:ascii="Arial" w:cs="Arial" w:eastAsia="Arial" w:hAnsi="Arial"/>
          <w:b/>
          <w:bCs/>
          <w:color w:val="2C3E50"/>
          <w:sz w:val="22"/>
          <w:szCs w:val="22"/>
        </w:rPr>
        <w:t xml:space="preserve">AAPC (aapc.com) </w:t>
      </w:r>
      <w:r>
        <w:rPr>
          <w:rFonts w:ascii="Arial" w:cs="Arial" w:eastAsia="Arial" w:hAnsi="Arial"/>
          <w:color w:val="2C3E50"/>
          <w:sz w:val="22"/>
          <w:szCs w:val="22"/>
        </w:rPr>
        <w:t xml:space="preserve">— Training and certification for medical coding and billing.</w:t>
      </w:r>
    </w:p>
    <w:p>
      <w:pPr>
        <w:pStyle w:val="ListParagraph"/>
        <w:numPr>
          <w:ilvl w:val="0"/>
          <w:numId w:val="2"/>
        </w:numPr>
        <w:spacing w:before="40" w:after="40" w:line="300"/>
      </w:pPr>
      <w:r>
        <w:rPr>
          <w:rFonts w:ascii="Arial" w:cs="Arial" w:eastAsia="Arial" w:hAnsi="Arial"/>
          <w:b/>
          <w:bCs/>
          <w:color w:val="2C3E50"/>
          <w:sz w:val="22"/>
          <w:szCs w:val="22"/>
        </w:rPr>
        <w:t xml:space="preserve">HFMA (hfma.org) </w:t>
      </w:r>
      <w:r>
        <w:rPr>
          <w:rFonts w:ascii="Arial" w:cs="Arial" w:eastAsia="Arial" w:hAnsi="Arial"/>
          <w:color w:val="2C3E50"/>
          <w:sz w:val="22"/>
          <w:szCs w:val="22"/>
        </w:rPr>
        <w:t xml:space="preserve">— Healthcare Financial Management Association resources for revenue cycle management.</w:t>
      </w:r>
    </w:p>
    <w:p>
      <w:pPr>
        <w:pStyle w:val="Heading2"/>
        <w:spacing w:before="300" w:after="160"/>
      </w:pPr>
      <w:r>
        <w:rPr>
          <w:rFonts w:ascii="Arial" w:cs="Arial" w:eastAsia="Arial" w:hAnsi="Arial"/>
          <w:b/>
          <w:bCs/>
          <w:color w:val="2E86C1"/>
          <w:sz w:val="28"/>
          <w:szCs w:val="28"/>
        </w:rPr>
        <w:t xml:space="preserve">6.3 Free Training and Certifications</w:t>
      </w:r>
    </w:p>
    <w:p>
      <w:pPr>
        <w:pStyle w:val="ListParagraph"/>
        <w:numPr>
          <w:ilvl w:val="0"/>
          <w:numId w:val="2"/>
        </w:numPr>
        <w:spacing w:before="40" w:after="40" w:line="300"/>
      </w:pPr>
      <w:r>
        <w:rPr>
          <w:rFonts w:ascii="Arial" w:cs="Arial" w:eastAsia="Arial" w:hAnsi="Arial"/>
          <w:b/>
          <w:bCs/>
          <w:color w:val="2C3E50"/>
          <w:sz w:val="22"/>
          <w:szCs w:val="22"/>
        </w:rPr>
        <w:t xml:space="preserve">CMS MLN (Medicare Learning Network) </w:t>
      </w:r>
      <w:r>
        <w:rPr>
          <w:rFonts w:ascii="Arial" w:cs="Arial" w:eastAsia="Arial" w:hAnsi="Arial"/>
          <w:color w:val="2C3E50"/>
          <w:sz w:val="22"/>
          <w:szCs w:val="22"/>
        </w:rPr>
        <w:t xml:space="preserve">— Free training modules on Medicare billing, coding, and compliance.</w:t>
      </w:r>
    </w:p>
    <w:p>
      <w:pPr>
        <w:pStyle w:val="ListParagraph"/>
        <w:numPr>
          <w:ilvl w:val="0"/>
          <w:numId w:val="2"/>
        </w:numPr>
        <w:spacing w:before="40" w:after="40" w:line="300"/>
      </w:pPr>
      <w:r>
        <w:rPr>
          <w:rFonts w:ascii="Arial" w:cs="Arial" w:eastAsia="Arial" w:hAnsi="Arial"/>
          <w:b/>
          <w:bCs/>
          <w:color w:val="2C3E50"/>
          <w:sz w:val="22"/>
          <w:szCs w:val="22"/>
        </w:rPr>
        <w:t xml:space="preserve">HHS HIPAA Training </w:t>
      </w:r>
      <w:r>
        <w:rPr>
          <w:rFonts w:ascii="Arial" w:cs="Arial" w:eastAsia="Arial" w:hAnsi="Arial"/>
          <w:color w:val="2C3E50"/>
          <w:sz w:val="22"/>
          <w:szCs w:val="22"/>
        </w:rPr>
        <w:t xml:space="preserve">— Official HIPAA compliance training resources.</w:t>
      </w:r>
    </w:p>
    <w:p>
      <w:pPr>
        <w:pStyle w:val="ListParagraph"/>
        <w:numPr>
          <w:ilvl w:val="0"/>
          <w:numId w:val="2"/>
        </w:numPr>
        <w:spacing w:before="40" w:after="40" w:line="300"/>
      </w:pPr>
      <w:r>
        <w:rPr>
          <w:rFonts w:ascii="Arial" w:cs="Arial" w:eastAsia="Arial" w:hAnsi="Arial"/>
          <w:b/>
          <w:bCs/>
          <w:color w:val="2C3E50"/>
          <w:sz w:val="22"/>
          <w:szCs w:val="22"/>
        </w:rPr>
        <w:t xml:space="preserve">NLM Unified Medical Language System (UMLS) </w:t>
      </w:r>
      <w:r>
        <w:rPr>
          <w:rFonts w:ascii="Arial" w:cs="Arial" w:eastAsia="Arial" w:hAnsi="Arial"/>
          <w:color w:val="2C3E50"/>
          <w:sz w:val="22"/>
          <w:szCs w:val="22"/>
        </w:rPr>
        <w:t xml:space="preserve">— Free access to medical terminology systems and mapping tools.</w:t>
      </w:r>
    </w:p>
    <w:p>
      <w:pPr>
        <w:pStyle w:val="ListParagraph"/>
        <w:numPr>
          <w:ilvl w:val="0"/>
          <w:numId w:val="2"/>
        </w:numPr>
        <w:spacing w:before="40" w:after="40" w:line="300"/>
      </w:pPr>
      <w:r>
        <w:rPr>
          <w:rFonts w:ascii="Arial" w:cs="Arial" w:eastAsia="Arial" w:hAnsi="Arial"/>
          <w:b/>
          <w:bCs/>
          <w:color w:val="2C3E50"/>
          <w:sz w:val="22"/>
          <w:szCs w:val="22"/>
        </w:rPr>
        <w:t xml:space="preserve">WHO Health Systems Framework </w:t>
      </w:r>
      <w:r>
        <w:rPr>
          <w:rFonts w:ascii="Arial" w:cs="Arial" w:eastAsia="Arial" w:hAnsi="Arial"/>
          <w:color w:val="2C3E50"/>
          <w:sz w:val="22"/>
          <w:szCs w:val="22"/>
        </w:rPr>
        <w:t xml:space="preserve">— International perspective on healthcare system building blocks.</w:t>
      </w:r>
    </w:p>
    <w:p>
      <w:pPr>
        <w:spacing w:before="120" w:after="120"/>
      </w:pPr>
    </w:p>
    <w:p>
      <w:pPr>
        <w:pStyle w:val="Heading1"/>
        <w:pBdr>
          <w:bottom w:val="single" w:color="2E86C1" w:sz="3" w:space="8"/>
        </w:pBdr>
        <w:spacing w:before="360" w:after="200"/>
      </w:pPr>
      <w:r>
        <w:rPr>
          <w:rFonts w:ascii="Arial" w:cs="Arial" w:eastAsia="Arial" w:hAnsi="Arial"/>
          <w:b/>
          <w:bCs/>
          <w:color w:val="1B4F72"/>
          <w:sz w:val="36"/>
          <w:szCs w:val="36"/>
        </w:rPr>
        <w:t xml:space="preserve">Summary</w:t>
      </w:r>
    </w:p>
    <w:p>
      <w:pPr>
        <w:spacing w:before="60" w:after="100" w:line="320"/>
      </w:pPr>
      <w:r>
        <w:rPr>
          <w:rFonts w:ascii="Arial" w:cs="Arial" w:eastAsia="Arial" w:hAnsi="Arial"/>
          <w:color w:val="2C3E50"/>
          <w:sz w:val="22"/>
          <w:szCs w:val="22"/>
        </w:rPr>
        <w:t xml:space="preserve">Healthcare Domain Fundamentals provide the essential context that transforms a technical professional into a healthcare integration specialist. The five domains covered in this guide — Healthcare System Overview, Clinical Workflows, Medical Terminology, Healthcare Regulations, and Revenue Cycle Management — form an interconnected knowledge base that supports every integration decision you will make.</w:t>
      </w:r>
    </w:p>
    <w:p>
      <w:pPr>
        <w:spacing w:before="60" w:after="100" w:line="320"/>
      </w:pPr>
      <w:r>
        <w:rPr>
          <w:rFonts w:ascii="Arial" w:cs="Arial" w:eastAsia="Arial" w:hAnsi="Arial"/>
          <w:color w:val="2C3E50"/>
          <w:sz w:val="22"/>
          <w:szCs w:val="22"/>
        </w:rPr>
        <w:t xml:space="preserve">As you progress through the Healthcare Integration Architect Learning Path, you will find that this foundational knowledge is referenced and applied at every subsequent level. The integration engineer who understands why an ADT A03 message matters to a care coordinator, how an ICD-10 code impacts claim adjudication, and what HIPAA’s minimum necessary standard means for interface design will consistently build better, safer, and more effective integrations than one who treats healthcare data as generic data.</w:t>
      </w:r>
    </w:p>
    <w:p>
      <w:pPr>
        <w:spacing w:before="60" w:after="100" w:line="320"/>
      </w:pPr>
      <w:r>
        <w:rPr>
          <w:rFonts w:ascii="Arial" w:cs="Arial" w:eastAsia="Arial" w:hAnsi="Arial"/>
          <w:color w:val="2C3E50"/>
          <w:sz w:val="22"/>
          <w:szCs w:val="22"/>
        </w:rPr>
        <w:t xml:space="preserve">Invest the time to build this foundation thoroughly. It will pay dividends throughout your entire career.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2E86C1"/>
        <w:sz w:val="18"/>
        <w:szCs w:val="18"/>
      </w:rPr>
      <w:t xml:space="preserve">Healthcare Domain Fundamentals</w:t>
    </w:r>
    <w:r>
      <w:rPr>
        <w:rFonts w:ascii="Arial" w:cs="Arial" w:eastAsia="Arial" w:hAnsi="Arial"/>
        <w:color w:val="2E86C1"/>
        <w:sz w:val="18"/>
        <w:szCs w:val="18"/>
      </w:rPr>
      <w:t xml:space="preserve">	Section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2026-02-27T09:13:13.091Z</dcterms:created>
  <dcterms:modified xsi:type="dcterms:W3CDTF">2026-02-27T09:13:13.092Z</dcterms:modified>
</cp:coreProperties>
</file>

<file path=docProps/custom.xml><?xml version="1.0" encoding="utf-8"?>
<Properties xmlns="http://schemas.openxmlformats.org/officeDocument/2006/custom-properties" xmlns:vt="http://schemas.openxmlformats.org/officeDocument/2006/docPropsVTypes"/>
</file>