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80"/>
        <w:jc w:val="center"/>
      </w:pPr>
      <w:r>
        <w:rPr>
          <w:rFonts w:ascii="Arial" w:cs="Arial" w:eastAsia="Arial" w:hAnsi="Arial"/>
          <w:b/>
          <w:bCs/>
          <w:color w:val="1A6FA5"/>
          <w:sz w:val="22"/>
          <w:szCs w:val="22"/>
        </w:rPr>
        <w:t xml:space="preserve">HEALTHCARE INTEGRATION ARCHITECT LEARNING PATH</w:t>
      </w:r>
    </w:p>
    <w:p>
      <w:pPr>
        <w:spacing w:after="40"/>
        <w:jc w:val="center"/>
      </w:pPr>
      <w:r>
        <w:rPr>
          <w:rFonts w:ascii="Arial" w:cs="Arial" w:eastAsia="Arial" w:hAnsi="Arial"/>
          <w:color w:val="7F8C8D"/>
          <w:sz w:val="22"/>
          <w:szCs w:val="22"/>
        </w:rPr>
        <w:t xml:space="preserve">Level 1  •  Section 1.4  •  NEW SECTION</w:t>
      </w:r>
    </w:p>
    <w:p>
      <w:pPr>
        <w:spacing w:before="200" w:after="200"/>
      </w:pPr>
    </w:p>
    <w:p>
      <w:pPr>
        <w:spacing w:after="100"/>
        <w:jc w:val="center"/>
      </w:pPr>
      <w:r>
        <w:rPr>
          <w:rFonts w:ascii="Arial" w:cs="Arial" w:eastAsia="Arial" w:hAnsi="Arial"/>
          <w:b/>
          <w:bCs/>
          <w:color w:val="0D3B66"/>
          <w:sz w:val="56"/>
          <w:szCs w:val="56"/>
        </w:rPr>
        <w:t xml:space="preserve">Understanding USCDI</w:t>
      </w:r>
    </w:p>
    <w:p>
      <w:pPr>
        <w:spacing w:after="80"/>
        <w:jc w:val="center"/>
      </w:pPr>
      <w:r>
        <w:rPr>
          <w:rFonts w:ascii="Arial" w:cs="Arial" w:eastAsia="Arial" w:hAnsi="Arial"/>
          <w:b/>
          <w:bCs/>
          <w:color w:val="1A6FA5"/>
          <w:sz w:val="44"/>
          <w:szCs w:val="44"/>
        </w:rPr>
        <w:t xml:space="preserve">United States Core Data</w:t>
      </w:r>
    </w:p>
    <w:p>
      <w:pPr>
        <w:spacing w:after="160"/>
        <w:jc w:val="center"/>
      </w:pPr>
      <w:r>
        <w:rPr>
          <w:rFonts w:ascii="Arial" w:cs="Arial" w:eastAsia="Arial" w:hAnsi="Arial"/>
          <w:b/>
          <w:bCs/>
          <w:color w:val="1A6FA5"/>
          <w:sz w:val="44"/>
          <w:szCs w:val="44"/>
        </w:rPr>
        <w:t xml:space="preserve">for Interoperability</w:t>
      </w:r>
    </w:p>
    <w:p>
      <w:pPr>
        <w:spacing w:before="80" w:after="80"/>
      </w:pPr>
    </w:p>
    <w:p>
      <w:pPr>
        <w:pBdr>
          <w:top w:val="single" w:color="1A6FA5" w:sz="3" w:space="10"/>
          <w:bottom w:val="single" w:color="1A6FA5" w:sz="3" w:space="10"/>
        </w:pBdr>
        <w:spacing w:before="80" w:after="80"/>
        <w:jc w:val="center"/>
      </w:pPr>
      <w:r>
        <w:rPr>
          <w:rFonts w:ascii="Arial" w:cs="Arial" w:eastAsia="Arial" w:hAnsi="Arial"/>
          <w:i/>
          <w:iCs/>
          <w:color w:val="2980B9"/>
          <w:sz w:val="24"/>
          <w:szCs w:val="24"/>
        </w:rPr>
        <w:t xml:space="preserve">A Complete In-Depth Reference for Healthcare Integration Professionals</w:t>
      </w:r>
    </w:p>
    <w:p>
      <w:pPr>
        <w:spacing w:before="300" w:after="300"/>
      </w:pPr>
    </w:p>
    <w:p>
      <w:pPr>
        <w:jc w:val="center"/>
      </w:pPr>
      <w:r>
        <w:rPr>
          <w:rFonts w:ascii="Arial" w:cs="Arial" w:eastAsia="Arial" w:hAnsi="Arial"/>
          <w:color w:val="7F8C8D"/>
          <w:sz w:val="22"/>
          <w:szCs w:val="22"/>
        </w:rPr>
        <w:t xml:space="preserve">Covering:</w:t>
      </w:r>
    </w:p>
    <w:p>
      <w:pPr>
        <w:spacing w:before="80"/>
        <w:jc w:val="center"/>
      </w:pPr>
      <w:r>
        <w:rPr>
          <w:rFonts w:ascii="Arial" w:cs="Arial" w:eastAsia="Arial" w:hAnsi="Arial"/>
          <w:b/>
          <w:bCs/>
          <w:color w:val="2C3E50"/>
          <w:sz w:val="22"/>
          <w:szCs w:val="22"/>
        </w:rPr>
        <w:t xml:space="preserve">USCDI v1–v5 Evolution  •  FHIR US Core Mapping  •  ONC Certification &amp; HTI-1</w:t>
      </w:r>
    </w:p>
    <w:p>
      <w:pPr>
        <w:spacing w:before="60"/>
        <w:jc w:val="center"/>
      </w:pPr>
      <w:r>
        <w:rPr>
          <w:rFonts w:ascii="Arial" w:cs="Arial" w:eastAsia="Arial" w:hAnsi="Arial"/>
          <w:b/>
          <w:bCs/>
          <w:color w:val="2C3E50"/>
          <w:sz w:val="22"/>
          <w:szCs w:val="22"/>
        </w:rPr>
        <w:t xml:space="preserve">USCDI+ Extensions  •  Relationship to TEFCA</w:t>
      </w:r>
    </w:p>
    <w:p>
      <w:pPr>
        <w:spacing w:before="600" w:after="600"/>
      </w:pPr>
    </w:p>
    <w:p>
      <w:pPr>
        <w:jc w:val="center"/>
      </w:pPr>
      <w:r>
        <w:rPr>
          <w:rFonts w:ascii="Arial" w:cs="Arial" w:eastAsia="Arial" w:hAnsi="Arial"/>
          <w:b/>
          <w:bCs/>
          <w:color w:val="0D3B66"/>
          <w:sz w:val="24"/>
          <w:szCs w:val="24"/>
        </w:rPr>
        <w:t xml:space="preserve">2026 Enhanced Edition</w:t>
      </w:r>
    </w:p>
    <w:p>
      <w:r>
        <w:br w:type="page"/>
      </w:r>
    </w:p>
    <w:p>
      <w:pPr>
        <w:sectPr>
          <w:pgSz w:w="12240" w:h="15840" w:orient="portrait"/>
          <w:pgMar w:top="1440" w:right="1440" w:bottom="1440" w:left="1440" w:header="708" w:footer="708" w:gutter="0"/>
          <w:pgNumType/>
          <w:docGrid w:linePitch="360"/>
        </w:sectPr>
      </w:pPr>
    </w:p>
    <w:p>
      <w:pPr>
        <w:pStyle w:val="Heading1"/>
        <w:spacing w:before="0" w:after="300"/>
      </w:pPr>
      <w:r>
        <w:rPr>
          <w:rFonts w:ascii="Arial" w:cs="Arial" w:eastAsia="Arial" w:hAnsi="Arial"/>
          <w:b/>
          <w:bCs/>
          <w:color w:val="0D3B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Introduction</w:t>
      </w:r>
    </w:p>
    <w:p>
      <w:pPr>
        <w:spacing w:before="60" w:after="100" w:line="340"/>
      </w:pPr>
      <w:r>
        <w:rPr>
          <w:rFonts w:ascii="Arial" w:cs="Arial" w:eastAsia="Arial" w:hAnsi="Arial"/>
          <w:color w:val="2C3E50"/>
          <w:sz w:val="22"/>
          <w:szCs w:val="22"/>
        </w:rPr>
        <w:t xml:space="preserve">The United States Core Data for Interoperability (USCDI) is a standardized set of health data classes and constituent data elements that are required for nationwide, interoperable health information exchange. Published and maintained by the Office of the National Coordinator for Health Information Technology (ONC), USCDI defines the minimum set of data that must be available when health information is exchanged electronically between systems, organizations, and networks.</w:t>
      </w:r>
    </w:p>
    <w:p>
      <w:pPr>
        <w:spacing w:before="60" w:after="100" w:line="340"/>
      </w:pPr>
      <w:r>
        <w:rPr>
          <w:rFonts w:ascii="Arial" w:cs="Arial" w:eastAsia="Arial" w:hAnsi="Arial"/>
          <w:color w:val="2C3E50"/>
          <w:sz w:val="22"/>
          <w:szCs w:val="22"/>
        </w:rPr>
        <w:t xml:space="preserve">USCDI is not a message format, not a transport protocol, and not a software specification. It is a content standard — it defines what data must be exchangeable, while other standards (FHIR, HL7 v2, C-CDA) define how that data is structured and transmitted. Think of USCDI as the “shipping manifest” that lists the required contents of every interoperability shipment, while FHIR and C-CDA are the “packaging formats” for those contents.</w:t>
      </w:r>
    </w:p>
    <w:p>
      <w:pPr>
        <w:spacing w:before="60" w:after="100" w:line="340"/>
      </w:pPr>
      <w:r>
        <w:rPr>
          <w:rFonts w:ascii="Arial" w:cs="Arial" w:eastAsia="Arial" w:hAnsi="Arial"/>
          <w:color w:val="2C3E50"/>
          <w:sz w:val="22"/>
          <w:szCs w:val="22"/>
        </w:rPr>
        <w:t xml:space="preserve">Understanding USCDI early in your Healthcare Integration Architect journey is critical because it sits at the intersection of three powerful forces shaping healthcare interoperability:</w:t>
      </w:r>
    </w:p>
    <w:p>
      <w:pPr>
        <w:pStyle w:val="ListParagraph"/>
        <w:numPr>
          <w:ilvl w:val="0"/>
          <w:numId w:val="2"/>
        </w:numPr>
        <w:spacing w:before="40" w:after="40" w:line="310"/>
      </w:pPr>
      <w:r>
        <w:rPr>
          <w:rFonts w:ascii="Arial" w:cs="Arial" w:eastAsia="Arial" w:hAnsi="Arial"/>
          <w:b/>
          <w:bCs/>
          <w:color w:val="2C3E50"/>
          <w:sz w:val="22"/>
          <w:szCs w:val="22"/>
        </w:rPr>
        <w:t xml:space="preserve">ONC Certification: </w:t>
      </w:r>
      <w:r>
        <w:rPr>
          <w:rFonts w:ascii="Arial" w:cs="Arial" w:eastAsia="Arial" w:hAnsi="Arial"/>
          <w:color w:val="2C3E50"/>
          <w:sz w:val="22"/>
          <w:szCs w:val="22"/>
        </w:rPr>
        <w:t xml:space="preserve">Certified EHR Technology must support the USCDI version specified in the current certification criteria. USCDI compliance is not optional for certified health IT.</w:t>
      </w:r>
    </w:p>
    <w:p>
      <w:pPr>
        <w:pStyle w:val="ListParagraph"/>
        <w:numPr>
          <w:ilvl w:val="0"/>
          <w:numId w:val="2"/>
        </w:numPr>
        <w:spacing w:before="40" w:after="40" w:line="310"/>
      </w:pPr>
      <w:r>
        <w:rPr>
          <w:rFonts w:ascii="Arial" w:cs="Arial" w:eastAsia="Arial" w:hAnsi="Arial"/>
          <w:b/>
          <w:bCs/>
          <w:color w:val="2C3E50"/>
          <w:sz w:val="22"/>
          <w:szCs w:val="22"/>
        </w:rPr>
        <w:t xml:space="preserve">FHIR US Core Profiles: </w:t>
      </w:r>
      <w:r>
        <w:rPr>
          <w:rFonts w:ascii="Arial" w:cs="Arial" w:eastAsia="Arial" w:hAnsi="Arial"/>
          <w:color w:val="2C3E50"/>
          <w:sz w:val="22"/>
          <w:szCs w:val="22"/>
        </w:rPr>
        <w:t xml:space="preserve">The US Core Implementation Guide is the FHIR-based expression of USCDI. Each USCDI data element maps to one or more US Core FHIR profiles. If you understand USCDI, you understand what US Core requires.</w:t>
      </w:r>
    </w:p>
    <w:p>
      <w:pPr>
        <w:pStyle w:val="ListParagraph"/>
        <w:numPr>
          <w:ilvl w:val="0"/>
          <w:numId w:val="2"/>
        </w:numPr>
        <w:spacing w:before="40" w:after="40" w:line="310"/>
      </w:pPr>
      <w:r>
        <w:rPr>
          <w:rFonts w:ascii="Arial" w:cs="Arial" w:eastAsia="Arial" w:hAnsi="Arial"/>
          <w:b/>
          <w:bCs/>
          <w:color w:val="2C3E50"/>
          <w:sz w:val="22"/>
          <w:szCs w:val="22"/>
        </w:rPr>
        <w:t xml:space="preserve">TEFCA and Nationwide Exchange: </w:t>
      </w:r>
      <w:r>
        <w:rPr>
          <w:rFonts w:ascii="Arial" w:cs="Arial" w:eastAsia="Arial" w:hAnsi="Arial"/>
          <w:color w:val="2C3E50"/>
          <w:sz w:val="22"/>
          <w:szCs w:val="22"/>
        </w:rPr>
        <w:t xml:space="preserve">The Trusted Exchange Framework and Common Agreement (TEFCA) uses USCDI to define the minimum data set that Qualified Health Information Networks (QHINs) must support for nationwide health data exchange.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Why Integration Architects Must Understand USCDI</w:t>
            </w:r>
          </w:p>
          <w:p>
            <w:pPr>
              <w:spacing w:before="40"/>
            </w:pPr>
            <w:r>
              <w:rPr>
                <w:rFonts w:ascii="Arial" w:cs="Arial" w:eastAsia="Arial" w:hAnsi="Arial"/>
                <w:color w:val="2C3E50"/>
                <w:sz w:val="20"/>
                <w:szCs w:val="20"/>
              </w:rPr>
              <w:t xml:space="preserve">Every FHIR API you build, every C-CDA document you generate, every HIE connection you design, and every patient data access request you support is governed by USCDI. When a patient uses a third-party app to access their health records (mandated by the 21st Century Cures Act), the data that must be available is defined by USCDI. When two health systems exchange data through a TEFCA QHIN, the content requirements come from USCDI. It is the single most important content standard in US healthcare interoperability.</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1. USCDI Overview and Architecture</w:t>
      </w:r>
    </w:p>
    <w:p>
      <w:pPr>
        <w:pStyle w:val="Heading2"/>
        <w:spacing w:before="340" w:after="160"/>
      </w:pPr>
      <w:r>
        <w:rPr>
          <w:rFonts w:ascii="Arial" w:cs="Arial" w:eastAsia="Arial" w:hAnsi="Arial"/>
          <w:b/>
          <w:bCs/>
          <w:color w:val="1A6FA5"/>
          <w:sz w:val="30"/>
          <w:szCs w:val="30"/>
        </w:rPr>
        <w:t xml:space="preserve">1.1 What Is USCDI?</w:t>
      </w:r>
    </w:p>
    <w:p>
      <w:pPr>
        <w:spacing w:before="60" w:after="100" w:line="340"/>
      </w:pPr>
      <w:r>
        <w:rPr>
          <w:rFonts w:ascii="Arial" w:cs="Arial" w:eastAsia="Arial" w:hAnsi="Arial"/>
          <w:color w:val="2C3E50"/>
          <w:sz w:val="22"/>
          <w:szCs w:val="22"/>
        </w:rPr>
        <w:t xml:space="preserve">USCDI is a standardized set of health data classes and data elements for nationwide, interoperable health information exchange. It was established by the 21st Century Cures Act and is maintained by ONC through a public, transparent process that allows stakeholders to propose new data classes and elements for future versions.</w:t>
      </w:r>
    </w:p>
    <w:p>
      <w:pPr>
        <w:pStyle w:val="Heading3"/>
        <w:spacing w:before="280" w:after="120"/>
      </w:pPr>
      <w:r>
        <w:rPr>
          <w:rFonts w:ascii="Arial" w:cs="Arial" w:eastAsia="Arial" w:hAnsi="Arial"/>
          <w:b/>
          <w:bCs/>
          <w:color w:val="2980B9"/>
          <w:sz w:val="26"/>
          <w:szCs w:val="26"/>
        </w:rPr>
        <w:t xml:space="preserve">Key Characteristics</w:t>
      </w:r>
    </w:p>
    <w:p>
      <w:pPr>
        <w:pStyle w:val="ListParagraph"/>
        <w:numPr>
          <w:ilvl w:val="0"/>
          <w:numId w:val="2"/>
        </w:numPr>
        <w:spacing w:before="40" w:after="40" w:line="310"/>
      </w:pPr>
      <w:r>
        <w:rPr>
          <w:rFonts w:ascii="Arial" w:cs="Arial" w:eastAsia="Arial" w:hAnsi="Arial"/>
          <w:b/>
          <w:bCs/>
          <w:color w:val="2C3E50"/>
          <w:sz w:val="22"/>
          <w:szCs w:val="22"/>
        </w:rPr>
        <w:t xml:space="preserve">Data Classes: </w:t>
      </w:r>
      <w:r>
        <w:rPr>
          <w:rFonts w:ascii="Arial" w:cs="Arial" w:eastAsia="Arial" w:hAnsi="Arial"/>
          <w:color w:val="2C3E50"/>
          <w:sz w:val="22"/>
          <w:szCs w:val="22"/>
        </w:rPr>
        <w:t xml:space="preserve">Broad categories of health data (e.g., Patient Demographics, Allergies and Intolerances, Medications). Each class contains one or more data elements.</w:t>
      </w:r>
    </w:p>
    <w:p>
      <w:pPr>
        <w:pStyle w:val="ListParagraph"/>
        <w:numPr>
          <w:ilvl w:val="0"/>
          <w:numId w:val="2"/>
        </w:numPr>
        <w:spacing w:before="40" w:after="40" w:line="310"/>
      </w:pPr>
      <w:r>
        <w:rPr>
          <w:rFonts w:ascii="Arial" w:cs="Arial" w:eastAsia="Arial" w:hAnsi="Arial"/>
          <w:b/>
          <w:bCs/>
          <w:color w:val="2C3E50"/>
          <w:sz w:val="22"/>
          <w:szCs w:val="22"/>
        </w:rPr>
        <w:t xml:space="preserve">Data Elements: </w:t>
      </w:r>
      <w:r>
        <w:rPr>
          <w:rFonts w:ascii="Arial" w:cs="Arial" w:eastAsia="Arial" w:hAnsi="Arial"/>
          <w:color w:val="2C3E50"/>
          <w:sz w:val="22"/>
          <w:szCs w:val="22"/>
        </w:rPr>
        <w:t xml:space="preserve">Specific pieces of data within a class (e.g., within Patient Demographics: First Name, Last Name, Date of Birth, Sex, Race, Ethnicity, Address, Phone Number).</w:t>
      </w:r>
    </w:p>
    <w:p>
      <w:pPr>
        <w:pStyle w:val="ListParagraph"/>
        <w:numPr>
          <w:ilvl w:val="0"/>
          <w:numId w:val="2"/>
        </w:numPr>
        <w:spacing w:before="40" w:after="40" w:line="310"/>
      </w:pPr>
      <w:r>
        <w:rPr>
          <w:rFonts w:ascii="Arial" w:cs="Arial" w:eastAsia="Arial" w:hAnsi="Arial"/>
          <w:b/>
          <w:bCs/>
          <w:color w:val="2C3E50"/>
          <w:sz w:val="22"/>
          <w:szCs w:val="22"/>
        </w:rPr>
        <w:t xml:space="preserve">Applicable Vocabulary Standards: </w:t>
      </w:r>
      <w:r>
        <w:rPr>
          <w:rFonts w:ascii="Arial" w:cs="Arial" w:eastAsia="Arial" w:hAnsi="Arial"/>
          <w:color w:val="2C3E50"/>
          <w:sz w:val="22"/>
          <w:szCs w:val="22"/>
        </w:rPr>
        <w:t xml:space="preserve">USCDI specifies which terminology systems must be used for coded data elements (e.g., SNOMED CT for problems, LOINC for lab results, RxNorm for medications).</w:t>
      </w:r>
    </w:p>
    <w:p>
      <w:pPr>
        <w:pStyle w:val="ListParagraph"/>
        <w:numPr>
          <w:ilvl w:val="0"/>
          <w:numId w:val="2"/>
        </w:numPr>
        <w:spacing w:before="40" w:after="40" w:line="310"/>
      </w:pPr>
      <w:r>
        <w:rPr>
          <w:rFonts w:ascii="Arial" w:cs="Arial" w:eastAsia="Arial" w:hAnsi="Arial"/>
          <w:b/>
          <w:bCs/>
          <w:color w:val="2C3E50"/>
          <w:sz w:val="22"/>
          <w:szCs w:val="22"/>
        </w:rPr>
        <w:t xml:space="preserve">Version-Based Evolution: </w:t>
      </w:r>
      <w:r>
        <w:rPr>
          <w:rFonts w:ascii="Arial" w:cs="Arial" w:eastAsia="Arial" w:hAnsi="Arial"/>
          <w:color w:val="2C3E50"/>
          <w:sz w:val="22"/>
          <w:szCs w:val="22"/>
        </w:rPr>
        <w:t xml:space="preserve">USCDI evolves through numbered versions (v1, v2, v3, v4, v5), with each version adding new data classes and elements. Previous version requirements carry forward — v5 includes everything from v1 through v4 plus new additions.</w:t>
      </w:r>
    </w:p>
    <w:p>
      <w:pPr>
        <w:pStyle w:val="ListParagraph"/>
        <w:numPr>
          <w:ilvl w:val="0"/>
          <w:numId w:val="2"/>
        </w:numPr>
        <w:spacing w:before="40" w:after="40" w:line="310"/>
      </w:pPr>
      <w:r>
        <w:rPr>
          <w:rFonts w:ascii="Arial" w:cs="Arial" w:eastAsia="Arial" w:hAnsi="Arial"/>
          <w:b/>
          <w:bCs/>
          <w:color w:val="2C3E50"/>
          <w:sz w:val="22"/>
          <w:szCs w:val="22"/>
        </w:rPr>
        <w:t xml:space="preserve">Regulatory Enforcement: </w:t>
      </w:r>
      <w:r>
        <w:rPr>
          <w:rFonts w:ascii="Arial" w:cs="Arial" w:eastAsia="Arial" w:hAnsi="Arial"/>
          <w:color w:val="2C3E50"/>
          <w:sz w:val="22"/>
          <w:szCs w:val="22"/>
        </w:rPr>
        <w:t xml:space="preserve">Specific USCDI versions are adopted into ONC certification criteria through rulemaking (e.g., HTI-1 adopted USCDI v3). Certified health IT must support the adopted version.</w:t>
      </w:r>
    </w:p>
    <w:p>
      <w:pPr>
        <w:spacing w:before="120" w:after="120"/>
      </w:pPr>
    </w:p>
    <w:p>
      <w:pPr>
        <w:pStyle w:val="Heading2"/>
        <w:spacing w:before="340" w:after="160"/>
      </w:pPr>
      <w:r>
        <w:rPr>
          <w:rFonts w:ascii="Arial" w:cs="Arial" w:eastAsia="Arial" w:hAnsi="Arial"/>
          <w:b/>
          <w:bCs/>
          <w:color w:val="1A6FA5"/>
          <w:sz w:val="30"/>
          <w:szCs w:val="30"/>
        </w:rPr>
        <w:t xml:space="preserve">1.2 USCDI’s Role in the Interoperability Ecosystem</w:t>
      </w:r>
    </w:p>
    <w:p>
      <w:pPr>
        <w:spacing w:before="60" w:after="100" w:line="340"/>
      </w:pPr>
      <w:r>
        <w:rPr>
          <w:rFonts w:ascii="Arial" w:cs="Arial" w:eastAsia="Arial" w:hAnsi="Arial"/>
          <w:color w:val="2C3E50"/>
          <w:sz w:val="22"/>
          <w:szCs w:val="22"/>
        </w:rPr>
        <w:t xml:space="preserve">USCDI does not exist in isolation. It is part of an interconnected ecosystem of standards, regulations, and frameworks: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Relationship to USCDI</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USCDI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Content standard</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Defines WHAT data must be exchangeable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FHIR US Core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Technical standard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Defines HOW USCDI data is structured as FHIR resources</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C-CDA</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 standard</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Defines HOW USCDI data is structured in clinical documents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ONC Certification (HTI-1)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Regulatory framework</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Mandates WHICH USCDI version certified health IT must support</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TEFCA</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Exchange framework</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Uses USCDI to define the minimum data set for nationwide exchange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21st Century Cures Act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Legislation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Established USCDI and prohibits information blocking of USCDI data</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Terminology Standards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Vocabulary</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SNOMED CT, LOINC, RxNorm, ICD-10, CVX provide codes for USCDI elements</w:t>
            </w:r>
          </w:p>
        </w:tc>
      </w:tr>
    </w:tbl>
    <w:p>
      <w:pPr>
        <w:spacing w:before="120" w:after="120"/>
      </w:pPr>
    </w:p>
    <w:p>
      <w:pPr>
        <w:pStyle w:val="Heading2"/>
        <w:spacing w:before="340" w:after="160"/>
      </w:pPr>
      <w:r>
        <w:rPr>
          <w:rFonts w:ascii="Arial" w:cs="Arial" w:eastAsia="Arial" w:hAnsi="Arial"/>
          <w:b/>
          <w:bCs/>
          <w:color w:val="1A6FA5"/>
          <w:sz w:val="30"/>
          <w:szCs w:val="30"/>
        </w:rPr>
        <w:t xml:space="preserve">1.3 The USCDI Standards Development Process</w:t>
      </w:r>
    </w:p>
    <w:p>
      <w:pPr>
        <w:spacing w:before="60" w:after="100" w:line="340"/>
      </w:pPr>
      <w:r>
        <w:rPr>
          <w:rFonts w:ascii="Arial" w:cs="Arial" w:eastAsia="Arial" w:hAnsi="Arial"/>
          <w:color w:val="2C3E50"/>
          <w:sz w:val="22"/>
          <w:szCs w:val="22"/>
        </w:rPr>
        <w:t xml:space="preserve">ONC follows a transparent, consensus-based process for evolving USCDI:</w:t>
      </w:r>
    </w:p>
    <w:p>
      <w:pPr>
        <w:pStyle w:val="ListParagraph"/>
        <w:numPr>
          <w:ilvl w:val="0"/>
          <w:numId w:val="2"/>
        </w:numPr>
        <w:spacing w:before="40" w:after="40" w:line="310"/>
      </w:pPr>
      <w:r>
        <w:rPr>
          <w:rFonts w:ascii="Arial" w:cs="Arial" w:eastAsia="Arial" w:hAnsi="Arial"/>
          <w:b/>
          <w:bCs/>
          <w:color w:val="2C3E50"/>
          <w:sz w:val="22"/>
          <w:szCs w:val="22"/>
        </w:rPr>
        <w:t xml:space="preserve">ONDEC (ONC New Data Element and Class Submission System): </w:t>
      </w:r>
      <w:r>
        <w:rPr>
          <w:rFonts w:ascii="Arial" w:cs="Arial" w:eastAsia="Arial" w:hAnsi="Arial"/>
          <w:color w:val="2C3E50"/>
          <w:sz w:val="22"/>
          <w:szCs w:val="22"/>
        </w:rPr>
        <w:t xml:space="preserve">A public portal where any stakeholder — clinicians, vendors, patients, public health agencies, researchers — can submit proposals for new data classes and elements. Proposals must include justification, use cases, and supporting evidence.</w:t>
      </w:r>
    </w:p>
    <w:p>
      <w:pPr>
        <w:pStyle w:val="ListParagraph"/>
        <w:numPr>
          <w:ilvl w:val="0"/>
          <w:numId w:val="2"/>
        </w:numPr>
        <w:spacing w:before="40" w:after="40" w:line="310"/>
      </w:pPr>
      <w:r>
        <w:rPr>
          <w:rFonts w:ascii="Arial" w:cs="Arial" w:eastAsia="Arial" w:hAnsi="Arial"/>
          <w:b/>
          <w:bCs/>
          <w:color w:val="2C3E50"/>
          <w:sz w:val="22"/>
          <w:szCs w:val="22"/>
        </w:rPr>
        <w:t xml:space="preserve">Level System: </w:t>
      </w:r>
      <w:r>
        <w:rPr>
          <w:rFonts w:ascii="Arial" w:cs="Arial" w:eastAsia="Arial" w:hAnsi="Arial"/>
          <w:color w:val="2C3E50"/>
          <w:sz w:val="22"/>
          <w:szCs w:val="22"/>
        </w:rPr>
        <w:t xml:space="preserve">Proposed data elements move through levels before inclusion in USCDI:</w:t>
      </w:r>
    </w:p>
    <w:p>
      <w:pPr>
        <w:pStyle w:val="ListParagraph"/>
        <w:numPr>
          <w:ilvl w:val="1"/>
          <w:numId w:val="2"/>
        </w:numPr>
        <w:spacing w:before="30" w:after="30" w:line="300"/>
      </w:pPr>
      <w:r>
        <w:rPr>
          <w:rFonts w:ascii="Arial" w:cs="Arial" w:eastAsia="Arial" w:hAnsi="Arial"/>
          <w:color w:val="2C3E50"/>
          <w:sz w:val="21"/>
          <w:szCs w:val="21"/>
        </w:rPr>
        <w:t xml:space="preserve">Level 1 — Comment: Elements under initial consideration and public comment.</w:t>
      </w:r>
    </w:p>
    <w:p>
      <w:pPr>
        <w:pStyle w:val="ListParagraph"/>
        <w:numPr>
          <w:ilvl w:val="1"/>
          <w:numId w:val="2"/>
        </w:numPr>
        <w:spacing w:before="30" w:after="30" w:line="300"/>
      </w:pPr>
      <w:r>
        <w:rPr>
          <w:rFonts w:ascii="Arial" w:cs="Arial" w:eastAsia="Arial" w:hAnsi="Arial"/>
          <w:color w:val="2C3E50"/>
          <w:sz w:val="21"/>
          <w:szCs w:val="21"/>
        </w:rPr>
        <w:t xml:space="preserve">Level 2 — Candidate: Elements with strong support being evaluated for a future version of USCDI.</w:t>
      </w:r>
    </w:p>
    <w:p>
      <w:pPr>
        <w:pStyle w:val="ListParagraph"/>
        <w:numPr>
          <w:ilvl w:val="1"/>
          <w:numId w:val="2"/>
        </w:numPr>
        <w:spacing w:before="30" w:after="30" w:line="300"/>
      </w:pPr>
      <w:r>
        <w:rPr>
          <w:rFonts w:ascii="Arial" w:cs="Arial" w:eastAsia="Arial" w:hAnsi="Arial"/>
          <w:color w:val="2C3E50"/>
          <w:sz w:val="21"/>
          <w:szCs w:val="21"/>
        </w:rPr>
        <w:t xml:space="preserve">USCDI (Adopted): Elements formally included in a USCDI version and adopted through rulemaking.</w:t>
      </w:r>
    </w:p>
    <w:p>
      <w:pPr>
        <w:pStyle w:val="ListParagraph"/>
        <w:numPr>
          <w:ilvl w:val="0"/>
          <w:numId w:val="2"/>
        </w:numPr>
        <w:spacing w:before="40" w:after="40" w:line="310"/>
      </w:pPr>
      <w:r>
        <w:rPr>
          <w:rFonts w:ascii="Arial" w:cs="Arial" w:eastAsia="Arial" w:hAnsi="Arial"/>
          <w:b/>
          <w:bCs/>
          <w:color w:val="2C3E50"/>
          <w:sz w:val="22"/>
          <w:szCs w:val="22"/>
        </w:rPr>
        <w:t xml:space="preserve">Annual Update Cycle: </w:t>
      </w:r>
      <w:r>
        <w:rPr>
          <w:rFonts w:ascii="Arial" w:cs="Arial" w:eastAsia="Arial" w:hAnsi="Arial"/>
          <w:color w:val="2C3E50"/>
          <w:sz w:val="22"/>
          <w:szCs w:val="22"/>
        </w:rPr>
        <w:t xml:space="preserve">ONC aims to release a new USCDI version approximately annually, with each version going through public comment before finalization.</w:t>
      </w:r>
    </w:p>
    <w:p>
      <w:pPr>
        <w:pStyle w:val="ListParagraph"/>
        <w:numPr>
          <w:ilvl w:val="0"/>
          <w:numId w:val="2"/>
        </w:numPr>
        <w:spacing w:before="40" w:after="40" w:line="310"/>
      </w:pPr>
      <w:r>
        <w:rPr>
          <w:rFonts w:ascii="Arial" w:cs="Arial" w:eastAsia="Arial" w:hAnsi="Arial"/>
          <w:b/>
          <w:bCs/>
          <w:color w:val="2C3E50"/>
          <w:sz w:val="22"/>
          <w:szCs w:val="22"/>
        </w:rPr>
        <w:t xml:space="preserve">Regulatory Adoption: </w:t>
      </w:r>
      <w:r>
        <w:rPr>
          <w:rFonts w:ascii="Arial" w:cs="Arial" w:eastAsia="Arial" w:hAnsi="Arial"/>
          <w:color w:val="2C3E50"/>
          <w:sz w:val="22"/>
          <w:szCs w:val="22"/>
        </w:rPr>
        <w:t xml:space="preserve">New USCDI versions are adopted into ONC certification criteria through Notice of Proposed Rulemaking (NPRM) and Final Rule processes. There is typically a delay between USCDI publication and mandatory certification compliance.</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2. USCDI Version Evolution (v1 through v5)</w:t>
      </w:r>
    </w:p>
    <w:p>
      <w:pPr>
        <w:spacing w:before="60" w:after="100" w:line="340"/>
      </w:pPr>
      <w:r>
        <w:rPr>
          <w:rFonts w:ascii="Arial" w:cs="Arial" w:eastAsia="Arial" w:hAnsi="Arial"/>
          <w:color w:val="2C3E50"/>
          <w:sz w:val="22"/>
          <w:szCs w:val="22"/>
        </w:rPr>
        <w:t xml:space="preserve">Each USCDI version builds upon its predecessors, adding new data classes and data elements that reflect evolving interoperability needs, clinical priorities, and regulatory requirements. Understanding this evolution is essential for integration architects because the USCDI version adopted by ONC certification determines the minimum data your systems must support.</w:t>
      </w:r>
    </w:p>
    <w:p>
      <w:pPr>
        <w:pStyle w:val="Heading2"/>
        <w:spacing w:before="340" w:after="160"/>
      </w:pPr>
      <w:r>
        <w:rPr>
          <w:rFonts w:ascii="Arial" w:cs="Arial" w:eastAsia="Arial" w:hAnsi="Arial"/>
          <w:b/>
          <w:bCs/>
          <w:color w:val="1A6FA5"/>
          <w:sz w:val="30"/>
          <w:szCs w:val="30"/>
        </w:rPr>
        <w:t xml:space="preserve">2.1 USCDI v1 (July 2020)</w:t>
      </w:r>
    </w:p>
    <w:p>
      <w:pPr>
        <w:spacing w:before="60" w:after="100" w:line="340"/>
      </w:pPr>
      <w:r>
        <w:rPr>
          <w:rFonts w:ascii="Arial" w:cs="Arial" w:eastAsia="Arial" w:hAnsi="Arial"/>
          <w:color w:val="2C3E50"/>
          <w:sz w:val="22"/>
          <w:szCs w:val="22"/>
        </w:rPr>
        <w:t xml:space="preserve">USCDI v1 was the inaugural version, establishing the baseline data set derived from the Common Clinical Data Set (CCDS) that was used in prior ONC certification criteria. It was adopted by the ONC Cures Act Final Rule.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Data Class</w:t>
            </w:r>
          </w:p>
        </w:tc>
        <w:tc>
          <w:tcPr>
            <w:tcW w:type="dxa" w:w="4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Data Elements</w:t>
            </w:r>
          </w:p>
        </w:tc>
        <w:tc>
          <w:tcPr>
            <w:tcW w:type="dxa" w:w="2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Vocabulary Standard</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Demographics</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First Name, Last Name, Previous Name, Middle Name, Suffix, Date of Birth, Sex, Race, Ethnicity, Preferred Language, Address, Phone Number, Email</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OMB standards for race/ethnicity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Allergies and Intolerances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Substance (Medication), Substance (Drug Class), Reaction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RxNorm, SNOMED CT, NDF-RT</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Assessment and Plan of Treatment</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Assessment and Plan of Treatment</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LOINC document codes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Care Team Member(s)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Care Team Member Name, Care Team Member Identifier, Care Team Member Role, Care Team Member Location, Care Team Member Telecom</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NPI, SNOMED CT</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 Notes</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Consultation Note, Discharge Summary Note, History &amp; Physical, Imaging Narrative, Laboratory Report Narrative, Pathology Report Narrative, Procedure Note, Progress Note</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LOINC document codes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Goals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Goals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SNOMED CT</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Health Concerns</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Health Concerns</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SNOMED CT, ICD-10-CM</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Immunizations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Immunizations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CVX, NDC</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Laboratory</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Tests, Values/Results</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LOINC, SNOMED CT, UCUM</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Medications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Medications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RxNorm</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Problems</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Problems/Conditions</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SNOMED CT, ICD-10-CM</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Procedures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Procedures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CPT, SNOMED CT, ICD-10-PCS, HCPCS, CDT</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Provenance</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Author, Author Time Stamp, Author Organization</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Smoking Status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Smoking Status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SNOMED CT</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Unique Device Identifier(s)</w:t>
            </w:r>
          </w:p>
        </w:tc>
        <w:tc>
          <w:tcPr>
            <w:tcW w:type="dxa" w:w="4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UDI, Device Description</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GUDID (FDA)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Vital Signs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Diastolic BP, Systolic BP, Body Height, Body Weight, Heart Rate, Respiratory Rate, Body Temperature, Pulse Oximetry, BMI, Pediatric Head Circumference, Pediatric BMI, Pediatric Weight for Height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LOINC, UCUM</w:t>
            </w:r>
          </w:p>
        </w:tc>
      </w:tr>
    </w:tbl>
    <w:p>
      <w:pPr>
        <w:spacing w:before="120" w:after="120"/>
      </w:pPr>
    </w:p>
    <w:p>
      <w:pPr>
        <w:pStyle w:val="Heading2"/>
        <w:spacing w:before="340" w:after="160"/>
      </w:pPr>
      <w:r>
        <w:rPr>
          <w:rFonts w:ascii="Arial" w:cs="Arial" w:eastAsia="Arial" w:hAnsi="Arial"/>
          <w:b/>
          <w:bCs/>
          <w:color w:val="1A6FA5"/>
          <w:sz w:val="30"/>
          <w:szCs w:val="30"/>
        </w:rPr>
        <w:t xml:space="preserve">2.2 USCDI v2 (July 2022)</w:t>
      </w:r>
    </w:p>
    <w:p>
      <w:pPr>
        <w:spacing w:before="60" w:after="100" w:line="340"/>
      </w:pPr>
      <w:r>
        <w:rPr>
          <w:rFonts w:ascii="Arial" w:cs="Arial" w:eastAsia="Arial" w:hAnsi="Arial"/>
          <w:color w:val="2C3E50"/>
          <w:sz w:val="22"/>
          <w:szCs w:val="22"/>
        </w:rPr>
        <w:t xml:space="preserve">USCDI v2 significantly expanded the baseline data set, adding critical elements for social determinants of health, health insurance, and clinical data granularity.</w:t>
      </w:r>
    </w:p>
    <w:p>
      <w:pPr>
        <w:pStyle w:val="Heading3"/>
        <w:spacing w:before="280" w:after="120"/>
      </w:pPr>
      <w:r>
        <w:rPr>
          <w:rFonts w:ascii="Arial" w:cs="Arial" w:eastAsia="Arial" w:hAnsi="Arial"/>
          <w:b/>
          <w:bCs/>
          <w:color w:val="2980B9"/>
          <w:sz w:val="26"/>
          <w:szCs w:val="26"/>
        </w:rPr>
        <w:t xml:space="preserve">New Data Classes and Elements in v2</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Data Class</w:t>
            </w:r>
          </w:p>
        </w:tc>
        <w:tc>
          <w:tcPr>
            <w:tcW w:type="dxa" w:w="5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New Elements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CLASS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Health Insurance Information</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Coverage Status, Coverage Type, Group Identifier, Group Name, Member Identifier, Payer Identifier, Plan Name, Relationship to Subscriber, Subscriber Identifier</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CLASS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Facility Information</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Facility Identifier, Facility Name, Facility Type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Demographics</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Date of Death, Sex assigned at birth (renamed), Gender Identity, Tribal Affiliation, Related Person Name, Related Person Relationship</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Allergies and Intolerances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Onset Date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 Notes</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Referral Note (added to list)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Encounter Information</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Encounter Diagnosis, Encounter Disposition, Encounter Location, Encounter Time, Encounter Type, Identifier</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Medications</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Dose, Dose Unit, Indication, Fill Status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Problems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Date of Diagnosis, Date of Resolution</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Vital Signs</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Average Blood Pressure, Pediatric Head Circumference for Age</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Laboratory</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Result Interpretation, Specimen Condition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Significance of USCDI v2</w:t>
            </w:r>
          </w:p>
          <w:p>
            <w:pPr>
              <w:spacing w:before="40"/>
            </w:pPr>
            <w:r>
              <w:rPr>
                <w:rFonts w:ascii="Arial" w:cs="Arial" w:eastAsia="Arial" w:hAnsi="Arial"/>
                <w:color w:val="2C3E50"/>
                <w:sz w:val="20"/>
                <w:szCs w:val="20"/>
              </w:rPr>
              <w:t xml:space="preserve">USCDI v2’s addition of Health Insurance Information and Encounter Information was transformative for integration architects. Health insurance data in USCDI means that FHIR-based patient data access must include coverage information — not just clinical data. Encounter information bridges the gap between administrative and clinical systems, requiring integration solutions that link diagnoses and locations to specific patient visits.</w:t>
            </w:r>
          </w:p>
        </w:tc>
      </w:tr>
    </w:tbl>
    <w:p>
      <w:pPr>
        <w:spacing w:before="120" w:after="120"/>
      </w:pPr>
    </w:p>
    <w:p>
      <w:pPr>
        <w:pStyle w:val="Heading2"/>
        <w:spacing w:before="340" w:after="160"/>
      </w:pPr>
      <w:r>
        <w:rPr>
          <w:rFonts w:ascii="Arial" w:cs="Arial" w:eastAsia="Arial" w:hAnsi="Arial"/>
          <w:b/>
          <w:bCs/>
          <w:color w:val="1A6FA5"/>
          <w:sz w:val="30"/>
          <w:szCs w:val="30"/>
        </w:rPr>
        <w:t xml:space="preserve">2.3 USCDI v3 (July 2023)</w:t>
      </w:r>
    </w:p>
    <w:p>
      <w:pPr>
        <w:spacing w:before="60" w:after="100" w:line="340"/>
      </w:pPr>
      <w:r>
        <w:rPr>
          <w:rFonts w:ascii="Arial" w:cs="Arial" w:eastAsia="Arial" w:hAnsi="Arial"/>
          <w:color w:val="2C3E50"/>
          <w:sz w:val="22"/>
          <w:szCs w:val="22"/>
        </w:rPr>
        <w:t xml:space="preserve">USCDI v3 was adopted by the HTI-1 Final Rule (published December 2023) and represents a major expansion, particularly in areas of medication detail, social determinants, and diagnostic imaging.</w:t>
      </w:r>
    </w:p>
    <w:p>
      <w:pPr>
        <w:pStyle w:val="Heading3"/>
        <w:spacing w:before="280" w:after="120"/>
      </w:pPr>
      <w:r>
        <w:rPr>
          <w:rFonts w:ascii="Arial" w:cs="Arial" w:eastAsia="Arial" w:hAnsi="Arial"/>
          <w:b/>
          <w:bCs/>
          <w:color w:val="2980B9"/>
          <w:sz w:val="26"/>
          <w:szCs w:val="26"/>
        </w:rPr>
        <w:t xml:space="preserve">Key Additions in v3</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Data Class</w:t>
            </w:r>
          </w:p>
        </w:tc>
        <w:tc>
          <w:tcPr>
            <w:tcW w:type="dxa" w:w="5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New Elements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CLASS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Diagnostic Imaging</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Diagnostic Imaging Report (narrative)</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CLASS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Health Status Assessments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Physical Activity, Substance Use, Alcohol Use, SDOH Assessment (surveys/screenings)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Demographics</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Occupation, Occupation Industry, Name to Use, Pronouns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Medications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Medication Instructions, Medication Adherence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Laboratory</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Specimen Type, Result Reference Range, Result Unit of Measure (explicit)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Problems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Stage (for conditions like cancer)</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Procedures</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Performance Date, Reason for Referral</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Vital Signs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Inhaled Oxygen Concentration</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ELEMENTS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 Notes</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Imaging Narrative (expanded to Diagnostic Imaging class)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EF9E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HTI-1 and USCDI v3 Enforcement</w:t>
            </w:r>
          </w:p>
          <w:p>
            <w:pPr>
              <w:spacing w:before="40"/>
            </w:pPr>
            <w:r>
              <w:rPr>
                <w:rFonts w:ascii="Arial" w:cs="Arial" w:eastAsia="Arial" w:hAnsi="Arial"/>
                <w:color w:val="2C3E50"/>
                <w:sz w:val="20"/>
                <w:szCs w:val="20"/>
              </w:rPr>
              <w:t xml:space="preserve">The HTI-1 Final Rule adopted USCDI v3 for ONC certification. Certified health IT developers must update their systems to support all USCDI v3 data classes and elements by the compliance dates specified in HTI-1. For integration architects, this means every FHIR API endpoint serving certified EHR data must be capable of returning USCDI v3 data, and every C-CDA document generated must include USCDI v3 content where applicable.</w:t>
            </w:r>
          </w:p>
        </w:tc>
      </w:tr>
    </w:tbl>
    <w:p>
      <w:pPr>
        <w:spacing w:before="120" w:after="120"/>
      </w:pPr>
    </w:p>
    <w:p>
      <w:pPr>
        <w:pStyle w:val="Heading2"/>
        <w:spacing w:before="340" w:after="160"/>
      </w:pPr>
      <w:r>
        <w:rPr>
          <w:rFonts w:ascii="Arial" w:cs="Arial" w:eastAsia="Arial" w:hAnsi="Arial"/>
          <w:b/>
          <w:bCs/>
          <w:color w:val="1A6FA5"/>
          <w:sz w:val="30"/>
          <w:szCs w:val="30"/>
        </w:rPr>
        <w:t xml:space="preserve">2.4 USCDI v4 (July 2024)</w:t>
      </w:r>
    </w:p>
    <w:p>
      <w:pPr>
        <w:spacing w:before="60" w:after="100" w:line="340"/>
      </w:pPr>
      <w:r>
        <w:rPr>
          <w:rFonts w:ascii="Arial" w:cs="Arial" w:eastAsia="Arial" w:hAnsi="Arial"/>
          <w:color w:val="2C3E50"/>
          <w:sz w:val="22"/>
          <w:szCs w:val="22"/>
        </w:rPr>
        <w:t xml:space="preserve">USCDI v4 continued the expansion trajectory, adding deeper clinical detail and addressing gaps identified by the healthcare community:</w:t>
      </w:r>
    </w:p>
    <w:p>
      <w:pPr>
        <w:pStyle w:val="Heading3"/>
        <w:spacing w:before="280" w:after="120"/>
      </w:pPr>
      <w:r>
        <w:rPr>
          <w:rFonts w:ascii="Arial" w:cs="Arial" w:eastAsia="Arial" w:hAnsi="Arial"/>
          <w:b/>
          <w:bCs/>
          <w:color w:val="2980B9"/>
          <w:sz w:val="26"/>
          <w:szCs w:val="26"/>
        </w:rPr>
        <w:t xml:space="preserve">Key Additions in v4</w:t>
      </w:r>
    </w:p>
    <w:p>
      <w:pPr>
        <w:pStyle w:val="ListParagraph"/>
        <w:numPr>
          <w:ilvl w:val="0"/>
          <w:numId w:val="2"/>
        </w:numPr>
        <w:spacing w:before="40" w:after="40" w:line="310"/>
      </w:pPr>
      <w:r>
        <w:rPr>
          <w:rFonts w:ascii="Arial" w:cs="Arial" w:eastAsia="Arial" w:hAnsi="Arial"/>
          <w:b/>
          <w:bCs/>
          <w:color w:val="2C3E50"/>
          <w:sz w:val="22"/>
          <w:szCs w:val="22"/>
        </w:rPr>
        <w:t xml:space="preserve">NEW CLASS — Treatment Plan: </w:t>
      </w:r>
      <w:r>
        <w:rPr>
          <w:rFonts w:ascii="Arial" w:cs="Arial" w:eastAsia="Arial" w:hAnsi="Arial"/>
          <w:color w:val="2C3E50"/>
          <w:sz w:val="22"/>
          <w:szCs w:val="22"/>
        </w:rPr>
        <w:t xml:space="preserve">Structured treatment planning data including planned interventions and therapies.</w:t>
      </w:r>
    </w:p>
    <w:p>
      <w:pPr>
        <w:pStyle w:val="ListParagraph"/>
        <w:numPr>
          <w:ilvl w:val="0"/>
          <w:numId w:val="2"/>
        </w:numPr>
        <w:spacing w:before="40" w:after="40" w:line="310"/>
      </w:pPr>
      <w:r>
        <w:rPr>
          <w:rFonts w:ascii="Arial" w:cs="Arial" w:eastAsia="Arial" w:hAnsi="Arial"/>
          <w:b/>
          <w:bCs/>
          <w:color w:val="2C3E50"/>
          <w:sz w:val="22"/>
          <w:szCs w:val="22"/>
        </w:rPr>
        <w:t xml:space="preserve">NEW CLASS — Functional Status: </w:t>
      </w:r>
      <w:r>
        <w:rPr>
          <w:rFonts w:ascii="Arial" w:cs="Arial" w:eastAsia="Arial" w:hAnsi="Arial"/>
          <w:color w:val="2C3E50"/>
          <w:sz w:val="22"/>
          <w:szCs w:val="22"/>
        </w:rPr>
        <w:t xml:space="preserve">Patient functional status assessments including cognitive function and disability status.</w:t>
      </w:r>
    </w:p>
    <w:p>
      <w:pPr>
        <w:pStyle w:val="ListParagraph"/>
        <w:numPr>
          <w:ilvl w:val="0"/>
          <w:numId w:val="2"/>
        </w:numPr>
        <w:spacing w:before="40" w:after="40" w:line="310"/>
      </w:pPr>
      <w:r>
        <w:rPr>
          <w:rFonts w:ascii="Arial" w:cs="Arial" w:eastAsia="Arial" w:hAnsi="Arial"/>
          <w:b/>
          <w:bCs/>
          <w:color w:val="2C3E50"/>
          <w:sz w:val="22"/>
          <w:szCs w:val="22"/>
        </w:rPr>
        <w:t xml:space="preserve">Laboratory Enhancements: </w:t>
      </w:r>
      <w:r>
        <w:rPr>
          <w:rFonts w:ascii="Arial" w:cs="Arial" w:eastAsia="Arial" w:hAnsi="Arial"/>
          <w:color w:val="2C3E50"/>
          <w:sz w:val="22"/>
          <w:szCs w:val="22"/>
        </w:rPr>
        <w:t xml:space="preserve">Result Report Date/Time, Result Interpretation (expanded), Notes for laboratory results.</w:t>
      </w:r>
    </w:p>
    <w:p>
      <w:pPr>
        <w:pStyle w:val="ListParagraph"/>
        <w:numPr>
          <w:ilvl w:val="0"/>
          <w:numId w:val="2"/>
        </w:numPr>
        <w:spacing w:before="40" w:after="40" w:line="310"/>
      </w:pPr>
      <w:r>
        <w:rPr>
          <w:rFonts w:ascii="Arial" w:cs="Arial" w:eastAsia="Arial" w:hAnsi="Arial"/>
          <w:b/>
          <w:bCs/>
          <w:color w:val="2C3E50"/>
          <w:sz w:val="22"/>
          <w:szCs w:val="22"/>
        </w:rPr>
        <w:t xml:space="preserve">Medications Enhancements: </w:t>
      </w:r>
      <w:r>
        <w:rPr>
          <w:rFonts w:ascii="Arial" w:cs="Arial" w:eastAsia="Arial" w:hAnsi="Arial"/>
          <w:color w:val="2C3E50"/>
          <w:sz w:val="22"/>
          <w:szCs w:val="22"/>
        </w:rPr>
        <w:t xml:space="preserve">Medication Route of Administration, Medication Frequency.</w:t>
      </w:r>
    </w:p>
    <w:p>
      <w:pPr>
        <w:pStyle w:val="ListParagraph"/>
        <w:numPr>
          <w:ilvl w:val="0"/>
          <w:numId w:val="2"/>
        </w:numPr>
        <w:spacing w:before="40" w:after="40" w:line="310"/>
      </w:pPr>
      <w:r>
        <w:rPr>
          <w:rFonts w:ascii="Arial" w:cs="Arial" w:eastAsia="Arial" w:hAnsi="Arial"/>
          <w:b/>
          <w:bCs/>
          <w:color w:val="2C3E50"/>
          <w:sz w:val="22"/>
          <w:szCs w:val="22"/>
        </w:rPr>
        <w:t xml:space="preserve">Clinical Notes Enhancements: </w:t>
      </w:r>
      <w:r>
        <w:rPr>
          <w:rFonts w:ascii="Arial" w:cs="Arial" w:eastAsia="Arial" w:hAnsi="Arial"/>
          <w:color w:val="2C3E50"/>
          <w:sz w:val="22"/>
          <w:szCs w:val="22"/>
        </w:rPr>
        <w:t xml:space="preserve">Additional note types including Emergency Department Notes and Nurse Notes.</w:t>
      </w:r>
    </w:p>
    <w:p>
      <w:pPr>
        <w:pStyle w:val="ListParagraph"/>
        <w:numPr>
          <w:ilvl w:val="0"/>
          <w:numId w:val="2"/>
        </w:numPr>
        <w:spacing w:before="40" w:after="40" w:line="310"/>
      </w:pPr>
      <w:r>
        <w:rPr>
          <w:rFonts w:ascii="Arial" w:cs="Arial" w:eastAsia="Arial" w:hAnsi="Arial"/>
          <w:b/>
          <w:bCs/>
          <w:color w:val="2C3E50"/>
          <w:sz w:val="22"/>
          <w:szCs w:val="22"/>
        </w:rPr>
        <w:t xml:space="preserve">Problems Enhancements: </w:t>
      </w:r>
      <w:r>
        <w:rPr>
          <w:rFonts w:ascii="Arial" w:cs="Arial" w:eastAsia="Arial" w:hAnsi="Arial"/>
          <w:color w:val="2C3E50"/>
          <w:sz w:val="22"/>
          <w:szCs w:val="22"/>
        </w:rPr>
        <w:t xml:space="preserve">Severity level for conditions.</w:t>
      </w:r>
    </w:p>
    <w:p>
      <w:pPr>
        <w:pStyle w:val="ListParagraph"/>
        <w:numPr>
          <w:ilvl w:val="0"/>
          <w:numId w:val="2"/>
        </w:numPr>
        <w:spacing w:before="40" w:after="40" w:line="310"/>
      </w:pPr>
      <w:r>
        <w:rPr>
          <w:rFonts w:ascii="Arial" w:cs="Arial" w:eastAsia="Arial" w:hAnsi="Arial"/>
          <w:b/>
          <w:bCs/>
          <w:color w:val="2C3E50"/>
          <w:sz w:val="22"/>
          <w:szCs w:val="22"/>
        </w:rPr>
        <w:t xml:space="preserve">Patient Demographics: </w:t>
      </w:r>
      <w:r>
        <w:rPr>
          <w:rFonts w:ascii="Arial" w:cs="Arial" w:eastAsia="Arial" w:hAnsi="Arial"/>
          <w:color w:val="2C3E50"/>
          <w:sz w:val="22"/>
          <w:szCs w:val="22"/>
        </w:rPr>
        <w:t xml:space="preserve">Interpreter Needed flag, Communication preference.</w:t>
      </w:r>
    </w:p>
    <w:p>
      <w:pPr>
        <w:spacing w:before="120" w:after="120"/>
      </w:pPr>
    </w:p>
    <w:p>
      <w:pPr>
        <w:pStyle w:val="Heading2"/>
        <w:spacing w:before="340" w:after="160"/>
      </w:pPr>
      <w:r>
        <w:rPr>
          <w:rFonts w:ascii="Arial" w:cs="Arial" w:eastAsia="Arial" w:hAnsi="Arial"/>
          <w:b/>
          <w:bCs/>
          <w:color w:val="1A6FA5"/>
          <w:sz w:val="30"/>
          <w:szCs w:val="30"/>
        </w:rPr>
        <w:t xml:space="preserve">2.5 USCDI v5 (July 2025)</w:t>
      </w:r>
    </w:p>
    <w:p>
      <w:pPr>
        <w:spacing w:before="60" w:after="100" w:line="340"/>
      </w:pPr>
      <w:r>
        <w:rPr>
          <w:rFonts w:ascii="Arial" w:cs="Arial" w:eastAsia="Arial" w:hAnsi="Arial"/>
          <w:color w:val="2C3E50"/>
          <w:sz w:val="22"/>
          <w:szCs w:val="22"/>
        </w:rPr>
        <w:t xml:space="preserve">USCDI v5 represents the most comprehensive version, reflecting priorities around social determinants of health, patient-reported outcomes, and genomic data:</w:t>
      </w:r>
    </w:p>
    <w:p>
      <w:pPr>
        <w:pStyle w:val="Heading3"/>
        <w:spacing w:before="280" w:after="120"/>
      </w:pPr>
      <w:r>
        <w:rPr>
          <w:rFonts w:ascii="Arial" w:cs="Arial" w:eastAsia="Arial" w:hAnsi="Arial"/>
          <w:b/>
          <w:bCs/>
          <w:color w:val="2980B9"/>
          <w:sz w:val="26"/>
          <w:szCs w:val="26"/>
        </w:rPr>
        <w:t xml:space="preserve">Key Additions in v5</w:t>
      </w:r>
    </w:p>
    <w:p>
      <w:pPr>
        <w:pStyle w:val="ListParagraph"/>
        <w:numPr>
          <w:ilvl w:val="0"/>
          <w:numId w:val="2"/>
        </w:numPr>
        <w:spacing w:before="40" w:after="40" w:line="310"/>
      </w:pPr>
      <w:r>
        <w:rPr>
          <w:rFonts w:ascii="Arial" w:cs="Arial" w:eastAsia="Arial" w:hAnsi="Arial"/>
          <w:b/>
          <w:bCs/>
          <w:color w:val="2C3E50"/>
          <w:sz w:val="22"/>
          <w:szCs w:val="22"/>
        </w:rPr>
        <w:t xml:space="preserve">NEW CLASS — Genomic Data: </w:t>
      </w:r>
      <w:r>
        <w:rPr>
          <w:rFonts w:ascii="Arial" w:cs="Arial" w:eastAsia="Arial" w:hAnsi="Arial"/>
          <w:color w:val="2C3E50"/>
          <w:sz w:val="22"/>
          <w:szCs w:val="22"/>
        </w:rPr>
        <w:t xml:space="preserve">Genomic observations, genetic test results, and pharmacogenomic information for precision medicine.</w:t>
      </w:r>
    </w:p>
    <w:p>
      <w:pPr>
        <w:pStyle w:val="ListParagraph"/>
        <w:numPr>
          <w:ilvl w:val="0"/>
          <w:numId w:val="2"/>
        </w:numPr>
        <w:spacing w:before="40" w:after="40" w:line="310"/>
      </w:pPr>
      <w:r>
        <w:rPr>
          <w:rFonts w:ascii="Arial" w:cs="Arial" w:eastAsia="Arial" w:hAnsi="Arial"/>
          <w:b/>
          <w:bCs/>
          <w:color w:val="2C3E50"/>
          <w:sz w:val="22"/>
          <w:szCs w:val="22"/>
        </w:rPr>
        <w:t xml:space="preserve">NEW CLASS — Patient Summary: </w:t>
      </w:r>
      <w:r>
        <w:rPr>
          <w:rFonts w:ascii="Arial" w:cs="Arial" w:eastAsia="Arial" w:hAnsi="Arial"/>
          <w:color w:val="2C3E50"/>
          <w:sz w:val="22"/>
          <w:szCs w:val="22"/>
        </w:rPr>
        <w:t xml:space="preserve">International Patient Summary (IPS)-aligned data for cross-border and emergency use.</w:t>
      </w:r>
    </w:p>
    <w:p>
      <w:pPr>
        <w:pStyle w:val="ListParagraph"/>
        <w:numPr>
          <w:ilvl w:val="0"/>
          <w:numId w:val="2"/>
        </w:numPr>
        <w:spacing w:before="40" w:after="40" w:line="310"/>
      </w:pPr>
      <w:r>
        <w:rPr>
          <w:rFonts w:ascii="Arial" w:cs="Arial" w:eastAsia="Arial" w:hAnsi="Arial"/>
          <w:b/>
          <w:bCs/>
          <w:color w:val="2C3E50"/>
          <w:sz w:val="22"/>
          <w:szCs w:val="22"/>
        </w:rPr>
        <w:t xml:space="preserve">SDOH Expansion: </w:t>
      </w:r>
      <w:r>
        <w:rPr>
          <w:rFonts w:ascii="Arial" w:cs="Arial" w:eastAsia="Arial" w:hAnsi="Arial"/>
          <w:color w:val="2C3E50"/>
          <w:sz w:val="22"/>
          <w:szCs w:val="22"/>
        </w:rPr>
        <w:t xml:space="preserve">Food insecurity, housing instability, transportation needs, financial strain, intimate partner violence, social isolation — all as structured, codeable data elements.</w:t>
      </w:r>
    </w:p>
    <w:p>
      <w:pPr>
        <w:pStyle w:val="ListParagraph"/>
        <w:numPr>
          <w:ilvl w:val="0"/>
          <w:numId w:val="2"/>
        </w:numPr>
        <w:spacing w:before="40" w:after="40" w:line="310"/>
      </w:pPr>
      <w:r>
        <w:rPr>
          <w:rFonts w:ascii="Arial" w:cs="Arial" w:eastAsia="Arial" w:hAnsi="Arial"/>
          <w:b/>
          <w:bCs/>
          <w:color w:val="2C3E50"/>
          <w:sz w:val="22"/>
          <w:szCs w:val="22"/>
        </w:rPr>
        <w:t xml:space="preserve">Care Plan Expansion: </w:t>
      </w:r>
      <w:r>
        <w:rPr>
          <w:rFonts w:ascii="Arial" w:cs="Arial" w:eastAsia="Arial" w:hAnsi="Arial"/>
          <w:color w:val="2C3E50"/>
          <w:sz w:val="22"/>
          <w:szCs w:val="22"/>
        </w:rPr>
        <w:t xml:space="preserve">Structured care plan goals, interventions, and outcomes linked to specific conditions.</w:t>
      </w:r>
    </w:p>
    <w:p>
      <w:pPr>
        <w:pStyle w:val="ListParagraph"/>
        <w:numPr>
          <w:ilvl w:val="0"/>
          <w:numId w:val="2"/>
        </w:numPr>
        <w:spacing w:before="40" w:after="40" w:line="310"/>
      </w:pPr>
      <w:r>
        <w:rPr>
          <w:rFonts w:ascii="Arial" w:cs="Arial" w:eastAsia="Arial" w:hAnsi="Arial"/>
          <w:b/>
          <w:bCs/>
          <w:color w:val="2C3E50"/>
          <w:sz w:val="22"/>
          <w:szCs w:val="22"/>
        </w:rPr>
        <w:t xml:space="preserve">Laboratory Expansion: </w:t>
      </w:r>
      <w:r>
        <w:rPr>
          <w:rFonts w:ascii="Arial" w:cs="Arial" w:eastAsia="Arial" w:hAnsi="Arial"/>
          <w:color w:val="2C3E50"/>
          <w:sz w:val="22"/>
          <w:szCs w:val="22"/>
        </w:rPr>
        <w:t xml:space="preserve">Specimen collection date, reporting laboratory, and result interpretation expanded.</w:t>
      </w:r>
    </w:p>
    <w:p>
      <w:pPr>
        <w:pStyle w:val="ListParagraph"/>
        <w:numPr>
          <w:ilvl w:val="0"/>
          <w:numId w:val="2"/>
        </w:numPr>
        <w:spacing w:before="40" w:after="40" w:line="310"/>
      </w:pPr>
      <w:r>
        <w:rPr>
          <w:rFonts w:ascii="Arial" w:cs="Arial" w:eastAsia="Arial" w:hAnsi="Arial"/>
          <w:b/>
          <w:bCs/>
          <w:color w:val="2C3E50"/>
          <w:sz w:val="22"/>
          <w:szCs w:val="22"/>
        </w:rPr>
        <w:t xml:space="preserve">Advance Directives: </w:t>
      </w:r>
      <w:r>
        <w:rPr>
          <w:rFonts w:ascii="Arial" w:cs="Arial" w:eastAsia="Arial" w:hAnsi="Arial"/>
          <w:color w:val="2C3E50"/>
          <w:sz w:val="22"/>
          <w:szCs w:val="22"/>
        </w:rPr>
        <w:t xml:space="preserve">Living will, healthcare power of attorney, and do-not-resuscitate orders as structured data.</w:t>
      </w:r>
    </w:p>
    <w:p>
      <w:pPr>
        <w:spacing w:before="120" w:after="120"/>
      </w:pPr>
    </w:p>
    <w:p>
      <w:pPr>
        <w:pStyle w:val="Heading2"/>
        <w:spacing w:before="340" w:after="160"/>
      </w:pPr>
      <w:r>
        <w:rPr>
          <w:rFonts w:ascii="Arial" w:cs="Arial" w:eastAsia="Arial" w:hAnsi="Arial"/>
          <w:b/>
          <w:bCs/>
          <w:color w:val="1A6FA5"/>
          <w:sz w:val="30"/>
          <w:szCs w:val="30"/>
        </w:rPr>
        <w:t xml:space="preserve">2.6 USCDI Version Comparison Summary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200"/>
        <w:gridCol w:w="1800"/>
        <w:gridCol w:w="47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Data Classes</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Approximate Data Elements</w:t>
            </w:r>
          </w:p>
        </w:tc>
        <w:tc>
          <w:tcPr>
            <w:tcW w:type="dxa" w:w="4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Additions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v1</w:t>
            </w:r>
          </w:p>
        </w:tc>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2020</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16</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~55</w:t>
            </w:r>
          </w:p>
        </w:tc>
        <w:tc>
          <w:tcPr>
            <w:tcW w:type="dxa" w:w="4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Baseline: demographics, meds, problems, labs, vitals, notes, immunizations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v2</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2022</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19</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~80</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Health insurance, encounters, facility info, gender identity, SDOH basics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v3</w:t>
            </w:r>
          </w:p>
        </w:tc>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2023</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21</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~100</w:t>
            </w:r>
          </w:p>
        </w:tc>
        <w:tc>
          <w:tcPr>
            <w:tcW w:type="dxa" w:w="4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Diagnostic imaging, health status assessments, occupation, SDOH assessments, HTI-1 adopted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v4</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2024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~120</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Treatment plan, functional status, medication route/frequency, severity</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v5</w:t>
            </w:r>
          </w:p>
        </w:tc>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2025</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~140+</w:t>
            </w:r>
          </w:p>
        </w:tc>
        <w:tc>
          <w:tcPr>
            <w:tcW w:type="dxa" w:w="4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Genomics, patient summary, SDOH expansion, advance directives, care plans</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3. Mapping USCDI to FHIR US Core</w:t>
      </w:r>
    </w:p>
    <w:p>
      <w:pPr>
        <w:spacing w:before="60" w:after="100" w:line="340"/>
      </w:pPr>
      <w:r>
        <w:rPr>
          <w:rFonts w:ascii="Arial" w:cs="Arial" w:eastAsia="Arial" w:hAnsi="Arial"/>
          <w:color w:val="2C3E50"/>
          <w:sz w:val="22"/>
          <w:szCs w:val="22"/>
        </w:rPr>
        <w:t xml:space="preserve">FHIR US Core is the technical implementation of USCDI. Every USCDI data class and data element maps to one or more FHIR resource profiles defined in the US Core Implementation Guide. When ONC requires certified health IT to support USCDI, it practically means the system must implement the corresponding US Core FHIR profiles.</w:t>
      </w:r>
    </w:p>
    <w:p>
      <w:pPr>
        <w:spacing w:before="60" w:after="100" w:line="340"/>
      </w:pPr>
      <w:r>
        <w:rPr>
          <w:rFonts w:ascii="Arial" w:cs="Arial" w:eastAsia="Arial" w:hAnsi="Arial"/>
          <w:color w:val="2C3E50"/>
          <w:sz w:val="22"/>
          <w:szCs w:val="22"/>
        </w:rPr>
        <w:t xml:space="preserve">For integration architects, understanding this mapping is essential for designing FHIR APIs that are both conformant with US Core and complete in their USCDI data coverage.</w:t>
      </w:r>
    </w:p>
    <w:p>
      <w:pPr>
        <w:pStyle w:val="Heading2"/>
        <w:spacing w:before="340" w:after="160"/>
      </w:pPr>
      <w:r>
        <w:rPr>
          <w:rFonts w:ascii="Arial" w:cs="Arial" w:eastAsia="Arial" w:hAnsi="Arial"/>
          <w:b/>
          <w:bCs/>
          <w:color w:val="1A6FA5"/>
          <w:sz w:val="30"/>
          <w:szCs w:val="30"/>
        </w:rPr>
        <w:t xml:space="preserve">3.1 What Is US Core?</w:t>
      </w:r>
    </w:p>
    <w:p>
      <w:pPr>
        <w:spacing w:before="60" w:after="100" w:line="340"/>
      </w:pPr>
      <w:r>
        <w:rPr>
          <w:rFonts w:ascii="Arial" w:cs="Arial" w:eastAsia="Arial" w:hAnsi="Arial"/>
          <w:color w:val="2C3E50"/>
          <w:sz w:val="22"/>
          <w:szCs w:val="22"/>
        </w:rPr>
        <w:t xml:space="preserve">The US Core Implementation Guide (IG) is published by HL7 International in collaboration with ONC. It defines:</w:t>
      </w:r>
    </w:p>
    <w:p>
      <w:pPr>
        <w:pStyle w:val="ListParagraph"/>
        <w:numPr>
          <w:ilvl w:val="0"/>
          <w:numId w:val="2"/>
        </w:numPr>
        <w:spacing w:before="40" w:after="40" w:line="310"/>
      </w:pPr>
      <w:r>
        <w:rPr>
          <w:rFonts w:ascii="Arial" w:cs="Arial" w:eastAsia="Arial" w:hAnsi="Arial"/>
          <w:b/>
          <w:bCs/>
          <w:color w:val="2C3E50"/>
          <w:sz w:val="22"/>
          <w:szCs w:val="22"/>
        </w:rPr>
        <w:t xml:space="preserve">FHIR Profiles: </w:t>
      </w:r>
      <w:r>
        <w:rPr>
          <w:rFonts w:ascii="Arial" w:cs="Arial" w:eastAsia="Arial" w:hAnsi="Arial"/>
          <w:color w:val="2C3E50"/>
          <w:sz w:val="22"/>
          <w:szCs w:val="22"/>
        </w:rPr>
        <w:t xml:space="preserve">Constrained versions of base FHIR resources with required fields, terminology bindings, and extensions specific to US healthcare. Example: US Core Patient Profile requires name, gender, and identifier, and adds extensions for race, ethnicity, and birth sex.</w:t>
      </w:r>
    </w:p>
    <w:p>
      <w:pPr>
        <w:pStyle w:val="ListParagraph"/>
        <w:numPr>
          <w:ilvl w:val="0"/>
          <w:numId w:val="2"/>
        </w:numPr>
        <w:spacing w:before="40" w:after="40" w:line="310"/>
      </w:pPr>
      <w:r>
        <w:rPr>
          <w:rFonts w:ascii="Arial" w:cs="Arial" w:eastAsia="Arial" w:hAnsi="Arial"/>
          <w:b/>
          <w:bCs/>
          <w:color w:val="2C3E50"/>
          <w:sz w:val="22"/>
          <w:szCs w:val="22"/>
        </w:rPr>
        <w:t xml:space="preserve">Search Parameters: </w:t>
      </w:r>
      <w:r>
        <w:rPr>
          <w:rFonts w:ascii="Arial" w:cs="Arial" w:eastAsia="Arial" w:hAnsi="Arial"/>
          <w:color w:val="2C3E50"/>
          <w:sz w:val="22"/>
          <w:szCs w:val="22"/>
        </w:rPr>
        <w:t xml:space="preserve">Mandatory search capabilities that FHIR servers must support. Example: US Core requires servers to support searching Patients by name, birthdate, and identifier.</w:t>
      </w:r>
    </w:p>
    <w:p>
      <w:pPr>
        <w:pStyle w:val="ListParagraph"/>
        <w:numPr>
          <w:ilvl w:val="0"/>
          <w:numId w:val="2"/>
        </w:numPr>
        <w:spacing w:before="40" w:after="40" w:line="310"/>
      </w:pPr>
      <w:r>
        <w:rPr>
          <w:rFonts w:ascii="Arial" w:cs="Arial" w:eastAsia="Arial" w:hAnsi="Arial"/>
          <w:b/>
          <w:bCs/>
          <w:color w:val="2C3E50"/>
          <w:sz w:val="22"/>
          <w:szCs w:val="22"/>
        </w:rPr>
        <w:t xml:space="preserve">CapabilityStatement: </w:t>
      </w:r>
      <w:r>
        <w:rPr>
          <w:rFonts w:ascii="Arial" w:cs="Arial" w:eastAsia="Arial" w:hAnsi="Arial"/>
          <w:color w:val="2C3E50"/>
          <w:sz w:val="22"/>
          <w:szCs w:val="22"/>
        </w:rPr>
        <w:t xml:space="preserve">A machine-readable declaration of what a US Core server supports, enabling automated conformance testing.</w:t>
      </w:r>
    </w:p>
    <w:p>
      <w:pPr>
        <w:pStyle w:val="ListParagraph"/>
        <w:numPr>
          <w:ilvl w:val="0"/>
          <w:numId w:val="2"/>
        </w:numPr>
        <w:spacing w:before="40" w:after="40" w:line="310"/>
      </w:pPr>
      <w:r>
        <w:rPr>
          <w:rFonts w:ascii="Arial" w:cs="Arial" w:eastAsia="Arial" w:hAnsi="Arial"/>
          <w:b/>
          <w:bCs/>
          <w:color w:val="2C3E50"/>
          <w:sz w:val="22"/>
          <w:szCs w:val="22"/>
        </w:rPr>
        <w:t xml:space="preserve">Terminology Bindings: </w:t>
      </w:r>
      <w:r>
        <w:rPr>
          <w:rFonts w:ascii="Arial" w:cs="Arial" w:eastAsia="Arial" w:hAnsi="Arial"/>
          <w:color w:val="2C3E50"/>
          <w:sz w:val="22"/>
          <w:szCs w:val="22"/>
        </w:rPr>
        <w:t xml:space="preserve">Required code systems and value sets for coded data elements, aligning with USCDI vocabulary requirements.</w:t>
      </w:r>
    </w:p>
    <w:p>
      <w:pPr>
        <w:spacing w:before="120" w:after="120"/>
      </w:pPr>
    </w:p>
    <w:p>
      <w:pPr>
        <w:pStyle w:val="Heading2"/>
        <w:spacing w:before="340" w:after="160"/>
      </w:pPr>
      <w:r>
        <w:rPr>
          <w:rFonts w:ascii="Arial" w:cs="Arial" w:eastAsia="Arial" w:hAnsi="Arial"/>
          <w:b/>
          <w:bCs/>
          <w:color w:val="1A6FA5"/>
          <w:sz w:val="30"/>
          <w:szCs w:val="30"/>
        </w:rPr>
        <w:t xml:space="preserve">3.2 Complete USCDI-to-FHIR-US-Core Mapping</w:t>
      </w:r>
    </w:p>
    <w:p>
      <w:pPr>
        <w:spacing w:before="60" w:after="100" w:line="340"/>
      </w:pPr>
      <w:r>
        <w:rPr>
          <w:rFonts w:ascii="Arial" w:cs="Arial" w:eastAsia="Arial" w:hAnsi="Arial"/>
          <w:color w:val="2C3E50"/>
          <w:sz w:val="22"/>
          <w:szCs w:val="22"/>
        </w:rPr>
        <w:t xml:space="preserve">The following comprehensive table maps every major USCDI data class to its corresponding US Core FHIR profile(s), the FHIR resource type, and key data elements: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USCDI Data Class</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FHIR US Core Profile(s)</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FHIR Resource</w:t>
            </w:r>
          </w:p>
        </w:tc>
        <w:tc>
          <w:tcPr>
            <w:tcW w:type="dxa" w:w="3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FHIR Elements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Demographics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Patient</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name, birthDate, gender, identifier, address, telecom, communication, extension (race, ethnicity, birthsex, genderIdentity)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Allergies and Intolerances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AllergyIntolerance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AllergyIntolerance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 (RxNorm/SNOMED), reaction.manifestation, clinicalStatus, onsetDateTime, patient</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Assessment &amp; Plan of Treatment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DocumentReference or CarePlan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DocumentReference / CarePlan</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content.attachment (for notes), category, activity (for plans)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Care Team Members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CareTeam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CareTeam</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participant.member (Practitioner/Organization), participant.role, status, subject</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 Notes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DocumentReference, US Core DiagnosticReport (Note)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DocumentReference / DiagnosticReport</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type (LOINC document code), content.attachment, category, date, author</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Encounter Information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Encounter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Encounter</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class, type, period, location, diagnosis, reasonCode, hospitalization.dischargeDisposition, status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Goals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Goal</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Goal</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description, lifecycleStatus, target.dueDate, achievementStatus, subject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Health Concerns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Condition (Problems and Health Concerns)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Condition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 (SNOMED/ICD-10), clinicalStatus, category (health-concern), onsetDateTime, subject</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Health Insurance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Coverage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Coverage</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type, status, subscriberId, beneficiary, payor, period, class (group/plan)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Health Status Assessments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Observation (Screening Assessment)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Observation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 (LOINC), value, category (sdoh/survey), derivedFrom (QuestionnaireResponse)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Immunizations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Immunization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Immunization</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vaccineCode (CVX), occurrenceDateTime, patient, status, primarySource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Laboratory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Observation (Laboratory), US Core DiagnosticReport (Lab)</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Observation / DiagnosticReport</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 (LOINC), valueQuantity, referenceRange, interpretation, specimen, status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Medications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MedicationRequest, US Core Medication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MedicationRequest / Medication</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medicationCodeableConcept (RxNorm), dosageInstruction, status, intent, requester</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Problems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Condition (Problems and Health Concerns)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Condition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 (SNOMED/ICD-10), clinicalStatus, verificationStatus, category (problem-list-item), onsetDateTime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Procedures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Procedure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Procedure</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code (CPT/SNOMED/HCPCS), performedDateTime, status, reasonCode, subject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Provenance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Provenance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Provenance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agent.who (Practitioner/Organization), recorded, target</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Smoking Status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Smoking Status Observation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Observation</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code (LOINC 72166-2), valueCodeableConcept (SNOMED), effectiveDateTime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Unique Device Identifiers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Implantable Device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Device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udiCarrier.deviceIdentifier, type, patient, manufacturer, expirationDate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Vital Signs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Vital Signs (multiple profiles)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Observation</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code (LOINC), valueQuantity (UCUM units), effectiveDateTime, component (for BP)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Diagnostic Imaging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DiagnosticReport (Report and Note)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DiagnosticReport</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 (LOINC), presentedForm (report narrative), imagingStudy, conclusion, category</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Facility Information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Location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Location</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name, identifier (NPI), type, address, managingOrganization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Insight: The USCDI-to-US-Core Pipeline</w:t>
            </w:r>
          </w:p>
          <w:p>
            <w:pPr>
              <w:spacing w:before="40"/>
            </w:pPr>
            <w:r>
              <w:rPr>
                <w:rFonts w:ascii="Arial" w:cs="Arial" w:eastAsia="Arial" w:hAnsi="Arial"/>
                <w:color w:val="2C3E50"/>
                <w:sz w:val="20"/>
                <w:szCs w:val="20"/>
              </w:rPr>
              <w:t xml:space="preserve">When designing a FHIR API or building a data exchange interface, always start with USCDI: What data classes and elements are required for your use case? Then map those to US Core profiles: Which FHIR resources and profiles will carry that data? Then implement the profiles: What fields are required vs. optional? What terminology bindings are mandatory? This USCDI → US Core → FHIR implementation pipeline ensures regulatory compliance and interoperability from the design phase.</w:t>
            </w:r>
          </w:p>
        </w:tc>
      </w:tr>
    </w:tbl>
    <w:p>
      <w:pPr>
        <w:spacing w:before="120" w:after="120"/>
      </w:pPr>
    </w:p>
    <w:p>
      <w:pPr>
        <w:pStyle w:val="Heading2"/>
        <w:spacing w:before="340" w:after="160"/>
      </w:pPr>
      <w:r>
        <w:rPr>
          <w:rFonts w:ascii="Arial" w:cs="Arial" w:eastAsia="Arial" w:hAnsi="Arial"/>
          <w:b/>
          <w:bCs/>
          <w:color w:val="1A6FA5"/>
          <w:sz w:val="30"/>
          <w:szCs w:val="30"/>
        </w:rPr>
        <w:t xml:space="preserve">3.3 US Core Profile Conformance Requirements</w:t>
      </w:r>
    </w:p>
    <w:p>
      <w:pPr>
        <w:spacing w:before="60" w:after="100" w:line="340"/>
      </w:pPr>
      <w:r>
        <w:rPr>
          <w:rFonts w:ascii="Arial" w:cs="Arial" w:eastAsia="Arial" w:hAnsi="Arial"/>
          <w:color w:val="2C3E50"/>
          <w:sz w:val="22"/>
          <w:szCs w:val="22"/>
        </w:rPr>
        <w:t xml:space="preserve">Each US Core profile specifies conformance requirements using FHIR terminology:</w:t>
      </w:r>
    </w:p>
    <w:p>
      <w:pPr>
        <w:pStyle w:val="ListParagraph"/>
        <w:numPr>
          <w:ilvl w:val="0"/>
          <w:numId w:val="2"/>
        </w:numPr>
        <w:spacing w:before="40" w:after="40" w:line="310"/>
      </w:pPr>
      <w:r>
        <w:rPr>
          <w:rFonts w:ascii="Arial" w:cs="Arial" w:eastAsia="Arial" w:hAnsi="Arial"/>
          <w:b/>
          <w:bCs/>
          <w:color w:val="2C3E50"/>
          <w:sz w:val="22"/>
          <w:szCs w:val="22"/>
        </w:rPr>
        <w:t xml:space="preserve">Must Support: </w:t>
      </w:r>
      <w:r>
        <w:rPr>
          <w:rFonts w:ascii="Arial" w:cs="Arial" w:eastAsia="Arial" w:hAnsi="Arial"/>
          <w:color w:val="2C3E50"/>
          <w:sz w:val="22"/>
          <w:szCs w:val="22"/>
        </w:rPr>
        <w:t xml:space="preserve">Data elements marked as Must Support must be included when the data is available. If a system has the data, it must populate the field. If queried, it must return the data. Must Support does not mean "required" — it means "if you have it, you must share it."</w:t>
      </w:r>
    </w:p>
    <w:p>
      <w:pPr>
        <w:pStyle w:val="ListParagraph"/>
        <w:numPr>
          <w:ilvl w:val="0"/>
          <w:numId w:val="2"/>
        </w:numPr>
        <w:spacing w:before="40" w:after="40" w:line="310"/>
      </w:pPr>
      <w:r>
        <w:rPr>
          <w:rFonts w:ascii="Arial" w:cs="Arial" w:eastAsia="Arial" w:hAnsi="Arial"/>
          <w:b/>
          <w:bCs/>
          <w:color w:val="2C3E50"/>
          <w:sz w:val="22"/>
          <w:szCs w:val="22"/>
        </w:rPr>
        <w:t xml:space="preserve">Required (Cardinality 1..1 or 1..*): </w:t>
      </w:r>
      <w:r>
        <w:rPr>
          <w:rFonts w:ascii="Arial" w:cs="Arial" w:eastAsia="Arial" w:hAnsi="Arial"/>
          <w:color w:val="2C3E50"/>
          <w:sz w:val="22"/>
          <w:szCs w:val="22"/>
        </w:rPr>
        <w:t xml:space="preserve">Elements that must always be present. Example: Patient.name is required in US Core Patient.</w:t>
      </w:r>
    </w:p>
    <w:p>
      <w:pPr>
        <w:pStyle w:val="ListParagraph"/>
        <w:numPr>
          <w:ilvl w:val="0"/>
          <w:numId w:val="2"/>
        </w:numPr>
        <w:spacing w:before="40" w:after="40" w:line="310"/>
      </w:pPr>
      <w:r>
        <w:rPr>
          <w:rFonts w:ascii="Arial" w:cs="Arial" w:eastAsia="Arial" w:hAnsi="Arial"/>
          <w:b/>
          <w:bCs/>
          <w:color w:val="2C3E50"/>
          <w:sz w:val="22"/>
          <w:szCs w:val="22"/>
        </w:rPr>
        <w:t xml:space="preserve">Terminology Bindings: </w:t>
      </w:r>
      <w:r>
        <w:rPr>
          <w:rFonts w:ascii="Arial" w:cs="Arial" w:eastAsia="Arial" w:hAnsi="Arial"/>
          <w:color w:val="2C3E50"/>
          <w:sz w:val="22"/>
          <w:szCs w:val="22"/>
        </w:rPr>
        <w:t xml:space="preserve">Required bindings mean the code must come from the specified value set. Extensible bindings mean the specified value set should be used but additional codes are permitted if no appropriate code exists.</w:t>
      </w:r>
    </w:p>
    <w:p>
      <w:pPr>
        <w:pStyle w:val="ListParagraph"/>
        <w:numPr>
          <w:ilvl w:val="0"/>
          <w:numId w:val="2"/>
        </w:numPr>
        <w:spacing w:before="40" w:after="40" w:line="310"/>
      </w:pPr>
      <w:r>
        <w:rPr>
          <w:rFonts w:ascii="Arial" w:cs="Arial" w:eastAsia="Arial" w:hAnsi="Arial"/>
          <w:b/>
          <w:bCs/>
          <w:color w:val="2C3E50"/>
          <w:sz w:val="22"/>
          <w:szCs w:val="22"/>
        </w:rPr>
        <w:t xml:space="preserve">Extensions: </w:t>
      </w:r>
      <w:r>
        <w:rPr>
          <w:rFonts w:ascii="Arial" w:cs="Arial" w:eastAsia="Arial" w:hAnsi="Arial"/>
          <w:color w:val="2C3E50"/>
          <w:sz w:val="22"/>
          <w:szCs w:val="22"/>
        </w:rPr>
        <w:t xml:space="preserve">US Core defines extensions for data not in base FHIR. US Core Race, US Core Ethnicity, and US Core Birth Sex are the most well-known extensions.</w:t>
      </w:r>
    </w:p>
    <w:p>
      <w:pPr>
        <w:spacing w:before="120" w:after="120"/>
      </w:pPr>
    </w:p>
    <w:p>
      <w:pPr>
        <w:pStyle w:val="Heading2"/>
        <w:spacing w:before="340" w:after="160"/>
      </w:pPr>
      <w:r>
        <w:rPr>
          <w:rFonts w:ascii="Arial" w:cs="Arial" w:eastAsia="Arial" w:hAnsi="Arial"/>
          <w:b/>
          <w:bCs/>
          <w:color w:val="1A6FA5"/>
          <w:sz w:val="30"/>
          <w:szCs w:val="30"/>
        </w:rPr>
        <w:t xml:space="preserve">3.4 Vital Signs Profiles Deep Dive</w:t>
      </w:r>
    </w:p>
    <w:p>
      <w:pPr>
        <w:spacing w:before="60" w:after="100" w:line="340"/>
      </w:pPr>
      <w:r>
        <w:rPr>
          <w:rFonts w:ascii="Arial" w:cs="Arial" w:eastAsia="Arial" w:hAnsi="Arial"/>
          <w:color w:val="2C3E50"/>
          <w:sz w:val="22"/>
          <w:szCs w:val="22"/>
        </w:rPr>
        <w:t xml:space="preserve">USCDI Vital Signs map to a family of specialized Observation profiles in US Core, each with specific LOINC codes and UCUM units: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1800"/>
        <w:gridCol w:w="29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Vital Sign</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US Core Profile</w:t>
            </w:r>
          </w:p>
        </w:tc>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LOINC Code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Unit (UCUM)</w:t>
            </w:r>
          </w:p>
        </w:tc>
        <w:tc>
          <w:tcPr>
            <w:tcW w:type="dxa" w:w="2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FHIR Data Path</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Blood Pressure</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Blood Pressure</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85354-9</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mmHg</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component[0]=systolic (8480-6), component[1]=diastolic (8462-4)</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Body Temperature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Body Temperature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8310-5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 or °F (Cel or [degF])</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valueQuantity</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Heart Rate</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Heart Rate</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8867-4</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/min</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valueQuantity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Respiratory Rate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Respiratory Rate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9279-1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/min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valueQuantity</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Body Height</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Body Height</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8302-2</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cm or [in_i]</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valueQuantity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Body Weight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Body Weight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29463-7</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kg or [lb_av]</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valueQuantity</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BMI</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BMI</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39156-5</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kg/m2</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valueQuantity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Pulse Oximetry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 Core Pulse Oximetry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59408-5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valueQuantity + component (inhaled O2)</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Head Circumference</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 Core Pediatric Head Circumference</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9843-4</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cm</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valueQuantity</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4. ONC Certification and the HTI-1 Final Rule</w:t>
      </w:r>
    </w:p>
    <w:p>
      <w:pPr>
        <w:spacing w:before="60" w:after="100" w:line="340"/>
      </w:pPr>
      <w:r>
        <w:rPr>
          <w:rFonts w:ascii="Arial" w:cs="Arial" w:eastAsia="Arial" w:hAnsi="Arial"/>
          <w:color w:val="2C3E50"/>
          <w:sz w:val="22"/>
          <w:szCs w:val="22"/>
        </w:rPr>
        <w:t xml:space="preserve">ONC’s Health IT Certification Program ensures that EHR systems and other health IT products meet baseline interoperability requirements. USCDI is enforced through this certification program — certified health IT must support the USCDI version adopted in the current certification criteria.</w:t>
      </w:r>
    </w:p>
    <w:p>
      <w:pPr>
        <w:pStyle w:val="Heading2"/>
        <w:spacing w:before="340" w:after="160"/>
      </w:pPr>
      <w:r>
        <w:rPr>
          <w:rFonts w:ascii="Arial" w:cs="Arial" w:eastAsia="Arial" w:hAnsi="Arial"/>
          <w:b/>
          <w:bCs/>
          <w:color w:val="1A6FA5"/>
          <w:sz w:val="30"/>
          <w:szCs w:val="30"/>
        </w:rPr>
        <w:t xml:space="preserve">4.1 The ONC Certification Program</w:t>
      </w:r>
    </w:p>
    <w:p>
      <w:pPr>
        <w:spacing w:before="60" w:after="100" w:line="340"/>
      </w:pPr>
      <w:r>
        <w:rPr>
          <w:rFonts w:ascii="Arial" w:cs="Arial" w:eastAsia="Arial" w:hAnsi="Arial"/>
          <w:color w:val="2C3E50"/>
          <w:sz w:val="22"/>
          <w:szCs w:val="22"/>
        </w:rPr>
        <w:t xml:space="preserve">The ONC Health IT Certification Program was established by the HITECH Act and significantly updated by the 21st Century Cures Act. Key components include:</w:t>
      </w:r>
    </w:p>
    <w:p>
      <w:pPr>
        <w:pStyle w:val="ListParagraph"/>
        <w:numPr>
          <w:ilvl w:val="0"/>
          <w:numId w:val="2"/>
        </w:numPr>
        <w:spacing w:before="40" w:after="40" w:line="310"/>
      </w:pPr>
      <w:r>
        <w:rPr>
          <w:rFonts w:ascii="Arial" w:cs="Arial" w:eastAsia="Arial" w:hAnsi="Arial"/>
          <w:b/>
          <w:bCs/>
          <w:color w:val="2C3E50"/>
          <w:sz w:val="22"/>
          <w:szCs w:val="22"/>
        </w:rPr>
        <w:t xml:space="preserve">Certification Criteria: </w:t>
      </w:r>
      <w:r>
        <w:rPr>
          <w:rFonts w:ascii="Arial" w:cs="Arial" w:eastAsia="Arial" w:hAnsi="Arial"/>
          <w:color w:val="2C3E50"/>
          <w:sz w:val="22"/>
          <w:szCs w:val="22"/>
        </w:rPr>
        <w:t xml:space="preserve">Technical requirements that health IT systems must meet. These are organized by capabilities such as Clinical Decision Support, Electronic Prescribing, and Standardized API for Patient and Population Services.</w:t>
      </w:r>
    </w:p>
    <w:p>
      <w:pPr>
        <w:pStyle w:val="ListParagraph"/>
        <w:numPr>
          <w:ilvl w:val="0"/>
          <w:numId w:val="2"/>
        </w:numPr>
        <w:spacing w:before="40" w:after="40" w:line="310"/>
      </w:pPr>
      <w:r>
        <w:rPr>
          <w:rFonts w:ascii="Arial" w:cs="Arial" w:eastAsia="Arial" w:hAnsi="Arial"/>
          <w:b/>
          <w:bCs/>
          <w:color w:val="2C3E50"/>
          <w:sz w:val="22"/>
          <w:szCs w:val="22"/>
        </w:rPr>
        <w:t xml:space="preserve">ONC-Authorized Certification Bodies (ONC-ACBs): </w:t>
      </w:r>
      <w:r>
        <w:rPr>
          <w:rFonts w:ascii="Arial" w:cs="Arial" w:eastAsia="Arial" w:hAnsi="Arial"/>
          <w:color w:val="2C3E50"/>
          <w:sz w:val="22"/>
          <w:szCs w:val="22"/>
        </w:rPr>
        <w:t xml:space="preserve">Organizations like Drummond Group and SLI Compliance that test and certify health IT products against the criteria.</w:t>
      </w:r>
    </w:p>
    <w:p>
      <w:pPr>
        <w:pStyle w:val="ListParagraph"/>
        <w:numPr>
          <w:ilvl w:val="0"/>
          <w:numId w:val="2"/>
        </w:numPr>
        <w:spacing w:before="40" w:after="40" w:line="310"/>
      </w:pPr>
      <w:r>
        <w:rPr>
          <w:rFonts w:ascii="Arial" w:cs="Arial" w:eastAsia="Arial" w:hAnsi="Arial"/>
          <w:b/>
          <w:bCs/>
          <w:color w:val="2C3E50"/>
          <w:sz w:val="22"/>
          <w:szCs w:val="22"/>
        </w:rPr>
        <w:t xml:space="preserve">Certified Health IT Product List (CHPL): </w:t>
      </w:r>
      <w:r>
        <w:rPr>
          <w:rFonts w:ascii="Arial" w:cs="Arial" w:eastAsia="Arial" w:hAnsi="Arial"/>
          <w:color w:val="2C3E50"/>
          <w:sz w:val="22"/>
          <w:szCs w:val="22"/>
        </w:rPr>
        <w:t xml:space="preserve">The public registry of all certified health IT products, maintained at chpl.healthit.gov.</w:t>
      </w:r>
    </w:p>
    <w:p>
      <w:pPr>
        <w:pStyle w:val="ListParagraph"/>
        <w:numPr>
          <w:ilvl w:val="0"/>
          <w:numId w:val="2"/>
        </w:numPr>
        <w:spacing w:before="40" w:after="40" w:line="310"/>
      </w:pPr>
      <w:r>
        <w:rPr>
          <w:rFonts w:ascii="Arial" w:cs="Arial" w:eastAsia="Arial" w:hAnsi="Arial"/>
          <w:b/>
          <w:bCs/>
          <w:color w:val="2C3E50"/>
          <w:sz w:val="22"/>
          <w:szCs w:val="22"/>
        </w:rPr>
        <w:t xml:space="preserve">Conditions and Maintenance of Certification: </w:t>
      </w:r>
      <w:r>
        <w:rPr>
          <w:rFonts w:ascii="Arial" w:cs="Arial" w:eastAsia="Arial" w:hAnsi="Arial"/>
          <w:color w:val="2C3E50"/>
          <w:sz w:val="22"/>
          <w:szCs w:val="22"/>
        </w:rPr>
        <w:t xml:space="preserve">Ongoing requirements that certified developers must meet, including information blocking compliance, communications transparency, and API compliance.</w:t>
      </w:r>
    </w:p>
    <w:p>
      <w:pPr>
        <w:spacing w:before="120" w:after="120"/>
      </w:pPr>
    </w:p>
    <w:p>
      <w:pPr>
        <w:pStyle w:val="Heading2"/>
        <w:spacing w:before="340" w:after="160"/>
      </w:pPr>
      <w:r>
        <w:rPr>
          <w:rFonts w:ascii="Arial" w:cs="Arial" w:eastAsia="Arial" w:hAnsi="Arial"/>
          <w:b/>
          <w:bCs/>
          <w:color w:val="1A6FA5"/>
          <w:sz w:val="30"/>
          <w:szCs w:val="30"/>
        </w:rPr>
        <w:t xml:space="preserve">4.2 The HTI-1 Final Rule (December 2023)</w:t>
      </w:r>
    </w:p>
    <w:p>
      <w:pPr>
        <w:spacing w:before="60" w:after="100" w:line="340"/>
      </w:pPr>
      <w:r>
        <w:rPr>
          <w:rFonts w:ascii="Arial" w:cs="Arial" w:eastAsia="Arial" w:hAnsi="Arial"/>
          <w:color w:val="2C3E50"/>
          <w:sz w:val="22"/>
          <w:szCs w:val="22"/>
        </w:rPr>
        <w:t xml:space="preserve">The Health Data, Technology, and Interoperability: Certification Program Updates, Algorithm Transparency, and Information Sharing (HTI-1) Final Rule is the most significant recent update to ONC’s certification program. It directly impacts USCDI implementation:</w:t>
      </w:r>
    </w:p>
    <w:p>
      <w:pPr>
        <w:pStyle w:val="Heading3"/>
        <w:spacing w:before="280" w:after="120"/>
      </w:pPr>
      <w:r>
        <w:rPr>
          <w:rFonts w:ascii="Arial" w:cs="Arial" w:eastAsia="Arial" w:hAnsi="Arial"/>
          <w:b/>
          <w:bCs/>
          <w:color w:val="2980B9"/>
          <w:sz w:val="26"/>
          <w:szCs w:val="26"/>
        </w:rPr>
        <w:t xml:space="preserve">Key HTI-1 Provisions for USCDI</w:t>
      </w:r>
    </w:p>
    <w:p>
      <w:pPr>
        <w:pStyle w:val="ListParagraph"/>
        <w:numPr>
          <w:ilvl w:val="0"/>
          <w:numId w:val="2"/>
        </w:numPr>
        <w:spacing w:before="40" w:after="40" w:line="310"/>
      </w:pPr>
      <w:r>
        <w:rPr>
          <w:rFonts w:ascii="Arial" w:cs="Arial" w:eastAsia="Arial" w:hAnsi="Arial"/>
          <w:b/>
          <w:bCs/>
          <w:color w:val="2C3E50"/>
          <w:sz w:val="22"/>
          <w:szCs w:val="22"/>
        </w:rPr>
        <w:t xml:space="preserve">Adopted USCDI v3: </w:t>
      </w:r>
      <w:r>
        <w:rPr>
          <w:rFonts w:ascii="Arial" w:cs="Arial" w:eastAsia="Arial" w:hAnsi="Arial"/>
          <w:color w:val="2C3E50"/>
          <w:sz w:val="22"/>
          <w:szCs w:val="22"/>
        </w:rPr>
        <w:t xml:space="preserve">HTI-1 formally adopted USCDI v3 as the required data standard for ONC certification, replacing USCDI v1.</w:t>
      </w:r>
    </w:p>
    <w:p>
      <w:pPr>
        <w:pStyle w:val="ListParagraph"/>
        <w:numPr>
          <w:ilvl w:val="0"/>
          <w:numId w:val="2"/>
        </w:numPr>
        <w:spacing w:before="40" w:after="40" w:line="310"/>
      </w:pPr>
      <w:r>
        <w:rPr>
          <w:rFonts w:ascii="Arial" w:cs="Arial" w:eastAsia="Arial" w:hAnsi="Arial"/>
          <w:b/>
          <w:bCs/>
          <w:color w:val="2C3E50"/>
          <w:sz w:val="22"/>
          <w:szCs w:val="22"/>
        </w:rPr>
        <w:t xml:space="preserve">Updated g(10) Standardized API Criteria: </w:t>
      </w:r>
      <w:r>
        <w:rPr>
          <w:rFonts w:ascii="Arial" w:cs="Arial" w:eastAsia="Arial" w:hAnsi="Arial"/>
          <w:color w:val="2C3E50"/>
          <w:sz w:val="22"/>
          <w:szCs w:val="22"/>
        </w:rPr>
        <w:t xml:space="preserve">The g(10) certification criterion (Standardized API for Patient and Population Services) requires certified health IT to serve USCDI v3 data through FHIR US Core-conformant APIs.</w:t>
      </w:r>
    </w:p>
    <w:p>
      <w:pPr>
        <w:pStyle w:val="ListParagraph"/>
        <w:numPr>
          <w:ilvl w:val="0"/>
          <w:numId w:val="2"/>
        </w:numPr>
        <w:spacing w:before="40" w:after="40" w:line="310"/>
      </w:pPr>
      <w:r>
        <w:rPr>
          <w:rFonts w:ascii="Arial" w:cs="Arial" w:eastAsia="Arial" w:hAnsi="Arial"/>
          <w:b/>
          <w:bCs/>
          <w:color w:val="2C3E50"/>
          <w:sz w:val="22"/>
          <w:szCs w:val="22"/>
        </w:rPr>
        <w:t xml:space="preserve">FHIR US Core Version: </w:t>
      </w:r>
      <w:r>
        <w:rPr>
          <w:rFonts w:ascii="Arial" w:cs="Arial" w:eastAsia="Arial" w:hAnsi="Arial"/>
          <w:color w:val="2C3E50"/>
          <w:sz w:val="22"/>
          <w:szCs w:val="22"/>
        </w:rPr>
        <w:t xml:space="preserve">HTI-1 adopted US Core 3.1.1 and later versions (including US Core 6.1.0 and 7.0.0) for FHIR API conformance.</w:t>
      </w:r>
    </w:p>
    <w:p>
      <w:pPr>
        <w:pStyle w:val="ListParagraph"/>
        <w:numPr>
          <w:ilvl w:val="0"/>
          <w:numId w:val="2"/>
        </w:numPr>
        <w:spacing w:before="40" w:after="40" w:line="310"/>
      </w:pPr>
      <w:r>
        <w:rPr>
          <w:rFonts w:ascii="Arial" w:cs="Arial" w:eastAsia="Arial" w:hAnsi="Arial"/>
          <w:b/>
          <w:bCs/>
          <w:color w:val="2C3E50"/>
          <w:sz w:val="22"/>
          <w:szCs w:val="22"/>
        </w:rPr>
        <w:t xml:space="preserve">Bulk Data Access: </w:t>
      </w:r>
      <w:r>
        <w:rPr>
          <w:rFonts w:ascii="Arial" w:cs="Arial" w:eastAsia="Arial" w:hAnsi="Arial"/>
          <w:color w:val="2C3E50"/>
          <w:sz w:val="22"/>
          <w:szCs w:val="22"/>
        </w:rPr>
        <w:t xml:space="preserve">Required support for FHIR Bulk Data Access ($export operation) for population-level data exchange, supporting quality measurement, research, and public health use cases.</w:t>
      </w:r>
    </w:p>
    <w:p>
      <w:pPr>
        <w:pStyle w:val="ListParagraph"/>
        <w:numPr>
          <w:ilvl w:val="0"/>
          <w:numId w:val="2"/>
        </w:numPr>
        <w:spacing w:before="40" w:after="40" w:line="310"/>
      </w:pPr>
      <w:r>
        <w:rPr>
          <w:rFonts w:ascii="Arial" w:cs="Arial" w:eastAsia="Arial" w:hAnsi="Arial"/>
          <w:b/>
          <w:bCs/>
          <w:color w:val="2C3E50"/>
          <w:sz w:val="22"/>
          <w:szCs w:val="22"/>
        </w:rPr>
        <w:t xml:space="preserve">SMART on FHIR: </w:t>
      </w:r>
      <w:r>
        <w:rPr>
          <w:rFonts w:ascii="Arial" w:cs="Arial" w:eastAsia="Arial" w:hAnsi="Arial"/>
          <w:color w:val="2C3E50"/>
          <w:sz w:val="22"/>
          <w:szCs w:val="22"/>
        </w:rPr>
        <w:t xml:space="preserve">Mandated support for SMART App Launch Framework for patient-facing and provider-facing application authorization.</w:t>
      </w:r>
    </w:p>
    <w:p>
      <w:pPr>
        <w:pStyle w:val="ListParagraph"/>
        <w:numPr>
          <w:ilvl w:val="0"/>
          <w:numId w:val="2"/>
        </w:numPr>
        <w:spacing w:before="40" w:after="40" w:line="310"/>
      </w:pPr>
      <w:r>
        <w:rPr>
          <w:rFonts w:ascii="Arial" w:cs="Arial" w:eastAsia="Arial" w:hAnsi="Arial"/>
          <w:b/>
          <w:bCs/>
          <w:color w:val="2C3E50"/>
          <w:sz w:val="22"/>
          <w:szCs w:val="22"/>
        </w:rPr>
        <w:t xml:space="preserve">Compliance Timeline: </w:t>
      </w:r>
      <w:r>
        <w:rPr>
          <w:rFonts w:ascii="Arial" w:cs="Arial" w:eastAsia="Arial" w:hAnsi="Arial"/>
          <w:color w:val="2C3E50"/>
          <w:sz w:val="22"/>
          <w:szCs w:val="22"/>
        </w:rPr>
        <w:t xml:space="preserve">Phased compliance dates giving certified health IT developers time to implement USCDI v3 and updated FHIR capabilities.</w:t>
      </w:r>
    </w:p>
    <w:p>
      <w:pPr>
        <w:spacing w:before="120" w:after="120"/>
      </w:pPr>
    </w:p>
    <w:p>
      <w:pPr>
        <w:pStyle w:val="Heading3"/>
        <w:spacing w:before="280" w:after="120"/>
      </w:pPr>
      <w:r>
        <w:rPr>
          <w:rFonts w:ascii="Arial" w:cs="Arial" w:eastAsia="Arial" w:hAnsi="Arial"/>
          <w:b/>
          <w:bCs/>
          <w:color w:val="2980B9"/>
          <w:sz w:val="26"/>
          <w:szCs w:val="26"/>
        </w:rPr>
        <w:t xml:space="preserve">The g(10) Standardized API Criterion</w:t>
      </w:r>
    </w:p>
    <w:p>
      <w:pPr>
        <w:spacing w:before="60" w:after="100" w:line="340"/>
      </w:pPr>
      <w:r>
        <w:rPr>
          <w:rFonts w:ascii="Arial" w:cs="Arial" w:eastAsia="Arial" w:hAnsi="Arial"/>
          <w:color w:val="2C3E50"/>
          <w:sz w:val="22"/>
          <w:szCs w:val="22"/>
        </w:rPr>
        <w:t xml:space="preserve">The g(10) criterion is the single most important certification requirement for FHIR-based interoperability. It requires:</w:t>
      </w:r>
    </w:p>
    <w:p>
      <w:pPr>
        <w:pStyle w:val="ListParagraph"/>
        <w:numPr>
          <w:ilvl w:val="0"/>
          <w:numId w:val="2"/>
        </w:numPr>
        <w:spacing w:before="40" w:after="40" w:line="310"/>
      </w:pPr>
      <w:r>
        <w:rPr>
          <w:rFonts w:ascii="Arial" w:cs="Arial" w:eastAsia="Arial" w:hAnsi="Arial"/>
          <w:b/>
          <w:bCs/>
          <w:color w:val="2C3E50"/>
          <w:sz w:val="22"/>
          <w:szCs w:val="22"/>
        </w:rPr>
        <w:t xml:space="preserve">Patient-Level Access: </w:t>
      </w:r>
      <w:r>
        <w:rPr>
          <w:rFonts w:ascii="Arial" w:cs="Arial" w:eastAsia="Arial" w:hAnsi="Arial"/>
          <w:color w:val="2C3E50"/>
          <w:sz w:val="22"/>
          <w:szCs w:val="22"/>
        </w:rPr>
        <w:t xml:space="preserve">Individual patients can access their own data through FHIR APIs using third-party SMART on FHIR applications.</w:t>
      </w:r>
    </w:p>
    <w:p>
      <w:pPr>
        <w:pStyle w:val="ListParagraph"/>
        <w:numPr>
          <w:ilvl w:val="0"/>
          <w:numId w:val="2"/>
        </w:numPr>
        <w:spacing w:before="40" w:after="40" w:line="310"/>
      </w:pPr>
      <w:r>
        <w:rPr>
          <w:rFonts w:ascii="Arial" w:cs="Arial" w:eastAsia="Arial" w:hAnsi="Arial"/>
          <w:b/>
          <w:bCs/>
          <w:color w:val="2C3E50"/>
          <w:sz w:val="22"/>
          <w:szCs w:val="22"/>
        </w:rPr>
        <w:t xml:space="preserve">Population-Level Access: </w:t>
      </w:r>
      <w:r>
        <w:rPr>
          <w:rFonts w:ascii="Arial" w:cs="Arial" w:eastAsia="Arial" w:hAnsi="Arial"/>
          <w:color w:val="2C3E50"/>
          <w:sz w:val="22"/>
          <w:szCs w:val="22"/>
        </w:rPr>
        <w:t xml:space="preserve">Authorized backend services can access population-level data through FHIR Bulk Data ($export) for analytics, quality measurement, and care management.</w:t>
      </w:r>
    </w:p>
    <w:p>
      <w:pPr>
        <w:pStyle w:val="ListParagraph"/>
        <w:numPr>
          <w:ilvl w:val="0"/>
          <w:numId w:val="2"/>
        </w:numPr>
        <w:spacing w:before="40" w:after="40" w:line="310"/>
      </w:pPr>
      <w:r>
        <w:rPr>
          <w:rFonts w:ascii="Arial" w:cs="Arial" w:eastAsia="Arial" w:hAnsi="Arial"/>
          <w:b/>
          <w:bCs/>
          <w:color w:val="2C3E50"/>
          <w:sz w:val="22"/>
          <w:szCs w:val="22"/>
        </w:rPr>
        <w:t xml:space="preserve">USCDI Completeness: </w:t>
      </w:r>
      <w:r>
        <w:rPr>
          <w:rFonts w:ascii="Arial" w:cs="Arial" w:eastAsia="Arial" w:hAnsi="Arial"/>
          <w:color w:val="2C3E50"/>
          <w:sz w:val="22"/>
          <w:szCs w:val="22"/>
        </w:rPr>
        <w:t xml:space="preserve">The API must serve all USCDI data classes and elements available in the system.</w:t>
      </w:r>
    </w:p>
    <w:p>
      <w:pPr>
        <w:pStyle w:val="ListParagraph"/>
        <w:numPr>
          <w:ilvl w:val="0"/>
          <w:numId w:val="2"/>
        </w:numPr>
        <w:spacing w:before="40" w:after="40" w:line="310"/>
      </w:pPr>
      <w:r>
        <w:rPr>
          <w:rFonts w:ascii="Arial" w:cs="Arial" w:eastAsia="Arial" w:hAnsi="Arial"/>
          <w:b/>
          <w:bCs/>
          <w:color w:val="2C3E50"/>
          <w:sz w:val="22"/>
          <w:szCs w:val="22"/>
        </w:rPr>
        <w:t xml:space="preserve">Conformance Testing: </w:t>
      </w:r>
      <w:r>
        <w:rPr>
          <w:rFonts w:ascii="Arial" w:cs="Arial" w:eastAsia="Arial" w:hAnsi="Arial"/>
          <w:color w:val="2C3E50"/>
          <w:sz w:val="22"/>
          <w:szCs w:val="22"/>
        </w:rPr>
        <w:t xml:space="preserve">Tested against Inferno (inferno.healthit.gov), ONC’s official FHIR conformance testing tool.</w:t>
      </w:r>
    </w:p>
    <w:p>
      <w:pPr>
        <w:spacing w:before="120" w:after="120"/>
      </w:pPr>
    </w:p>
    <w:p>
      <w:pPr>
        <w:pStyle w:val="Heading2"/>
        <w:spacing w:before="340" w:after="160"/>
      </w:pPr>
      <w:r>
        <w:rPr>
          <w:rFonts w:ascii="Arial" w:cs="Arial" w:eastAsia="Arial" w:hAnsi="Arial"/>
          <w:b/>
          <w:bCs/>
          <w:color w:val="1A6FA5"/>
          <w:sz w:val="30"/>
          <w:szCs w:val="30"/>
        </w:rPr>
        <w:t xml:space="preserve">4.3 Information Blocking and USCDI</w:t>
      </w:r>
    </w:p>
    <w:p>
      <w:pPr>
        <w:spacing w:before="60" w:after="100" w:line="340"/>
      </w:pPr>
      <w:r>
        <w:rPr>
          <w:rFonts w:ascii="Arial" w:cs="Arial" w:eastAsia="Arial" w:hAnsi="Arial"/>
          <w:color w:val="2C3E50"/>
          <w:sz w:val="22"/>
          <w:szCs w:val="22"/>
        </w:rPr>
        <w:t xml:space="preserve">The 21st Century Cures Act prohibits information blocking — practices that are likely to interfere with the access, exchange, or use of electronic health information (EHI). USCDI plays a critical role in defining the scope of information blocking:</w:t>
      </w:r>
    </w:p>
    <w:p>
      <w:pPr>
        <w:pStyle w:val="ListParagraph"/>
        <w:numPr>
          <w:ilvl w:val="0"/>
          <w:numId w:val="2"/>
        </w:numPr>
        <w:spacing w:before="40" w:after="40" w:line="310"/>
      </w:pPr>
      <w:r>
        <w:rPr>
          <w:rFonts w:ascii="Arial" w:cs="Arial" w:eastAsia="Arial" w:hAnsi="Arial"/>
          <w:b/>
          <w:bCs/>
          <w:color w:val="2C3E50"/>
          <w:sz w:val="22"/>
          <w:szCs w:val="22"/>
        </w:rPr>
        <w:t xml:space="preserve">Initial Scope: </w:t>
      </w:r>
      <w:r>
        <w:rPr>
          <w:rFonts w:ascii="Arial" w:cs="Arial" w:eastAsia="Arial" w:hAnsi="Arial"/>
          <w:color w:val="2C3E50"/>
          <w:sz w:val="22"/>
          <w:szCs w:val="22"/>
        </w:rPr>
        <w:t xml:space="preserve">Initially, the information blocking definition applied to USCDI data (data classes and elements in the adopted USCDI version).</w:t>
      </w:r>
    </w:p>
    <w:p>
      <w:pPr>
        <w:pStyle w:val="ListParagraph"/>
        <w:numPr>
          <w:ilvl w:val="0"/>
          <w:numId w:val="2"/>
        </w:numPr>
        <w:spacing w:before="40" w:after="40" w:line="310"/>
      </w:pPr>
      <w:r>
        <w:rPr>
          <w:rFonts w:ascii="Arial" w:cs="Arial" w:eastAsia="Arial" w:hAnsi="Arial"/>
          <w:b/>
          <w:bCs/>
          <w:color w:val="2C3E50"/>
          <w:sz w:val="22"/>
          <w:szCs w:val="22"/>
        </w:rPr>
        <w:t xml:space="preserve">Expanded Scope (October 2022): </w:t>
      </w:r>
      <w:r>
        <w:rPr>
          <w:rFonts w:ascii="Arial" w:cs="Arial" w:eastAsia="Arial" w:hAnsi="Arial"/>
          <w:color w:val="2C3E50"/>
          <w:sz w:val="22"/>
          <w:szCs w:val="22"/>
        </w:rPr>
        <w:t xml:space="preserve">The scope of EHI expanded to include ALL electronic health information maintained in a designated record set, not just USCDI elements. However, USCDI remains the baseline that must always be available.</w:t>
      </w:r>
    </w:p>
    <w:p>
      <w:pPr>
        <w:pStyle w:val="ListParagraph"/>
        <w:numPr>
          <w:ilvl w:val="0"/>
          <w:numId w:val="2"/>
        </w:numPr>
        <w:spacing w:before="40" w:after="40" w:line="310"/>
      </w:pPr>
      <w:r>
        <w:rPr>
          <w:rFonts w:ascii="Arial" w:cs="Arial" w:eastAsia="Arial" w:hAnsi="Arial"/>
          <w:b/>
          <w:bCs/>
          <w:color w:val="2C3E50"/>
          <w:sz w:val="22"/>
          <w:szCs w:val="22"/>
        </w:rPr>
        <w:t xml:space="preserve">Eight Exceptions: </w:t>
      </w:r>
      <w:r>
        <w:rPr>
          <w:rFonts w:ascii="Arial" w:cs="Arial" w:eastAsia="Arial" w:hAnsi="Arial"/>
          <w:color w:val="2C3E50"/>
          <w:sz w:val="22"/>
          <w:szCs w:val="22"/>
        </w:rPr>
        <w:t xml:space="preserve">ONC defined eight exceptions to information blocking that describe circumstances where not sharing data is permissible (e.g., preventing harm, privacy, security, infeasibility, health IT performance, content and manner, fees, licensing).</w:t>
      </w:r>
    </w:p>
    <w:p>
      <w:pPr>
        <w:pStyle w:val="ListParagraph"/>
        <w:numPr>
          <w:ilvl w:val="0"/>
          <w:numId w:val="2"/>
        </w:numPr>
        <w:spacing w:before="40" w:after="40" w:line="310"/>
      </w:pPr>
      <w:r>
        <w:rPr>
          <w:rFonts w:ascii="Arial" w:cs="Arial" w:eastAsia="Arial" w:hAnsi="Arial"/>
          <w:b/>
          <w:bCs/>
          <w:color w:val="2C3E50"/>
          <w:sz w:val="22"/>
          <w:szCs w:val="22"/>
        </w:rPr>
        <w:t xml:space="preserve">Penalties: </w:t>
      </w:r>
      <w:r>
        <w:rPr>
          <w:rFonts w:ascii="Arial" w:cs="Arial" w:eastAsia="Arial" w:hAnsi="Arial"/>
          <w:color w:val="2C3E50"/>
          <w:sz w:val="22"/>
          <w:szCs w:val="22"/>
        </w:rPr>
        <w:t xml:space="preserve">Certified health IT developers and health information networks face penalties of up to $1 million per violation. Healthcare providers face appropriate disincentives determined by HHS.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EF9E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Responsibility</w:t>
            </w:r>
          </w:p>
          <w:p>
            <w:pPr>
              <w:spacing w:before="40"/>
            </w:pPr>
            <w:r>
              <w:rPr>
                <w:rFonts w:ascii="Arial" w:cs="Arial" w:eastAsia="Arial" w:hAnsi="Arial"/>
                <w:color w:val="2C3E50"/>
                <w:sz w:val="20"/>
                <w:szCs w:val="20"/>
              </w:rPr>
              <w:t xml:space="preserve">Integration architects must design systems that facilitate — not impede — the access, exchange, and use of EHI. Interface designs that unnecessarily restrict data availability, APIs that fail to return USCDI data that exists in the system, or architectural decisions that create barriers to data sharing may constitute information blocking. Always default to sharing data unless a specific exception applies.</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5. USCDI+ Extensions</w:t>
      </w:r>
    </w:p>
    <w:p>
      <w:pPr>
        <w:spacing w:before="60" w:after="100" w:line="340"/>
      </w:pPr>
      <w:r>
        <w:rPr>
          <w:rFonts w:ascii="Arial" w:cs="Arial" w:eastAsia="Arial" w:hAnsi="Arial"/>
          <w:color w:val="2C3E50"/>
          <w:sz w:val="22"/>
          <w:szCs w:val="22"/>
        </w:rPr>
        <w:t xml:space="preserve">While USCDI defines the nationwide baseline for general interoperability, specific healthcare domains require additional data elements beyond what the core USCDI provides. USCDI+ is ONC’s framework for defining domain-specific extensions that build upon the core USCDI.</w:t>
      </w:r>
    </w:p>
    <w:p>
      <w:pPr>
        <w:spacing w:before="60" w:after="100" w:line="340"/>
      </w:pPr>
      <w:r>
        <w:rPr>
          <w:rFonts w:ascii="Arial" w:cs="Arial" w:eastAsia="Arial" w:hAnsi="Arial"/>
          <w:color w:val="2C3E50"/>
          <w:sz w:val="22"/>
          <w:szCs w:val="22"/>
        </w:rPr>
        <w:t xml:space="preserve">USCDI+ does not replace USCDI — it extends it. Every USCDI+ data set includes the full core USCDI plus additional data classes and elements needed for specific use cases.</w:t>
      </w:r>
    </w:p>
    <w:p>
      <w:pPr>
        <w:pStyle w:val="Heading2"/>
        <w:spacing w:before="340" w:after="160"/>
      </w:pPr>
      <w:r>
        <w:rPr>
          <w:rFonts w:ascii="Arial" w:cs="Arial" w:eastAsia="Arial" w:hAnsi="Arial"/>
          <w:b/>
          <w:bCs/>
          <w:color w:val="1A6FA5"/>
          <w:sz w:val="30"/>
          <w:szCs w:val="30"/>
        </w:rPr>
        <w:t xml:space="preserve">5.1 How USCDI+ Works</w:t>
      </w:r>
    </w:p>
    <w:p>
      <w:pPr>
        <w:pStyle w:val="ListParagraph"/>
        <w:numPr>
          <w:ilvl w:val="0"/>
          <w:numId w:val="2"/>
        </w:numPr>
        <w:spacing w:before="40" w:after="40" w:line="310"/>
      </w:pPr>
      <w:r>
        <w:rPr>
          <w:rFonts w:ascii="Arial" w:cs="Arial" w:eastAsia="Arial" w:hAnsi="Arial"/>
          <w:b/>
          <w:bCs/>
          <w:color w:val="2C3E50"/>
          <w:sz w:val="22"/>
          <w:szCs w:val="22"/>
        </w:rPr>
        <w:t xml:space="preserve">Domain-Specific Supplements: </w:t>
      </w:r>
      <w:r>
        <w:rPr>
          <w:rFonts w:ascii="Arial" w:cs="Arial" w:eastAsia="Arial" w:hAnsi="Arial"/>
          <w:color w:val="2C3E50"/>
          <w:sz w:val="22"/>
          <w:szCs w:val="22"/>
        </w:rPr>
        <w:t xml:space="preserve">Each USCDI+ variant adds data elements required for a specific domain (public health, behavioral health, quality measurement, etc.).</w:t>
      </w:r>
    </w:p>
    <w:p>
      <w:pPr>
        <w:pStyle w:val="ListParagraph"/>
        <w:numPr>
          <w:ilvl w:val="0"/>
          <w:numId w:val="2"/>
        </w:numPr>
        <w:spacing w:before="40" w:after="40" w:line="310"/>
      </w:pPr>
      <w:r>
        <w:rPr>
          <w:rFonts w:ascii="Arial" w:cs="Arial" w:eastAsia="Arial" w:hAnsi="Arial"/>
          <w:b/>
          <w:bCs/>
          <w:color w:val="2C3E50"/>
          <w:sz w:val="22"/>
          <w:szCs w:val="22"/>
        </w:rPr>
        <w:t xml:space="preserve">Federal Agency Collaboration: </w:t>
      </w:r>
      <w:r>
        <w:rPr>
          <w:rFonts w:ascii="Arial" w:cs="Arial" w:eastAsia="Arial" w:hAnsi="Arial"/>
          <w:color w:val="2C3E50"/>
          <w:sz w:val="22"/>
          <w:szCs w:val="22"/>
        </w:rPr>
        <w:t xml:space="preserve">USCDI+ data sets are developed in collaboration with federal agencies that oversee the relevant domain (CDC for public health, SAMHSA for behavioral health, CMS for quality measurement).</w:t>
      </w:r>
    </w:p>
    <w:p>
      <w:pPr>
        <w:pStyle w:val="ListParagraph"/>
        <w:numPr>
          <w:ilvl w:val="0"/>
          <w:numId w:val="2"/>
        </w:numPr>
        <w:spacing w:before="40" w:after="40" w:line="310"/>
      </w:pPr>
      <w:r>
        <w:rPr>
          <w:rFonts w:ascii="Arial" w:cs="Arial" w:eastAsia="Arial" w:hAnsi="Arial"/>
          <w:b/>
          <w:bCs/>
          <w:color w:val="2C3E50"/>
          <w:sz w:val="22"/>
          <w:szCs w:val="22"/>
        </w:rPr>
        <w:t xml:space="preserve">Not Yet Regulatory: </w:t>
      </w:r>
      <w:r>
        <w:rPr>
          <w:rFonts w:ascii="Arial" w:cs="Arial" w:eastAsia="Arial" w:hAnsi="Arial"/>
          <w:color w:val="2C3E50"/>
          <w:sz w:val="22"/>
          <w:szCs w:val="22"/>
        </w:rPr>
        <w:t xml:space="preserve">Unlike core USCDI, USCDI+ data sets are not yet formally adopted in ONC certification criteria. They represent intended future direction and are used by federal programs for planning and implementation guidance.</w:t>
      </w:r>
    </w:p>
    <w:p>
      <w:pPr>
        <w:pStyle w:val="ListParagraph"/>
        <w:numPr>
          <w:ilvl w:val="0"/>
          <w:numId w:val="2"/>
        </w:numPr>
        <w:spacing w:before="40" w:after="40" w:line="310"/>
      </w:pPr>
      <w:r>
        <w:rPr>
          <w:rFonts w:ascii="Arial" w:cs="Arial" w:eastAsia="Arial" w:hAnsi="Arial"/>
          <w:b/>
          <w:bCs/>
          <w:color w:val="2C3E50"/>
          <w:sz w:val="22"/>
          <w:szCs w:val="22"/>
        </w:rPr>
        <w:t xml:space="preserve">Alignment with Core USCDI: </w:t>
      </w:r>
      <w:r>
        <w:rPr>
          <w:rFonts w:ascii="Arial" w:cs="Arial" w:eastAsia="Arial" w:hAnsi="Arial"/>
          <w:color w:val="2C3E50"/>
          <w:sz w:val="22"/>
          <w:szCs w:val="22"/>
        </w:rPr>
        <w:t xml:space="preserve">Elements in USCDI+ may eventually be promoted into core USCDI through the ONDEC process.</w:t>
      </w:r>
    </w:p>
    <w:p>
      <w:pPr>
        <w:spacing w:before="120" w:after="120"/>
      </w:pPr>
    </w:p>
    <w:p>
      <w:pPr>
        <w:pStyle w:val="Heading2"/>
        <w:spacing w:before="340" w:after="160"/>
      </w:pPr>
      <w:r>
        <w:rPr>
          <w:rFonts w:ascii="Arial" w:cs="Arial" w:eastAsia="Arial" w:hAnsi="Arial"/>
          <w:b/>
          <w:bCs/>
          <w:color w:val="1A6FA5"/>
          <w:sz w:val="30"/>
          <w:szCs w:val="30"/>
        </w:rPr>
        <w:t xml:space="preserve">5.2 USCDI+ Domains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47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USCDI+ Domain</w:t>
            </w:r>
          </w:p>
        </w:tc>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Federal Partner</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Example Additional Data Elements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Public Health</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CDC</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Electronic case reporting, syndromic surveillance, immunization reporting, vital records</w:t>
            </w:r>
          </w:p>
        </w:tc>
        <w:tc>
          <w:tcPr>
            <w:tcW w:type="dxa" w:w="4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Reportable condition trigger code, pregnancy status, exposure information, travel history, occupation/industry detail, tribal affiliation detail</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Behavioral Health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SAMHSA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Substance use disorder treatment, mental health, 42 CFR Part 2 consent</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Substance use history, mental health screening scores, treatment episodes, consent to disclose (42 CFR Part 2), behavioral health diagnoses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Quality Measurement</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CMS</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Electronic clinical quality measures (eCQMs), HEDIS, CMS Star Ratings</w:t>
            </w:r>
          </w:p>
        </w:tc>
        <w:tc>
          <w:tcPr>
            <w:tcW w:type="dxa" w:w="4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Measure-specific clinical data, communication preferences, social determinants scores, patient-reported outcomes, risk adjustment factors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Tribal Health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IHS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Indian Health Service facilities, tribal health programs, urban Indian health</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Tribal enrollment, Indian Health Service beneficiary status, tribal community, culturally specific health indicators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Cancer/Oncology</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NCI/CDC</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Cancer registry reporting, treatment tracking, clinical trials</w:t>
            </w:r>
          </w:p>
        </w:tc>
        <w:tc>
          <w:tcPr>
            <w:tcW w:type="dxa" w:w="4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Tumor staging (TNM), biomarker results, genomic data, treatment response, clinical trial enrollment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Maternal Health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HRSA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Maternal morbidity/mortality tracking, prenatal/postnatal care</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Gestational age, delivery method, prenatal visit data, postpartum screening, neonatal outcomes</w:t>
            </w:r>
          </w:p>
        </w:tc>
      </w:tr>
    </w:tbl>
    <w:p>
      <w:pPr>
        <w:spacing w:before="120" w:after="120"/>
      </w:pPr>
    </w:p>
    <w:p>
      <w:pPr>
        <w:pStyle w:val="Heading2"/>
        <w:spacing w:before="340" w:after="160"/>
      </w:pPr>
      <w:r>
        <w:rPr>
          <w:rFonts w:ascii="Arial" w:cs="Arial" w:eastAsia="Arial" w:hAnsi="Arial"/>
          <w:b/>
          <w:bCs/>
          <w:color w:val="1A6FA5"/>
          <w:sz w:val="30"/>
          <w:szCs w:val="30"/>
        </w:rPr>
        <w:t xml:space="preserve">5.3 USCDI+ Public Health Deep Dive</w:t>
      </w:r>
    </w:p>
    <w:p>
      <w:pPr>
        <w:spacing w:before="60" w:after="100" w:line="340"/>
      </w:pPr>
      <w:r>
        <w:rPr>
          <w:rFonts w:ascii="Arial" w:cs="Arial" w:eastAsia="Arial" w:hAnsi="Arial"/>
          <w:color w:val="2C3E50"/>
          <w:sz w:val="22"/>
          <w:szCs w:val="22"/>
        </w:rPr>
        <w:t xml:space="preserve">The Public Health USCDI+ is the most mature extension and has significant implications for integration architects:</w:t>
      </w:r>
    </w:p>
    <w:p>
      <w:pPr>
        <w:pStyle w:val="ListParagraph"/>
        <w:numPr>
          <w:ilvl w:val="0"/>
          <w:numId w:val="2"/>
        </w:numPr>
        <w:spacing w:before="40" w:after="40" w:line="310"/>
      </w:pPr>
      <w:r>
        <w:rPr>
          <w:rFonts w:ascii="Arial" w:cs="Arial" w:eastAsia="Arial" w:hAnsi="Arial"/>
          <w:b/>
          <w:bCs/>
          <w:color w:val="2C3E50"/>
          <w:sz w:val="22"/>
          <w:szCs w:val="22"/>
        </w:rPr>
        <w:t xml:space="preserve">Electronic Case Reporting (eCR): </w:t>
      </w:r>
      <w:r>
        <w:rPr>
          <w:rFonts w:ascii="Arial" w:cs="Arial" w:eastAsia="Arial" w:hAnsi="Arial"/>
          <w:color w:val="2C3E50"/>
          <w:sz w:val="22"/>
          <w:szCs w:val="22"/>
        </w:rPr>
        <w:t xml:space="preserve">Automated reporting of reportable conditions (COVID-19, tuberculosis, sexually transmitted infections) from EHRs to public health agencies. Requires trigger codes, condition-specific data elements, and automated decision logic.</w:t>
      </w:r>
    </w:p>
    <w:p>
      <w:pPr>
        <w:pStyle w:val="ListParagraph"/>
        <w:numPr>
          <w:ilvl w:val="0"/>
          <w:numId w:val="2"/>
        </w:numPr>
        <w:spacing w:before="40" w:after="40" w:line="310"/>
      </w:pPr>
      <w:r>
        <w:rPr>
          <w:rFonts w:ascii="Arial" w:cs="Arial" w:eastAsia="Arial" w:hAnsi="Arial"/>
          <w:b/>
          <w:bCs/>
          <w:color w:val="2C3E50"/>
          <w:sz w:val="22"/>
          <w:szCs w:val="22"/>
        </w:rPr>
        <w:t xml:space="preserve">Syndromic Surveillance: </w:t>
      </w:r>
      <w:r>
        <w:rPr>
          <w:rFonts w:ascii="Arial" w:cs="Arial" w:eastAsia="Arial" w:hAnsi="Arial"/>
          <w:color w:val="2C3E50"/>
          <w:sz w:val="22"/>
          <w:szCs w:val="22"/>
        </w:rPr>
        <w:t xml:space="preserve">Near-real-time reporting of emergency department visits for disease surveillance. Requires chief complaint, discharge diagnosis, patient demographics, and facility information.</w:t>
      </w:r>
    </w:p>
    <w:p>
      <w:pPr>
        <w:pStyle w:val="ListParagraph"/>
        <w:numPr>
          <w:ilvl w:val="0"/>
          <w:numId w:val="2"/>
        </w:numPr>
        <w:spacing w:before="40" w:after="40" w:line="310"/>
      </w:pPr>
      <w:r>
        <w:rPr>
          <w:rFonts w:ascii="Arial" w:cs="Arial" w:eastAsia="Arial" w:hAnsi="Arial"/>
          <w:b/>
          <w:bCs/>
          <w:color w:val="2C3E50"/>
          <w:sz w:val="22"/>
          <w:szCs w:val="22"/>
        </w:rPr>
        <w:t xml:space="preserve">Immunization Registries: </w:t>
      </w:r>
      <w:r>
        <w:rPr>
          <w:rFonts w:ascii="Arial" w:cs="Arial" w:eastAsia="Arial" w:hAnsi="Arial"/>
          <w:color w:val="2C3E50"/>
          <w:sz w:val="22"/>
          <w:szCs w:val="22"/>
        </w:rPr>
        <w:t xml:space="preserve">Reporting vaccine administrations to state Immunization Information Systems (IIS). Requires vaccine code (CVX), lot number, manufacturer, site, route, and administration date.</w:t>
      </w:r>
    </w:p>
    <w:p>
      <w:pPr>
        <w:pStyle w:val="ListParagraph"/>
        <w:numPr>
          <w:ilvl w:val="0"/>
          <w:numId w:val="2"/>
        </w:numPr>
        <w:spacing w:before="40" w:after="40" w:line="310"/>
      </w:pPr>
      <w:r>
        <w:rPr>
          <w:rFonts w:ascii="Arial" w:cs="Arial" w:eastAsia="Arial" w:hAnsi="Arial"/>
          <w:b/>
          <w:bCs/>
          <w:color w:val="2C3E50"/>
          <w:sz w:val="22"/>
          <w:szCs w:val="22"/>
        </w:rPr>
        <w:t xml:space="preserve">Vital Records: </w:t>
      </w:r>
      <w:r>
        <w:rPr>
          <w:rFonts w:ascii="Arial" w:cs="Arial" w:eastAsia="Arial" w:hAnsi="Arial"/>
          <w:color w:val="2C3E50"/>
          <w:sz w:val="22"/>
          <w:szCs w:val="22"/>
        </w:rPr>
        <w:t xml:space="preserve">Birth and death reporting to state vital records offices. Requires detailed demographic, clinical, and cause-of-death information.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Future Direction</w:t>
            </w:r>
          </w:p>
          <w:p>
            <w:pPr>
              <w:spacing w:before="40"/>
            </w:pPr>
            <w:r>
              <w:rPr>
                <w:rFonts w:ascii="Arial" w:cs="Arial" w:eastAsia="Arial" w:hAnsi="Arial"/>
                <w:color w:val="2C3E50"/>
                <w:sz w:val="20"/>
                <w:szCs w:val="20"/>
              </w:rPr>
              <w:t xml:space="preserve">USCDI+ represents where US healthcare interoperability is heading. Integration architects who understand USCDI+ domains will be better prepared to design systems that support emerging requirements. As USCDI+ data sets mature, expect their elements to migrate into core USCDI versions, creating new baseline requirements for all certified health IT.</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6. USCDI and TEFCA</w:t>
      </w:r>
    </w:p>
    <w:p>
      <w:pPr>
        <w:spacing w:before="60" w:after="100" w:line="340"/>
      </w:pPr>
      <w:r>
        <w:rPr>
          <w:rFonts w:ascii="Arial" w:cs="Arial" w:eastAsia="Arial" w:hAnsi="Arial"/>
          <w:color w:val="2C3E50"/>
          <w:sz w:val="22"/>
          <w:szCs w:val="22"/>
        </w:rPr>
        <w:t xml:space="preserve">The Trusted Exchange Framework and Common Agreement (TEFCA) is the national framework for health information exchange, and USCDI is its content foundation. Understanding the relationship between USCDI and TEFCA is essential for integration architects working at the organizational, regional, or national level.</w:t>
      </w:r>
    </w:p>
    <w:p>
      <w:pPr>
        <w:pStyle w:val="Heading2"/>
        <w:spacing w:before="340" w:after="160"/>
      </w:pPr>
      <w:r>
        <w:rPr>
          <w:rFonts w:ascii="Arial" w:cs="Arial" w:eastAsia="Arial" w:hAnsi="Arial"/>
          <w:b/>
          <w:bCs/>
          <w:color w:val="1A6FA5"/>
          <w:sz w:val="30"/>
          <w:szCs w:val="30"/>
        </w:rPr>
        <w:t xml:space="preserve">6.1 What Is TEFCA?</w:t>
      </w:r>
    </w:p>
    <w:p>
      <w:pPr>
        <w:spacing w:before="60" w:after="100" w:line="340"/>
      </w:pPr>
      <w:r>
        <w:rPr>
          <w:rFonts w:ascii="Arial" w:cs="Arial" w:eastAsia="Arial" w:hAnsi="Arial"/>
          <w:color w:val="2C3E50"/>
          <w:sz w:val="22"/>
          <w:szCs w:val="22"/>
        </w:rPr>
        <w:t xml:space="preserve">TEFCA establishes a universal governance, policy, and technical framework for nationwide health data exchange. It aims to create a "network of networks" that enables any healthcare organization to exchange data with any other, regardless of which technology platform or network they use.</w:t>
      </w:r>
    </w:p>
    <w:p>
      <w:pPr>
        <w:pStyle w:val="ListParagraph"/>
        <w:numPr>
          <w:ilvl w:val="0"/>
          <w:numId w:val="2"/>
        </w:numPr>
        <w:spacing w:before="40" w:after="40" w:line="310"/>
      </w:pPr>
      <w:r>
        <w:rPr>
          <w:rFonts w:ascii="Arial" w:cs="Arial" w:eastAsia="Arial" w:hAnsi="Arial"/>
          <w:b/>
          <w:bCs/>
          <w:color w:val="2C3E50"/>
          <w:sz w:val="22"/>
          <w:szCs w:val="22"/>
        </w:rPr>
        <w:t xml:space="preserve">Common Agreement: </w:t>
      </w:r>
      <w:r>
        <w:rPr>
          <w:rFonts w:ascii="Arial" w:cs="Arial" w:eastAsia="Arial" w:hAnsi="Arial"/>
          <w:color w:val="2C3E50"/>
          <w:sz w:val="22"/>
          <w:szCs w:val="22"/>
        </w:rPr>
        <w:t xml:space="preserve">A legal contract that all participating networks (QHINs) sign, establishing shared rules for data exchange, privacy, security, and dispute resolution.</w:t>
      </w:r>
    </w:p>
    <w:p>
      <w:pPr>
        <w:pStyle w:val="ListParagraph"/>
        <w:numPr>
          <w:ilvl w:val="0"/>
          <w:numId w:val="2"/>
        </w:numPr>
        <w:spacing w:before="40" w:after="40" w:line="310"/>
      </w:pPr>
      <w:r>
        <w:rPr>
          <w:rFonts w:ascii="Arial" w:cs="Arial" w:eastAsia="Arial" w:hAnsi="Arial"/>
          <w:b/>
          <w:bCs/>
          <w:color w:val="2C3E50"/>
          <w:sz w:val="22"/>
          <w:szCs w:val="22"/>
        </w:rPr>
        <w:t xml:space="preserve">Qualified Health Information Networks (QHINs): </w:t>
      </w:r>
      <w:r>
        <w:rPr>
          <w:rFonts w:ascii="Arial" w:cs="Arial" w:eastAsia="Arial" w:hAnsi="Arial"/>
          <w:color w:val="2C3E50"/>
          <w:sz w:val="22"/>
          <w:szCs w:val="22"/>
        </w:rPr>
        <w:t xml:space="preserve">Designated organizations that serve as the backbone of TEFCA. QHINs interconnect with each other and with their participants (health systems, payers, public health agencies) to facilitate nationwide exchange. Current QHINs include organizations like eHealth Exchange, Kno2, MedAllies, KONZA, and others.</w:t>
      </w:r>
    </w:p>
    <w:p>
      <w:pPr>
        <w:pStyle w:val="ListParagraph"/>
        <w:numPr>
          <w:ilvl w:val="0"/>
          <w:numId w:val="2"/>
        </w:numPr>
        <w:spacing w:before="40" w:after="40" w:line="310"/>
      </w:pPr>
      <w:r>
        <w:rPr>
          <w:rFonts w:ascii="Arial" w:cs="Arial" w:eastAsia="Arial" w:hAnsi="Arial"/>
          <w:b/>
          <w:bCs/>
          <w:color w:val="2C3E50"/>
          <w:sz w:val="22"/>
          <w:szCs w:val="22"/>
        </w:rPr>
        <w:t xml:space="preserve">Participants and Sub-Participants: </w:t>
      </w:r>
      <w:r>
        <w:rPr>
          <w:rFonts w:ascii="Arial" w:cs="Arial" w:eastAsia="Arial" w:hAnsi="Arial"/>
          <w:color w:val="2C3E50"/>
          <w:sz w:val="22"/>
          <w:szCs w:val="22"/>
        </w:rPr>
        <w:t xml:space="preserve">Healthcare organizations that connect to TEFCA through a QHIN. A hospital might be a Participant of a QHIN, and a physician practice within that hospital system might be a Sub-Participant.</w:t>
      </w:r>
    </w:p>
    <w:p>
      <w:pPr>
        <w:pStyle w:val="ListParagraph"/>
        <w:numPr>
          <w:ilvl w:val="0"/>
          <w:numId w:val="2"/>
        </w:numPr>
        <w:spacing w:before="40" w:after="40" w:line="310"/>
      </w:pPr>
      <w:r>
        <w:rPr>
          <w:rFonts w:ascii="Arial" w:cs="Arial" w:eastAsia="Arial" w:hAnsi="Arial"/>
          <w:b/>
          <w:bCs/>
          <w:color w:val="2C3E50"/>
          <w:sz w:val="22"/>
          <w:szCs w:val="22"/>
        </w:rPr>
        <w:t xml:space="preserve">Recognized Coordinating Entity (RCE): </w:t>
      </w:r>
      <w:r>
        <w:rPr>
          <w:rFonts w:ascii="Arial" w:cs="Arial" w:eastAsia="Arial" w:hAnsi="Arial"/>
          <w:color w:val="2C3E50"/>
          <w:sz w:val="22"/>
          <w:szCs w:val="22"/>
        </w:rPr>
        <w:t xml:space="preserve">The Sequoia Project serves as the RCE, administering TEFCA on behalf of ONC.</w:t>
      </w:r>
    </w:p>
    <w:p>
      <w:pPr>
        <w:spacing w:before="120" w:after="120"/>
      </w:pPr>
    </w:p>
    <w:p>
      <w:pPr>
        <w:pStyle w:val="Heading2"/>
        <w:spacing w:before="340" w:after="160"/>
      </w:pPr>
      <w:r>
        <w:rPr>
          <w:rFonts w:ascii="Arial" w:cs="Arial" w:eastAsia="Arial" w:hAnsi="Arial"/>
          <w:b/>
          <w:bCs/>
          <w:color w:val="1A6FA5"/>
          <w:sz w:val="30"/>
          <w:szCs w:val="30"/>
        </w:rPr>
        <w:t xml:space="preserve">6.2 USCDI as TEFCA’s Content Standard</w:t>
      </w:r>
    </w:p>
    <w:p>
      <w:pPr>
        <w:spacing w:before="60" w:after="100" w:line="340"/>
      </w:pPr>
      <w:r>
        <w:rPr>
          <w:rFonts w:ascii="Arial" w:cs="Arial" w:eastAsia="Arial" w:hAnsi="Arial"/>
          <w:color w:val="2C3E50"/>
          <w:sz w:val="22"/>
          <w:szCs w:val="22"/>
        </w:rPr>
        <w:t xml:space="preserve">USCDI defines the minimum data set that must be available for exchange through TEFCA:</w:t>
      </w:r>
    </w:p>
    <w:p>
      <w:pPr>
        <w:pStyle w:val="ListParagraph"/>
        <w:numPr>
          <w:ilvl w:val="0"/>
          <w:numId w:val="2"/>
        </w:numPr>
        <w:spacing w:before="40" w:after="40" w:line="310"/>
      </w:pPr>
      <w:r>
        <w:rPr>
          <w:rFonts w:ascii="Arial" w:cs="Arial" w:eastAsia="Arial" w:hAnsi="Arial"/>
          <w:b/>
          <w:bCs/>
          <w:color w:val="2C3E50"/>
          <w:sz w:val="22"/>
          <w:szCs w:val="22"/>
        </w:rPr>
        <w:t xml:space="preserve">Minimum Data Requirement: </w:t>
      </w:r>
      <w:r>
        <w:rPr>
          <w:rFonts w:ascii="Arial" w:cs="Arial" w:eastAsia="Arial" w:hAnsi="Arial"/>
          <w:color w:val="2C3E50"/>
          <w:sz w:val="22"/>
          <w:szCs w:val="22"/>
        </w:rPr>
        <w:t xml:space="preserve">When a QHIN receives a query for patient data, the responding QHIN must return at minimum the USCDI data classes and elements available in the responding participant’s system.</w:t>
      </w:r>
    </w:p>
    <w:p>
      <w:pPr>
        <w:pStyle w:val="ListParagraph"/>
        <w:numPr>
          <w:ilvl w:val="0"/>
          <w:numId w:val="2"/>
        </w:numPr>
        <w:spacing w:before="40" w:after="40" w:line="310"/>
      </w:pPr>
      <w:r>
        <w:rPr>
          <w:rFonts w:ascii="Arial" w:cs="Arial" w:eastAsia="Arial" w:hAnsi="Arial"/>
          <w:b/>
          <w:bCs/>
          <w:color w:val="2C3E50"/>
          <w:sz w:val="22"/>
          <w:szCs w:val="22"/>
        </w:rPr>
        <w:t xml:space="preserve">Version Alignment: </w:t>
      </w:r>
      <w:r>
        <w:rPr>
          <w:rFonts w:ascii="Arial" w:cs="Arial" w:eastAsia="Arial" w:hAnsi="Arial"/>
          <w:color w:val="2C3E50"/>
          <w:sz w:val="22"/>
          <w:szCs w:val="22"/>
        </w:rPr>
        <w:t xml:space="preserve">TEFCA specifies which USCDI version applies. As USCDI versions evolve, TEFCA’s requirements update accordingly, expanding the data available for nationwide exchange.</w:t>
      </w:r>
    </w:p>
    <w:p>
      <w:pPr>
        <w:pStyle w:val="ListParagraph"/>
        <w:numPr>
          <w:ilvl w:val="0"/>
          <w:numId w:val="2"/>
        </w:numPr>
        <w:spacing w:before="40" w:after="40" w:line="310"/>
      </w:pPr>
      <w:r>
        <w:rPr>
          <w:rFonts w:ascii="Arial" w:cs="Arial" w:eastAsia="Arial" w:hAnsi="Arial"/>
          <w:b/>
          <w:bCs/>
          <w:color w:val="2C3E50"/>
          <w:sz w:val="22"/>
          <w:szCs w:val="22"/>
        </w:rPr>
        <w:t xml:space="preserve">Beyond USCDI: </w:t>
      </w:r>
      <w:r>
        <w:rPr>
          <w:rFonts w:ascii="Arial" w:cs="Arial" w:eastAsia="Arial" w:hAnsi="Arial"/>
          <w:color w:val="2C3E50"/>
          <w:sz w:val="22"/>
          <w:szCs w:val="22"/>
        </w:rPr>
        <w:t xml:space="preserve">TEFCA participants may exchange data beyond USCDI. The common agreement encourages sharing all relevant clinical information, with USCDI as the required minimum.</w:t>
      </w:r>
    </w:p>
    <w:p>
      <w:pPr>
        <w:spacing w:before="120" w:after="120"/>
      </w:pPr>
    </w:p>
    <w:p>
      <w:pPr>
        <w:pStyle w:val="Heading2"/>
        <w:spacing w:before="340" w:after="160"/>
      </w:pPr>
      <w:r>
        <w:rPr>
          <w:rFonts w:ascii="Arial" w:cs="Arial" w:eastAsia="Arial" w:hAnsi="Arial"/>
          <w:b/>
          <w:bCs/>
          <w:color w:val="1A6FA5"/>
          <w:sz w:val="30"/>
          <w:szCs w:val="30"/>
        </w:rPr>
        <w:t xml:space="preserve">6.3 TEFCA Exchange Purposes</w:t>
      </w:r>
    </w:p>
    <w:p>
      <w:pPr>
        <w:spacing w:before="60" w:after="100" w:line="340"/>
      </w:pPr>
      <w:r>
        <w:rPr>
          <w:rFonts w:ascii="Arial" w:cs="Arial" w:eastAsia="Arial" w:hAnsi="Arial"/>
          <w:color w:val="2C3E50"/>
          <w:sz w:val="22"/>
          <w:szCs w:val="22"/>
        </w:rPr>
        <w:t xml:space="preserve">TEFCA defines specific exchange purposes that govern why data is being shared. USCDI data must be available for each applicable purpose: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Exchange Purpose</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USCDI Application</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Treatment</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Direct patient care by healthcare providers</w:t>
            </w:r>
          </w:p>
        </w:tc>
        <w:tc>
          <w:tcPr>
            <w:tcW w:type="dxa" w:w="3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Full USCDI for clinical decision-making, care transitions, referrals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Payment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Payer operations for claims, billing, enrollment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USCDI insurance, demographics, encounter, diagnosis data</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Health Care Operations</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Quality assessment, provider credentialing, training</w:t>
            </w:r>
          </w:p>
        </w:tc>
        <w:tc>
          <w:tcPr>
            <w:tcW w:type="dxa" w:w="3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USCDI clinical data for quality measures and operational analytics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Public Health Activities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Reportable disease surveillance, immunization registries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USCDI + USCDI+ Public Health elements as applicable</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Government Benefits Determination</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Eligibility determination for government health programs</w:t>
            </w:r>
          </w:p>
        </w:tc>
        <w:tc>
          <w:tcPr>
            <w:tcW w:type="dxa" w:w="3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USCDI demographics, insurance, and clinical data relevant to benefits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Individual Access Services (IAS)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Patient-directed data access through authorized apps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Full USCDI available to the patient through their chosen application</w:t>
            </w:r>
          </w:p>
        </w:tc>
      </w:tr>
    </w:tbl>
    <w:p>
      <w:pPr>
        <w:spacing w:before="120" w:after="120"/>
      </w:pPr>
    </w:p>
    <w:p>
      <w:pPr>
        <w:pStyle w:val="Heading2"/>
        <w:spacing w:before="340" w:after="160"/>
      </w:pPr>
      <w:r>
        <w:rPr>
          <w:rFonts w:ascii="Arial" w:cs="Arial" w:eastAsia="Arial" w:hAnsi="Arial"/>
          <w:b/>
          <w:bCs/>
          <w:color w:val="1A6FA5"/>
          <w:sz w:val="30"/>
          <w:szCs w:val="30"/>
        </w:rPr>
        <w:t xml:space="preserve">6.4 Facilitated FHIR</w:t>
      </w:r>
    </w:p>
    <w:p>
      <w:pPr>
        <w:spacing w:before="60" w:after="100" w:line="340"/>
      </w:pPr>
      <w:r>
        <w:rPr>
          <w:rFonts w:ascii="Arial" w:cs="Arial" w:eastAsia="Arial" w:hAnsi="Arial"/>
          <w:color w:val="2C3E50"/>
          <w:sz w:val="22"/>
          <w:szCs w:val="22"/>
        </w:rPr>
        <w:t xml:space="preserve">Facilitated FHIR is TEFCA’s mechanism for FHIR-based data exchange between QHINs. While initial TEFCA exchange focused on document-based queries (C-CDA documents via IHE profiles), Facilitated FHIR enables granular, resource-level FHIR queries across the national network:</w:t>
      </w:r>
    </w:p>
    <w:p>
      <w:pPr>
        <w:pStyle w:val="ListParagraph"/>
        <w:numPr>
          <w:ilvl w:val="0"/>
          <w:numId w:val="2"/>
        </w:numPr>
        <w:spacing w:before="40" w:after="40" w:line="310"/>
      </w:pPr>
      <w:r>
        <w:rPr>
          <w:rFonts w:ascii="Arial" w:cs="Arial" w:eastAsia="Arial" w:hAnsi="Arial"/>
          <w:b/>
          <w:bCs/>
          <w:color w:val="2C3E50"/>
          <w:sz w:val="22"/>
          <w:szCs w:val="22"/>
        </w:rPr>
        <w:t xml:space="preserve">FHIR-Native Exchange: </w:t>
      </w:r>
      <w:r>
        <w:rPr>
          <w:rFonts w:ascii="Arial" w:cs="Arial" w:eastAsia="Arial" w:hAnsi="Arial"/>
          <w:color w:val="2C3E50"/>
          <w:sz w:val="22"/>
          <w:szCs w:val="22"/>
        </w:rPr>
        <w:t xml:space="preserve">Instead of exchanging entire documents, Facilitated FHIR enables targeted queries for specific FHIR resources (e.g., "give me all Observations for this patient from the last 6 months").</w:t>
      </w:r>
    </w:p>
    <w:p>
      <w:pPr>
        <w:pStyle w:val="ListParagraph"/>
        <w:numPr>
          <w:ilvl w:val="0"/>
          <w:numId w:val="2"/>
        </w:numPr>
        <w:spacing w:before="40" w:after="40" w:line="310"/>
      </w:pPr>
      <w:r>
        <w:rPr>
          <w:rFonts w:ascii="Arial" w:cs="Arial" w:eastAsia="Arial" w:hAnsi="Arial"/>
          <w:b/>
          <w:bCs/>
          <w:color w:val="2C3E50"/>
          <w:sz w:val="22"/>
          <w:szCs w:val="22"/>
        </w:rPr>
        <w:t xml:space="preserve">US Core Conformance: </w:t>
      </w:r>
      <w:r>
        <w:rPr>
          <w:rFonts w:ascii="Arial" w:cs="Arial" w:eastAsia="Arial" w:hAnsi="Arial"/>
          <w:color w:val="2C3E50"/>
          <w:sz w:val="22"/>
          <w:szCs w:val="22"/>
        </w:rPr>
        <w:t xml:space="preserve">Facilitated FHIR exchanges must conform to US Core profiles, ensuring USCDI data completeness.</w:t>
      </w:r>
    </w:p>
    <w:p>
      <w:pPr>
        <w:pStyle w:val="ListParagraph"/>
        <w:numPr>
          <w:ilvl w:val="0"/>
          <w:numId w:val="2"/>
        </w:numPr>
        <w:spacing w:before="40" w:after="40" w:line="310"/>
      </w:pPr>
      <w:r>
        <w:rPr>
          <w:rFonts w:ascii="Arial" w:cs="Arial" w:eastAsia="Arial" w:hAnsi="Arial"/>
          <w:b/>
          <w:bCs/>
          <w:color w:val="2C3E50"/>
          <w:sz w:val="22"/>
          <w:szCs w:val="22"/>
        </w:rPr>
        <w:t xml:space="preserve">SMART on FHIR Integration: </w:t>
      </w:r>
      <w:r>
        <w:rPr>
          <w:rFonts w:ascii="Arial" w:cs="Arial" w:eastAsia="Arial" w:hAnsi="Arial"/>
          <w:color w:val="2C3E50"/>
          <w:sz w:val="22"/>
          <w:szCs w:val="22"/>
        </w:rPr>
        <w:t xml:space="preserve">Patient-directed Facilitated FHIR leverages SMART on FHIR for authorization, enabling patients to use third-party apps to access their data from any TEFCA-connected organization.</w:t>
      </w:r>
    </w:p>
    <w:p>
      <w:pPr>
        <w:pStyle w:val="ListParagraph"/>
        <w:numPr>
          <w:ilvl w:val="0"/>
          <w:numId w:val="2"/>
        </w:numPr>
        <w:spacing w:before="40" w:after="40" w:line="310"/>
      </w:pPr>
      <w:r>
        <w:rPr>
          <w:rFonts w:ascii="Arial" w:cs="Arial" w:eastAsia="Arial" w:hAnsi="Arial"/>
          <w:b/>
          <w:bCs/>
          <w:color w:val="2C3E50"/>
          <w:sz w:val="22"/>
          <w:szCs w:val="22"/>
        </w:rPr>
        <w:t xml:space="preserve">Scalability: </w:t>
      </w:r>
      <w:r>
        <w:rPr>
          <w:rFonts w:ascii="Arial" w:cs="Arial" w:eastAsia="Arial" w:hAnsi="Arial"/>
          <w:color w:val="2C3E50"/>
          <w:sz w:val="22"/>
          <w:szCs w:val="22"/>
        </w:rPr>
        <w:t xml:space="preserve">FHIR’s resource-level granularity reduces bandwidth and processing requirements compared to exchanging full clinical documents for every query.</w:t>
      </w:r>
    </w:p>
    <w:p>
      <w:pPr>
        <w:spacing w:before="120" w:after="120"/>
      </w:pPr>
    </w:p>
    <w:p>
      <w:pPr>
        <w:pStyle w:val="Heading2"/>
        <w:spacing w:before="340" w:after="160"/>
      </w:pPr>
      <w:r>
        <w:rPr>
          <w:rFonts w:ascii="Arial" w:cs="Arial" w:eastAsia="Arial" w:hAnsi="Arial"/>
          <w:b/>
          <w:bCs/>
          <w:color w:val="1A6FA5"/>
          <w:sz w:val="30"/>
          <w:szCs w:val="30"/>
        </w:rPr>
        <w:t xml:space="preserve">6.5 TEFCA Architecture for Integration Architects</w:t>
      </w:r>
    </w:p>
    <w:p>
      <w:pPr>
        <w:spacing w:before="60" w:after="100" w:line="340"/>
      </w:pPr>
      <w:r>
        <w:rPr>
          <w:rFonts w:ascii="Arial" w:cs="Arial" w:eastAsia="Arial" w:hAnsi="Arial"/>
          <w:color w:val="2C3E50"/>
          <w:sz w:val="22"/>
          <w:szCs w:val="22"/>
        </w:rPr>
        <w:t xml:space="preserve">Integration architects designing systems for TEFCA participation must understand the data flow:</w:t>
      </w:r>
    </w:p>
    <w:p>
      <w:pPr>
        <w:pStyle w:val="ListParagraph"/>
        <w:numPr>
          <w:ilvl w:val="0"/>
          <w:numId w:val="2"/>
        </w:numPr>
        <w:spacing w:before="40" w:after="40" w:line="310"/>
      </w:pPr>
      <w:r>
        <w:rPr>
          <w:rFonts w:ascii="Arial" w:cs="Arial" w:eastAsia="Arial" w:hAnsi="Arial"/>
          <w:b/>
          <w:bCs/>
          <w:color w:val="2C3E50"/>
          <w:sz w:val="22"/>
          <w:szCs w:val="22"/>
        </w:rPr>
        <w:t xml:space="preserve">Inbound Queries: </w:t>
      </w:r>
      <w:r>
        <w:rPr>
          <w:rFonts w:ascii="Arial" w:cs="Arial" w:eastAsia="Arial" w:hAnsi="Arial"/>
          <w:color w:val="2C3E50"/>
          <w:sz w:val="22"/>
          <w:szCs w:val="22"/>
        </w:rPr>
        <w:t xml:space="preserve">Your organization receives a query from a QHIN requesting patient data. Your system must search its records, assemble USCDI-conformant data (US Core FHIR resources or C-CDA documents), and return them through the QHIN.</w:t>
      </w:r>
    </w:p>
    <w:p>
      <w:pPr>
        <w:pStyle w:val="ListParagraph"/>
        <w:numPr>
          <w:ilvl w:val="0"/>
          <w:numId w:val="2"/>
        </w:numPr>
        <w:spacing w:before="40" w:after="40" w:line="310"/>
      </w:pPr>
      <w:r>
        <w:rPr>
          <w:rFonts w:ascii="Arial" w:cs="Arial" w:eastAsia="Arial" w:hAnsi="Arial"/>
          <w:b/>
          <w:bCs/>
          <w:color w:val="2C3E50"/>
          <w:sz w:val="22"/>
          <w:szCs w:val="22"/>
        </w:rPr>
        <w:t xml:space="preserve">Outbound Queries: </w:t>
      </w:r>
      <w:r>
        <w:rPr>
          <w:rFonts w:ascii="Arial" w:cs="Arial" w:eastAsia="Arial" w:hAnsi="Arial"/>
          <w:color w:val="2C3E50"/>
          <w:sz w:val="22"/>
          <w:szCs w:val="22"/>
        </w:rPr>
        <w:t xml:space="preserve">Your organization queries another organization (through QHINs) for patient data. Your system must be able to initiate queries, receive responses, and integrate the returned USCDI data into your clinical workflows.</w:t>
      </w:r>
    </w:p>
    <w:p>
      <w:pPr>
        <w:pStyle w:val="ListParagraph"/>
        <w:numPr>
          <w:ilvl w:val="0"/>
          <w:numId w:val="2"/>
        </w:numPr>
        <w:spacing w:before="40" w:after="40" w:line="310"/>
      </w:pPr>
      <w:r>
        <w:rPr>
          <w:rFonts w:ascii="Arial" w:cs="Arial" w:eastAsia="Arial" w:hAnsi="Arial"/>
          <w:b/>
          <w:bCs/>
          <w:color w:val="2C3E50"/>
          <w:sz w:val="22"/>
          <w:szCs w:val="22"/>
        </w:rPr>
        <w:t xml:space="preserve">Identity Matching: </w:t>
      </w:r>
      <w:r>
        <w:rPr>
          <w:rFonts w:ascii="Arial" w:cs="Arial" w:eastAsia="Arial" w:hAnsi="Arial"/>
          <w:color w:val="2C3E50"/>
          <w:sz w:val="22"/>
          <w:szCs w:val="22"/>
        </w:rPr>
        <w:t xml:space="preserve">TEFCA requires participant-level patient matching. Your system must be able to provide sufficient demographic data for the responding organization to accurately identify the correct patient record.</w:t>
      </w:r>
    </w:p>
    <w:p>
      <w:pPr>
        <w:pStyle w:val="ListParagraph"/>
        <w:numPr>
          <w:ilvl w:val="0"/>
          <w:numId w:val="2"/>
        </w:numPr>
        <w:spacing w:before="40" w:after="40" w:line="310"/>
      </w:pPr>
      <w:r>
        <w:rPr>
          <w:rFonts w:ascii="Arial" w:cs="Arial" w:eastAsia="Arial" w:hAnsi="Arial"/>
          <w:b/>
          <w:bCs/>
          <w:color w:val="2C3E50"/>
          <w:sz w:val="22"/>
          <w:szCs w:val="22"/>
        </w:rPr>
        <w:t xml:space="preserve">Consent and Privacy: </w:t>
      </w:r>
      <w:r>
        <w:rPr>
          <w:rFonts w:ascii="Arial" w:cs="Arial" w:eastAsia="Arial" w:hAnsi="Arial"/>
          <w:color w:val="2C3E50"/>
          <w:sz w:val="22"/>
          <w:szCs w:val="22"/>
        </w:rPr>
        <w:t xml:space="preserve">TEFCA respects state privacy laws and organizational consent policies. Your system must be able to enforce consent restrictions on outbound data and respect consent indicators on inbound queries.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Insight: TEFCA Readiness Checklist</w:t>
            </w:r>
          </w:p>
          <w:p>
            <w:pPr>
              <w:spacing w:before="40" w:after="40"/>
            </w:pPr>
            <w:r>
              <w:rPr>
                <w:rFonts w:ascii="Arial" w:cs="Arial" w:eastAsia="Arial" w:hAnsi="Arial"/>
                <w:color w:val="2C3E50"/>
                <w:sz w:val="20"/>
                <w:szCs w:val="20"/>
              </w:rPr>
              <w:t xml:space="preserve">1. Can your system serve all USCDI data classes through FHIR US Core-conformant APIs?</w:t>
            </w:r>
          </w:p>
          <w:p>
            <w:pPr>
              <w:spacing w:before="40" w:after="40"/>
            </w:pPr>
            <w:r>
              <w:rPr>
                <w:rFonts w:ascii="Arial" w:cs="Arial" w:eastAsia="Arial" w:hAnsi="Arial"/>
                <w:color w:val="2C3E50"/>
                <w:sz w:val="20"/>
                <w:szCs w:val="20"/>
              </w:rPr>
              <w:t xml:space="preserve">2. Can your system generate C-CDA documents containing all USCDI data elements?</w:t>
            </w:r>
          </w:p>
          <w:p>
            <w:pPr>
              <w:spacing w:before="40" w:after="40"/>
            </w:pPr>
            <w:r>
              <w:rPr>
                <w:rFonts w:ascii="Arial" w:cs="Arial" w:eastAsia="Arial" w:hAnsi="Arial"/>
                <w:color w:val="2C3E50"/>
                <w:sz w:val="20"/>
                <w:szCs w:val="20"/>
              </w:rPr>
              <w:t xml:space="preserve">3. Does your system support patient matching with sufficient demographic data quality?</w:t>
            </w:r>
          </w:p>
          <w:p>
            <w:pPr>
              <w:spacing w:before="40" w:after="40"/>
            </w:pPr>
            <w:r>
              <w:rPr>
                <w:rFonts w:ascii="Arial" w:cs="Arial" w:eastAsia="Arial" w:hAnsi="Arial"/>
                <w:color w:val="2C3E50"/>
                <w:sz w:val="20"/>
                <w:szCs w:val="20"/>
              </w:rPr>
              <w:t xml:space="preserve">4. Can your system enforce consent policies on outbound data?</w:t>
            </w:r>
          </w:p>
          <w:p>
            <w:pPr>
              <w:spacing w:before="40" w:after="40"/>
            </w:pPr>
            <w:r>
              <w:rPr>
                <w:rFonts w:ascii="Arial" w:cs="Arial" w:eastAsia="Arial" w:hAnsi="Arial"/>
                <w:color w:val="2C3E50"/>
                <w:sz w:val="20"/>
                <w:szCs w:val="20"/>
              </w:rPr>
              <w:t xml:space="preserve">5. Can your system receive and integrate USCDI data from external sources?</w:t>
            </w:r>
          </w:p>
          <w:p>
            <w:pPr>
              <w:spacing w:before="40" w:after="40"/>
            </w:pPr>
            <w:r>
              <w:rPr>
                <w:rFonts w:ascii="Arial" w:cs="Arial" w:eastAsia="Arial" w:hAnsi="Arial"/>
                <w:color w:val="2C3E50"/>
                <w:sz w:val="20"/>
                <w:szCs w:val="20"/>
              </w:rPr>
              <w:t xml:space="preserve">6. Do your FHIR APIs pass Inferno conformance testing for US Core?</w:t>
            </w:r>
          </w:p>
          <w:p>
            <w:pPr>
              <w:spacing w:before="40" w:after="40"/>
            </w:pPr>
            <w:r>
              <w:rPr>
                <w:rFonts w:ascii="Arial" w:cs="Arial" w:eastAsia="Arial" w:hAnsi="Arial"/>
                <w:color w:val="2C3E50"/>
                <w:sz w:val="20"/>
                <w:szCs w:val="20"/>
              </w:rPr>
              <w:t xml:space="preserve">7. Are your systems prepared for the operational requirements of QHIN connectivity (uptime SLAs, response time requirements, monitoring)?</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7. Summary and Key Takeaways</w:t>
      </w:r>
    </w:p>
    <w:p>
      <w:pPr>
        <w:spacing w:before="60" w:after="100" w:line="340"/>
      </w:pPr>
      <w:r>
        <w:rPr>
          <w:rFonts w:ascii="Arial" w:cs="Arial" w:eastAsia="Arial" w:hAnsi="Arial"/>
          <w:color w:val="2C3E50"/>
          <w:sz w:val="22"/>
          <w:szCs w:val="22"/>
        </w:rPr>
        <w:t xml:space="preserve">USCDI is the content backbone of US healthcare interoperability. It defines what data must flow between systems, while FHIR US Core, C-CDA, and other standards define how that data is structured and transmitted. For integration architects, USCDI mastery provides:</w:t>
      </w:r>
    </w:p>
    <w:p>
      <w:pPr>
        <w:pStyle w:val="ListParagraph"/>
        <w:numPr>
          <w:ilvl w:val="0"/>
          <w:numId w:val="2"/>
        </w:numPr>
        <w:spacing w:before="40" w:after="40" w:line="310"/>
      </w:pPr>
      <w:r>
        <w:rPr>
          <w:rFonts w:ascii="Arial" w:cs="Arial" w:eastAsia="Arial" w:hAnsi="Arial"/>
          <w:b/>
          <w:bCs/>
          <w:color w:val="2C3E50"/>
          <w:sz w:val="22"/>
          <w:szCs w:val="22"/>
        </w:rPr>
        <w:t xml:space="preserve">Design Foundation: </w:t>
      </w:r>
      <w:r>
        <w:rPr>
          <w:rFonts w:ascii="Arial" w:cs="Arial" w:eastAsia="Arial" w:hAnsi="Arial"/>
          <w:color w:val="2C3E50"/>
          <w:sz w:val="22"/>
          <w:szCs w:val="22"/>
        </w:rPr>
        <w:t xml:space="preserve">Every interface design should start with the question: "What USCDI data classes and elements does this exchange need to support?"</w:t>
      </w:r>
    </w:p>
    <w:p>
      <w:pPr>
        <w:pStyle w:val="ListParagraph"/>
        <w:numPr>
          <w:ilvl w:val="0"/>
          <w:numId w:val="2"/>
        </w:numPr>
        <w:spacing w:before="40" w:after="40" w:line="310"/>
      </w:pPr>
      <w:r>
        <w:rPr>
          <w:rFonts w:ascii="Arial" w:cs="Arial" w:eastAsia="Arial" w:hAnsi="Arial"/>
          <w:b/>
          <w:bCs/>
          <w:color w:val="2C3E50"/>
          <w:sz w:val="22"/>
          <w:szCs w:val="22"/>
        </w:rPr>
        <w:t xml:space="preserve">Regulatory Compliance: </w:t>
      </w:r>
      <w:r>
        <w:rPr>
          <w:rFonts w:ascii="Arial" w:cs="Arial" w:eastAsia="Arial" w:hAnsi="Arial"/>
          <w:color w:val="2C3E50"/>
          <w:sz w:val="22"/>
          <w:szCs w:val="22"/>
        </w:rPr>
        <w:t xml:space="preserve">Understanding USCDI versions and their adoption in ONC certification criteria ensures your implementations meet regulatory requirements.</w:t>
      </w:r>
    </w:p>
    <w:p>
      <w:pPr>
        <w:pStyle w:val="ListParagraph"/>
        <w:numPr>
          <w:ilvl w:val="0"/>
          <w:numId w:val="2"/>
        </w:numPr>
        <w:spacing w:before="40" w:after="40" w:line="310"/>
      </w:pPr>
      <w:r>
        <w:rPr>
          <w:rFonts w:ascii="Arial" w:cs="Arial" w:eastAsia="Arial" w:hAnsi="Arial"/>
          <w:b/>
          <w:bCs/>
          <w:color w:val="2C3E50"/>
          <w:sz w:val="22"/>
          <w:szCs w:val="22"/>
        </w:rPr>
        <w:t xml:space="preserve">Future-Proofing: </w:t>
      </w:r>
      <w:r>
        <w:rPr>
          <w:rFonts w:ascii="Arial" w:cs="Arial" w:eastAsia="Arial" w:hAnsi="Arial"/>
          <w:color w:val="2C3E50"/>
          <w:sz w:val="22"/>
          <w:szCs w:val="22"/>
        </w:rPr>
        <w:t xml:space="preserve">Tracking USCDI evolution (new versions and USCDI+ extensions) helps you anticipate future requirements and design systems that can accommodate expanding data sets.</w:t>
      </w:r>
    </w:p>
    <w:p>
      <w:pPr>
        <w:pStyle w:val="ListParagraph"/>
        <w:numPr>
          <w:ilvl w:val="0"/>
          <w:numId w:val="2"/>
        </w:numPr>
        <w:spacing w:before="40" w:after="40" w:line="310"/>
      </w:pPr>
      <w:r>
        <w:rPr>
          <w:rFonts w:ascii="Arial" w:cs="Arial" w:eastAsia="Arial" w:hAnsi="Arial"/>
          <w:b/>
          <w:bCs/>
          <w:color w:val="2C3E50"/>
          <w:sz w:val="22"/>
          <w:szCs w:val="22"/>
        </w:rPr>
        <w:t xml:space="preserve">TEFCA Readiness: </w:t>
      </w:r>
      <w:r>
        <w:rPr>
          <w:rFonts w:ascii="Arial" w:cs="Arial" w:eastAsia="Arial" w:hAnsi="Arial"/>
          <w:color w:val="2C3E50"/>
          <w:sz w:val="22"/>
          <w:szCs w:val="22"/>
        </w:rPr>
        <w:t xml:space="preserve">As TEFCA expands nationwide exchange, organizations with strong USCDI/US Core implementations will be best positioned to participate.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c>
          <w:tcPr>
            <w:tcW w:type="dxa" w:w="4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Immediate Action</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USCDI Versions</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Each version adds data classes/elements; v3 is HTI-1 adopted</w:t>
            </w:r>
          </w:p>
        </w:tc>
        <w:tc>
          <w:tcPr>
            <w:tcW w:type="dxa" w:w="4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Review USCDI v3 data classes against your current FHIR API capabilities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FHIR US Core Mapping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Every USCDI element maps to a US Core FHIR profile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Verify your FHIR server supports all required US Core profiles</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ONC Certification</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HTI-1 adopted USCDI v3 and updated g(10) API criteria</w:t>
            </w:r>
          </w:p>
        </w:tc>
        <w:tc>
          <w:tcPr>
            <w:tcW w:type="dxa" w:w="4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Run Inferno testing against your FHIR endpoints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USCDI+ Extensions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Domain-specific supplements for public health, behavioral health, etc.</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Identify which USCDI+ domains apply to your organization</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TEFCA</w:t>
            </w:r>
          </w:p>
        </w:tc>
        <w:tc>
          <w:tcPr>
            <w:tcW w:type="dxa" w:w="3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USCDI defines the minimum data set for nationwide exchange</w:t>
            </w:r>
          </w:p>
        </w:tc>
        <w:tc>
          <w:tcPr>
            <w:tcW w:type="dxa" w:w="4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Assess TEFCA readiness using the checklist in Section 6</w:t>
            </w:r>
          </w:p>
        </w:tc>
      </w:tr>
    </w:tbl>
    <w:p>
      <w:pPr>
        <w:spacing w:before="120" w:after="120"/>
      </w:pPr>
    </w:p>
    <w:p>
      <w:pPr>
        <w:pStyle w:val="Heading1"/>
        <w:pBdr>
          <w:bottom w:val="single" w:color="1A6FA5" w:sz="4" w:space="8"/>
        </w:pBdr>
        <w:spacing w:before="400" w:after="200"/>
      </w:pPr>
      <w:r>
        <w:rPr>
          <w:rFonts w:ascii="Arial" w:cs="Arial" w:eastAsia="Arial" w:hAnsi="Arial"/>
          <w:b/>
          <w:bCs/>
          <w:color w:val="0D3B66"/>
          <w:sz w:val="36"/>
          <w:szCs w:val="36"/>
        </w:rPr>
        <w:t xml:space="preserve">Recommended Resources</w:t>
      </w:r>
    </w:p>
    <w:p>
      <w:pPr>
        <w:pStyle w:val="ListParagraph"/>
        <w:numPr>
          <w:ilvl w:val="0"/>
          <w:numId w:val="2"/>
        </w:numPr>
        <w:spacing w:before="40" w:after="40" w:line="310"/>
      </w:pPr>
      <w:r>
        <w:rPr>
          <w:rFonts w:ascii="Arial" w:cs="Arial" w:eastAsia="Arial" w:hAnsi="Arial"/>
          <w:b/>
          <w:bCs/>
          <w:color w:val="2C3E50"/>
          <w:sz w:val="22"/>
          <w:szCs w:val="22"/>
        </w:rPr>
        <w:t xml:space="preserve">ONC USCDI Homepage: </w:t>
      </w:r>
      <w:r>
        <w:rPr>
          <w:rFonts w:ascii="Arial" w:cs="Arial" w:eastAsia="Arial" w:hAnsi="Arial"/>
          <w:color w:val="2C3E50"/>
          <w:sz w:val="22"/>
          <w:szCs w:val="22"/>
        </w:rPr>
        <w:t xml:space="preserve">healthit.gov/isa/united-states-core-data-interoperability-uscdi — Official USCDI specifications and version history</w:t>
      </w:r>
    </w:p>
    <w:p>
      <w:pPr>
        <w:pStyle w:val="ListParagraph"/>
        <w:numPr>
          <w:ilvl w:val="0"/>
          <w:numId w:val="2"/>
        </w:numPr>
        <w:spacing w:before="40" w:after="40" w:line="310"/>
      </w:pPr>
      <w:r>
        <w:rPr>
          <w:rFonts w:ascii="Arial" w:cs="Arial" w:eastAsia="Arial" w:hAnsi="Arial"/>
          <w:b/>
          <w:bCs/>
          <w:color w:val="2C3E50"/>
          <w:sz w:val="22"/>
          <w:szCs w:val="22"/>
        </w:rPr>
        <w:t xml:space="preserve">ONDEC Portal: </w:t>
      </w:r>
      <w:r>
        <w:rPr>
          <w:rFonts w:ascii="Arial" w:cs="Arial" w:eastAsia="Arial" w:hAnsi="Arial"/>
          <w:color w:val="2C3E50"/>
          <w:sz w:val="22"/>
          <w:szCs w:val="22"/>
        </w:rPr>
        <w:t xml:space="preserve">healthit.gov/isa/ONDEC — Submit and review proposals for new USCDI data elements</w:t>
      </w:r>
    </w:p>
    <w:p>
      <w:pPr>
        <w:pStyle w:val="ListParagraph"/>
        <w:numPr>
          <w:ilvl w:val="0"/>
          <w:numId w:val="2"/>
        </w:numPr>
        <w:spacing w:before="40" w:after="40" w:line="310"/>
      </w:pPr>
      <w:r>
        <w:rPr>
          <w:rFonts w:ascii="Arial" w:cs="Arial" w:eastAsia="Arial" w:hAnsi="Arial"/>
          <w:b/>
          <w:bCs/>
          <w:color w:val="2C3E50"/>
          <w:sz w:val="22"/>
          <w:szCs w:val="22"/>
        </w:rPr>
        <w:t xml:space="preserve">US Core Implementation Guide: </w:t>
      </w:r>
      <w:r>
        <w:rPr>
          <w:rFonts w:ascii="Arial" w:cs="Arial" w:eastAsia="Arial" w:hAnsi="Arial"/>
          <w:color w:val="2C3E50"/>
          <w:sz w:val="22"/>
          <w:szCs w:val="22"/>
        </w:rPr>
        <w:t xml:space="preserve">hl7.org/fhir/us/core — FHIR profiles implementing USCDI</w:t>
      </w:r>
    </w:p>
    <w:p>
      <w:pPr>
        <w:pStyle w:val="ListParagraph"/>
        <w:numPr>
          <w:ilvl w:val="0"/>
          <w:numId w:val="2"/>
        </w:numPr>
        <w:spacing w:before="40" w:after="40" w:line="310"/>
      </w:pPr>
      <w:r>
        <w:rPr>
          <w:rFonts w:ascii="Arial" w:cs="Arial" w:eastAsia="Arial" w:hAnsi="Arial"/>
          <w:b/>
          <w:bCs/>
          <w:color w:val="2C3E50"/>
          <w:sz w:val="22"/>
          <w:szCs w:val="22"/>
        </w:rPr>
        <w:t xml:space="preserve">HTI-1 Final Rule: </w:t>
      </w:r>
      <w:r>
        <w:rPr>
          <w:rFonts w:ascii="Arial" w:cs="Arial" w:eastAsia="Arial" w:hAnsi="Arial"/>
          <w:color w:val="2C3E50"/>
          <w:sz w:val="22"/>
          <w:szCs w:val="22"/>
        </w:rPr>
        <w:t xml:space="preserve">federalregister.gov (search HTI-1) — Full text of the regulatory rule adopting USCDI v3</w:t>
      </w:r>
    </w:p>
    <w:p>
      <w:pPr>
        <w:pStyle w:val="ListParagraph"/>
        <w:numPr>
          <w:ilvl w:val="0"/>
          <w:numId w:val="2"/>
        </w:numPr>
        <w:spacing w:before="40" w:after="40" w:line="310"/>
      </w:pPr>
      <w:r>
        <w:rPr>
          <w:rFonts w:ascii="Arial" w:cs="Arial" w:eastAsia="Arial" w:hAnsi="Arial"/>
          <w:b/>
          <w:bCs/>
          <w:color w:val="2C3E50"/>
          <w:sz w:val="22"/>
          <w:szCs w:val="22"/>
        </w:rPr>
        <w:t xml:space="preserve">Inferno Testing Tool: </w:t>
      </w:r>
      <w:r>
        <w:rPr>
          <w:rFonts w:ascii="Arial" w:cs="Arial" w:eastAsia="Arial" w:hAnsi="Arial"/>
          <w:color w:val="2C3E50"/>
          <w:sz w:val="22"/>
          <w:szCs w:val="22"/>
        </w:rPr>
        <w:t xml:space="preserve">inferno.healthit.gov — ONC’s FHIR conformance testing framework</w:t>
      </w:r>
    </w:p>
    <w:p>
      <w:pPr>
        <w:pStyle w:val="ListParagraph"/>
        <w:numPr>
          <w:ilvl w:val="0"/>
          <w:numId w:val="2"/>
        </w:numPr>
        <w:spacing w:before="40" w:after="40" w:line="310"/>
      </w:pPr>
      <w:r>
        <w:rPr>
          <w:rFonts w:ascii="Arial" w:cs="Arial" w:eastAsia="Arial" w:hAnsi="Arial"/>
          <w:b/>
          <w:bCs/>
          <w:color w:val="2C3E50"/>
          <w:sz w:val="22"/>
          <w:szCs w:val="22"/>
        </w:rPr>
        <w:t xml:space="preserve">TEFCA Resources: </w:t>
      </w:r>
      <w:r>
        <w:rPr>
          <w:rFonts w:ascii="Arial" w:cs="Arial" w:eastAsia="Arial" w:hAnsi="Arial"/>
          <w:color w:val="2C3E50"/>
          <w:sz w:val="22"/>
          <w:szCs w:val="22"/>
        </w:rPr>
        <w:t xml:space="preserve">rce.sequoiaproject.org — TEFCA common agreement, SOPs, and QHIN information</w:t>
      </w:r>
    </w:p>
    <w:p>
      <w:pPr>
        <w:pStyle w:val="ListParagraph"/>
        <w:numPr>
          <w:ilvl w:val="0"/>
          <w:numId w:val="2"/>
        </w:numPr>
        <w:spacing w:before="40" w:after="40" w:line="310"/>
      </w:pPr>
      <w:r>
        <w:rPr>
          <w:rFonts w:ascii="Arial" w:cs="Arial" w:eastAsia="Arial" w:hAnsi="Arial"/>
          <w:b/>
          <w:bCs/>
          <w:color w:val="2C3E50"/>
          <w:sz w:val="22"/>
          <w:szCs w:val="22"/>
        </w:rPr>
        <w:t xml:space="preserve">USCDI+ Resources: </w:t>
      </w:r>
      <w:r>
        <w:rPr>
          <w:rFonts w:ascii="Arial" w:cs="Arial" w:eastAsia="Arial" w:hAnsi="Arial"/>
          <w:color w:val="2C3E50"/>
          <w:sz w:val="22"/>
          <w:szCs w:val="22"/>
        </w:rPr>
        <w:t xml:space="preserve">healthit.gov/isa/uscdi-plus — Domain-specific USCDI extensions</w:t>
      </w:r>
    </w:p>
    <w:p>
      <w:pPr>
        <w:pStyle w:val="ListParagraph"/>
        <w:numPr>
          <w:ilvl w:val="0"/>
          <w:numId w:val="2"/>
        </w:numPr>
        <w:spacing w:before="40" w:after="40" w:line="310"/>
      </w:pPr>
      <w:r>
        <w:rPr>
          <w:rFonts w:ascii="Arial" w:cs="Arial" w:eastAsia="Arial" w:hAnsi="Arial"/>
          <w:b/>
          <w:bCs/>
          <w:color w:val="2C3E50"/>
          <w:sz w:val="22"/>
          <w:szCs w:val="22"/>
        </w:rPr>
        <w:t xml:space="preserve">ONC CHPL: </w:t>
      </w:r>
      <w:r>
        <w:rPr>
          <w:rFonts w:ascii="Arial" w:cs="Arial" w:eastAsia="Arial" w:hAnsi="Arial"/>
          <w:color w:val="2C3E50"/>
          <w:sz w:val="22"/>
          <w:szCs w:val="22"/>
        </w:rPr>
        <w:t xml:space="preserve">chpl.healthit.gov — Certified Health IT Product List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Arial" w:cs="Arial" w:eastAsia="Arial" w:hAnsi="Arial"/>
        <w:i/>
        <w:iCs/>
        <w:color w:val="1A6FA5"/>
        <w:sz w:val="18"/>
        <w:szCs w:val="18"/>
      </w:rPr>
      <w:t xml:space="preserve">Understanding USCDI</w:t>
    </w:r>
    <w:r>
      <w:rPr>
        <w:rFonts w:ascii="Arial" w:cs="Arial" w:eastAsia="Arial" w:hAnsi="Arial"/>
        <w:color w:val="1A6FA5"/>
        <w:sz w:val="18"/>
        <w:szCs w:val="18"/>
      </w:rPr>
      <w:t xml:space="preserve">	Section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3B6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6FA5"/>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2026-02-27T09:53:43.672Z</dcterms:created>
  <dcterms:modified xsi:type="dcterms:W3CDTF">2026-02-27T09:53:43.673Z</dcterms:modified>
</cp:coreProperties>
</file>

<file path=docProps/custom.xml><?xml version="1.0" encoding="utf-8"?>
<Properties xmlns="http://schemas.openxmlformats.org/officeDocument/2006/custom-properties" xmlns:vt="http://schemas.openxmlformats.org/officeDocument/2006/docPropsVTypes"/>
</file>