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SOFTWARE SUPPLY CHAIN SECURITY</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10: Standards &amp; Frameworks</w:t>
      </w:r>
    </w:p>
    <w:p>
      <w:pPr>
        <w:spacing w:after="400"/>
        <w:jc w:val="center"/>
      </w:pPr>
      <w:r>
        <w:rPr>
          <w:i/>
          <w:iCs/>
          <w:color w:val="505050"/>
          <w:sz w:val="22"/>
          <w:szCs w:val="22"/>
        </w:rPr>
        <w:t xml:space="preserve">The capstone module: the landscape of standards, frameworks, and regulations that shape modern supply-chain security. SLSA and Sigstore (recapped), OpenSSF Scorecard, in-toto, Microsoft's S2C2F, NIST SSDF, the CIS Software Supply Chain Security Guide, and the EU Cyber Resilience Act. How they fit together, which ones matter in which contexts, and how to navigate the overlapping-but-distinct terrain of supply-chain governance.</w:t>
      </w:r>
    </w:p>
    <w:p>
      <w:r>
        <w:br w:type="page"/>
      </w:r>
    </w:p>
    <w:p>
      <w:pPr>
        <w:pStyle w:val="Heading1"/>
        <w:spacing w:after="200" w:before="360"/>
      </w:pPr>
      <w:r>
        <w:rPr>
          <w:b/>
          <w:bCs/>
        </w:rPr>
        <w:t xml:space="preserve">Introduction: Mapping the Frameworks Landscape</w:t>
      </w:r>
    </w:p>
    <w:p>
      <w:pPr>
        <w:spacing w:after="140"/>
        <w:jc w:val="both"/>
      </w:pPr>
      <w:r>
        <w:t xml:space="preserve">This is the tenth and final module of the extended Software Supply Chain Security curriculum. The previous nine modules covered supply-chain security at increasing levels of detail: threats (Module 1), SLSA (Module 2), SBOMs (Module 3), Sigstore (Module 4), provenance and attestations (Module 5), dependency management (Module 6), build security (Module 7), admission control (Module 8), and organizational practices (Module 9). Each module covered a specific technical or organizational discipline. This final module steps back and addresses the broader landscape of standards, frameworks, and regulations that govern how supply-chain security is practiced, documented, measured, and increasingly required.</w:t>
      </w:r>
    </w:p>
    <w:p>
      <w:pPr>
        <w:spacing w:after="140"/>
        <w:jc w:val="both"/>
      </w:pPr>
      <w:r>
        <w:t xml:space="preserve">The frameworks landscape is more fragmented than the technical landscape. Where technical tools have mostly converged — Sigstore for signing, SLSA for provenance, SPDX and CycloneDX for SBOMs — the governance frameworks proliferate. Microsoft has S2C2F. NIST has SSDF. OpenSSF has Scorecard. CIS has its software-supply-chain guide. The EU has the Cyber Resilience Act. Each was created by a different organization for different purposes, with different audiences, and different degrees of overlap with the others. An organization beginning to navigate this terrain often feels overwhelmed — which framework matters? Which apply? Do they compete or complement each other?</w:t>
      </w:r>
    </w:p>
    <w:p>
      <w:pPr>
        <w:spacing w:after="140"/>
        <w:jc w:val="both"/>
      </w:pPr>
      <w:r>
        <w:t xml:space="preserve">The short answer is that most of them complement each other, each addressing a slightly different angle of the problem. SLSA is technical and specific. SSDF is broader and more process-oriented. Scorecard is specifically about open-source-project hygiene. S2C2F is a Microsoft-authored practitioner framework. The CIS guide is prescriptive implementation guidance. The CRA is law. They sit at different points on axes of scope (narrow-technical to broad-organizational), audience (project maintainer to CISO to regulator), and force (advisory to contractual to legal). Understanding where each sits helps you pick the right framework for the right question.</w:t>
      </w:r>
    </w:p>
    <w:p>
      <w:pPr>
        <w:spacing w:after="140"/>
        <w:jc w:val="both"/>
      </w:pPr>
      <w:r>
        <w:t xml:space="preserve">This module covers each of the eight frameworks in the curriculum bullet, with the specific emphasis on what each contributes, where it overlaps with others, and when to apply it. SLSA and Sigstore are recapped briefly (they were covered in Modules 2 and 4 respectively) in the context of the broader landscape. The other six get full-chapter treatment. The module closes with a synthesis addressing how organizations navigate the combined framework landscape in practice — which ones to adopt first, how they layer, and what the overall governance picture looks like as of 2026.</w:t>
      </w:r>
    </w:p>
    <w:p>
      <w:pPr>
        <w:spacing w:after="140"/>
        <w:jc w:val="both"/>
      </w:pPr>
      <w:r>
        <w:t xml:space="preserve">Each curriculum bullet is treated as a chapter. You will learn: (1) SLSA and Sigstore's positioning in the broader landscape; (2) OpenSSF Scorecard as the automated security assessment tool for open-source projects; (3) in-toto as the foundational attestation framework; (4) Microsoft's S2C2F as practitioner-oriented implementation guidance; (5) NIST SSDF as the US government's secure-development framework; (6) the CIS Software Supply Chain Security Guide as prescriptive implementation guidance; and (7) the EU Cyber Resilience Act as the regulatory dimension that is transitioning supply-chain practices from voluntary to legally mandated.</w:t>
      </w:r>
    </w:p>
    <w:p>
      <w:r>
        <w:br w:type="page"/>
      </w:r>
    </w:p>
    <w:p>
      <w:pPr>
        <w:pStyle w:val="Heading1"/>
        <w:spacing w:after="200" w:before="360"/>
      </w:pPr>
      <w:r>
        <w:rPr>
          <w:b/>
          <w:bCs/>
        </w:rPr>
        <w:t xml:space="preserve">Chapter 1: SLSA and Sigstore in the Landscape</w:t>
      </w:r>
    </w:p>
    <w:p>
      <w:pPr>
        <w:pStyle w:val="Heading2"/>
        <w:spacing w:after="160" w:before="280"/>
      </w:pPr>
      <w:r>
        <w:rPr>
          <w:b/>
          <w:bCs/>
        </w:rPr>
        <w:t xml:space="preserve">1.1 Recap and Positioning</w:t>
      </w:r>
    </w:p>
    <w:p>
      <w:pPr>
        <w:spacing w:after="140"/>
        <w:jc w:val="both"/>
      </w:pPr>
      <w:r>
        <w:t xml:space="preserve">Modules 2 and 4 of this curriculum covered SLSA and Sigstore at technical depth. Rather than repeating that content, this chapter positions them in the broader frameworks landscape — how they relate to the other frameworks covered in this module, what their distinctive contribution is, and why they have achieved the adoption they have.</w:t>
      </w:r>
    </w:p>
    <w:p>
      <w:pPr>
        <w:spacing w:after="140"/>
        <w:jc w:val="both"/>
      </w:pPr>
      <w:r>
        <w:rPr>
          <w:b/>
          <w:bCs/>
        </w:rPr>
        <w:t xml:space="preserve">SLSA (Supply-chain Levels for Software Artifacts) </w:t>
      </w:r>
      <w:r>
        <w:t xml:space="preserve">is a technical framework for build integrity, produced by the OpenSSF (Open Source Security Foundation). It specifies graduated levels (L0 through L3 currently) describing build-process security, with each level having specific technical requirements — provenance generation, hermetic builds, service-generated attestations, and so on. SLSA's distinctive contribution is being technical and specific: an artifact either meets SLSA L2 or it does not, and the determination is verifiable from the artifact's attestations. This specificity enables downstream verification and policy — a Kubernetes admission controller can check 'does this artifact have SLSA L3 provenance?' with a clear yes/no answer.</w:t>
      </w:r>
    </w:p>
    <w:p>
      <w:pPr>
        <w:spacing w:after="140"/>
        <w:jc w:val="both"/>
      </w:pPr>
      <w:r>
        <w:rPr>
          <w:b/>
          <w:bCs/>
        </w:rPr>
        <w:t xml:space="preserve">Sigstore </w:t>
      </w:r>
      <w:r>
        <w:t xml:space="preserve">is the infrastructure layer that makes SLSA and related frameworks practical. It provides free, open-source cryptographic signing through Cosign (client), Fulcio (short-lived certificate authority), and Rekor (transparency log). Its distinctive contribution is operational: keyless signing with OIDC-based identity eliminates the historical key-management burden that made cryptographic signing impractical at scale. Sigstore is not a framework in the governance sense (it is not a document saying 'do these things'); it is infrastructure that the governance frameworks assume exists.</w:t>
      </w:r>
    </w:p>
    <w:p>
      <w:pPr>
        <w:pStyle w:val="Heading2"/>
        <w:spacing w:after="160" w:before="280"/>
      </w:pPr>
      <w:r>
        <w:rPr>
          <w:b/>
          <w:bCs/>
        </w:rPr>
        <w:t xml:space="preserve">1.2 Why They Are Foundational to the Landscape</w:t>
      </w:r>
    </w:p>
    <w:p>
      <w:pPr>
        <w:spacing w:after="140"/>
        <w:jc w:val="both"/>
      </w:pPr>
      <w:r>
        <w:t xml:space="preserve">SLSA and Sigstore occupy distinctive positions in the landscape because they produce verifiable artifacts. Other frameworks produce documents, policies, assessments — things that are valuable but not directly verifiable by automated systems. SLSA produces signed provenance attestations that an admission controller can verify cryptographically. Sigstore produces signed artifacts whose signatures can be checked without human judgment. This automatability is what makes them foundational.</w:t>
      </w:r>
    </w:p>
    <w:p>
      <w:pPr>
        <w:spacing w:after="140"/>
        <w:jc w:val="both"/>
      </w:pPr>
      <w:r>
        <w:t xml:space="preserve">Most other frameworks in this module build on or reference SLSA and Sigstore rather than replacing them:</w:t>
      </w:r>
    </w:p>
    <w:p>
      <w:pPr>
        <w:pStyle w:val="ListParagraph"/>
        <w:numPr>
          <w:ilvl w:val="0"/>
          <w:numId w:val="2"/>
        </w:numPr>
        <w:spacing w:after="80"/>
      </w:pPr>
      <w:r>
        <w:t xml:space="preserve">NIST SSDF (Chapter 5) references SLSA-style provenance as an expected practice.</w:t>
      </w:r>
    </w:p>
    <w:p>
      <w:pPr>
        <w:pStyle w:val="ListParagraph"/>
        <w:numPr>
          <w:ilvl w:val="0"/>
          <w:numId w:val="2"/>
        </w:numPr>
        <w:spacing w:after="80"/>
      </w:pPr>
      <w:r>
        <w:t xml:space="preserve">Microsoft S2C2F (Chapter 4) explicitly maps to SLSA levels in its advanced practices.</w:t>
      </w:r>
    </w:p>
    <w:p>
      <w:pPr>
        <w:pStyle w:val="ListParagraph"/>
        <w:numPr>
          <w:ilvl w:val="0"/>
          <w:numId w:val="2"/>
        </w:numPr>
        <w:spacing w:after="80"/>
      </w:pPr>
      <w:r>
        <w:t xml:space="preserve">The CIS Software Supply Chain Security Guide (Chapter 6) prescribes SLSA adoption as specific guidance.</w:t>
      </w:r>
    </w:p>
    <w:p>
      <w:pPr>
        <w:pStyle w:val="ListParagraph"/>
        <w:numPr>
          <w:ilvl w:val="0"/>
          <w:numId w:val="2"/>
        </w:numPr>
        <w:spacing w:after="80"/>
      </w:pPr>
      <w:r>
        <w:t xml:space="preserve">The EU CRA (Chapter 7) does not name SLSA specifically but requires equivalent evidence that SLSA-conforming organizations naturally produce.</w:t>
      </w:r>
    </w:p>
    <w:p>
      <w:pPr>
        <w:spacing w:after="140"/>
        <w:jc w:val="both"/>
      </w:pPr>
      <w:r>
        <w:t xml:space="preserve">This gives SLSA and Sigstore a specific kind of significance: they are not the only frameworks, but they are the most technically concrete ones, and the others broadly align with them rather than competing. An organization implementing SLSA has adopted most of what the broader frameworks require technically, leaving primarily process and governance work to complete compliance with the broader frameworks.</w:t>
      </w:r>
    </w:p>
    <w:p>
      <w:pPr>
        <w:pStyle w:val="Heading2"/>
        <w:spacing w:after="160" w:before="280"/>
      </w:pPr>
      <w:r>
        <w:rPr>
          <w:b/>
          <w:bCs/>
        </w:rPr>
        <w:t xml:space="preserve">1.3 Governance and Adoption</w:t>
      </w:r>
    </w:p>
    <w:p>
      <w:pPr>
        <w:spacing w:after="140"/>
        <w:jc w:val="both"/>
      </w:pPr>
      <w:r>
        <w:t xml:space="preserve">SLSA is governed by the OpenSSF. Sigstore is governed by the Linux Foundation with its own community. Both are genuinely open projects — no single company controls them, development happens in public, contributions come from many organizations. This neutrality matters for adoption: organizations that would be reluctant to depend on a specific vendor's framework can depend on OpenSSF/Linux Foundation projects with more confidence.</w:t>
      </w:r>
    </w:p>
    <w:p>
      <w:pPr>
        <w:spacing w:after="140"/>
        <w:jc w:val="both"/>
      </w:pPr>
      <w:r>
        <w:t xml:space="preserve">Adoption has been strong across the open-source ecosystem and increasingly in enterprise contexts. By 2026:</w:t>
      </w:r>
    </w:p>
    <w:p>
      <w:pPr>
        <w:pStyle w:val="ListParagraph"/>
        <w:numPr>
          <w:ilvl w:val="0"/>
          <w:numId w:val="2"/>
        </w:numPr>
        <w:spacing w:after="80"/>
      </w:pPr>
      <w:r>
        <w:t xml:space="preserve">Major CNCF projects (Kubernetes itself, containerd, Istio, and many others) produce SLSA-L3 provenance and Sigstore signatures for releases.</w:t>
      </w:r>
    </w:p>
    <w:p>
      <w:pPr>
        <w:pStyle w:val="ListParagraph"/>
        <w:numPr>
          <w:ilvl w:val="0"/>
          <w:numId w:val="2"/>
        </w:numPr>
        <w:spacing w:after="80"/>
      </w:pPr>
      <w:r>
        <w:t xml:space="preserve">npm, PyPI, and other package registries support Sigstore-based provenance attestations for published packages.</w:t>
      </w:r>
    </w:p>
    <w:p>
      <w:pPr>
        <w:pStyle w:val="ListParagraph"/>
        <w:numPr>
          <w:ilvl w:val="0"/>
          <w:numId w:val="2"/>
        </w:numPr>
        <w:spacing w:after="80"/>
      </w:pPr>
      <w:r>
        <w:t xml:space="preserve">GitHub Actions, GitLab CI, and other major CI platforms provide first-class SLSA provenance generation.</w:t>
      </w:r>
    </w:p>
    <w:p>
      <w:pPr>
        <w:pStyle w:val="ListParagraph"/>
        <w:numPr>
          <w:ilvl w:val="0"/>
          <w:numId w:val="2"/>
        </w:numPr>
        <w:spacing w:after="80"/>
      </w:pPr>
      <w:r>
        <w:t xml:space="preserve">Commercial software vendors increasingly provide SLSA-level documentation in response to enterprise procurement requirements.</w:t>
      </w:r>
    </w:p>
    <w:p>
      <w:pPr>
        <w:spacing w:after="140"/>
        <w:jc w:val="both"/>
      </w:pPr>
      <w:r>
        <w:t xml:space="preserve">The maturity has reached the point where 'does this software have SLSA provenance?' is a reasonable question to ask about any modern software artifact, and organizations producing software today typically have a path to L2 or L3 adoption within a few months of focused effort.</w:t>
      </w:r>
    </w:p>
    <w:p>
      <w:pPr>
        <w:pStyle w:val="Heading2"/>
        <w:spacing w:after="160" w:before="280"/>
      </w:pPr>
      <w:r>
        <w:rPr>
          <w:b/>
          <w:bCs/>
        </w:rPr>
        <w:t xml:space="preserve">1.4 The Remaining Frameworks in Context</w:t>
      </w:r>
    </w:p>
    <w:p>
      <w:pPr>
        <w:spacing w:after="140"/>
        <w:jc w:val="both"/>
      </w:pPr>
      <w:r>
        <w:t xml:space="preserve">Given SLSA and Sigstore's foundational positioning, the remaining frameworks in this module can be understood by how they relate to this foundation:</w:t>
      </w:r>
    </w:p>
    <w:p>
      <w:pPr>
        <w:pStyle w:val="ListParagraph"/>
        <w:numPr>
          <w:ilvl w:val="0"/>
          <w:numId w:val="2"/>
        </w:numPr>
        <w:spacing w:after="80"/>
      </w:pPr>
      <w:r>
        <w:rPr>
          <w:b/>
          <w:bCs/>
        </w:rPr>
        <w:t xml:space="preserve">OpenSSF Scorecard </w:t>
      </w:r>
      <w:r>
        <w:t xml:space="preserve">measures open-source project hygiene at a higher level than SLSA's build-process focus. A project can score well on Scorecard without producing SLSA provenance; a project with SLSA L3 provenance still needs to score well on other Scorecard checks.</w:t>
      </w:r>
    </w:p>
    <w:p>
      <w:pPr>
        <w:pStyle w:val="ListParagraph"/>
        <w:numPr>
          <w:ilvl w:val="0"/>
          <w:numId w:val="2"/>
        </w:numPr>
        <w:spacing w:after="80"/>
      </w:pPr>
      <w:r>
        <w:rPr>
          <w:b/>
          <w:bCs/>
        </w:rPr>
        <w:t xml:space="preserve">in-toto </w:t>
      </w:r>
      <w:r>
        <w:t xml:space="preserve">is the attestation framework that SLSA uses. The in-toto format is the universal container for attestations; SLSA provenance is one specific attestation type within in-toto.</w:t>
      </w:r>
    </w:p>
    <w:p>
      <w:pPr>
        <w:pStyle w:val="ListParagraph"/>
        <w:numPr>
          <w:ilvl w:val="0"/>
          <w:numId w:val="2"/>
        </w:numPr>
        <w:spacing w:after="80"/>
      </w:pPr>
      <w:r>
        <w:rPr>
          <w:b/>
          <w:bCs/>
        </w:rPr>
        <w:t xml:space="preserve">Microsoft S2C2F </w:t>
      </w:r>
      <w:r>
        <w:t xml:space="preserve">is practitioner-focused guidance that aligns with SLSA levels but covers a broader scope including developer practices, dependency management, and operational processes.</w:t>
      </w:r>
    </w:p>
    <w:p>
      <w:pPr>
        <w:pStyle w:val="ListParagraph"/>
        <w:numPr>
          <w:ilvl w:val="0"/>
          <w:numId w:val="2"/>
        </w:numPr>
        <w:spacing w:after="80"/>
      </w:pPr>
      <w:r>
        <w:rPr>
          <w:b/>
          <w:bCs/>
        </w:rPr>
        <w:t xml:space="preserve">NIST SSDF </w:t>
      </w:r>
      <w:r>
        <w:t xml:space="preserve">is a process-oriented framework for secure development overall; supply-chain security is a specific subset. SSDF references SLSA-style practices but is not SLSA-specific.</w:t>
      </w:r>
    </w:p>
    <w:p>
      <w:pPr>
        <w:pStyle w:val="ListParagraph"/>
        <w:numPr>
          <w:ilvl w:val="0"/>
          <w:numId w:val="2"/>
        </w:numPr>
        <w:spacing w:after="80"/>
      </w:pPr>
      <w:r>
        <w:rPr>
          <w:b/>
          <w:bCs/>
        </w:rPr>
        <w:t xml:space="preserve">CIS Software Supply Chain Security Guide </w:t>
      </w:r>
      <w:r>
        <w:t xml:space="preserve">is implementation guidance that prescribes specific controls — including SLSA adoption — without being an alternative framework itself.</w:t>
      </w:r>
    </w:p>
    <w:p>
      <w:pPr>
        <w:pStyle w:val="ListParagraph"/>
        <w:numPr>
          <w:ilvl w:val="0"/>
          <w:numId w:val="2"/>
        </w:numPr>
        <w:spacing w:after="80"/>
      </w:pPr>
      <w:r>
        <w:rPr>
          <w:b/>
          <w:bCs/>
        </w:rPr>
        <w:t xml:space="preserve">EU Cyber Resilience Act </w:t>
      </w:r>
      <w:r>
        <w:t xml:space="preserve">is law that requires specific evidence about software products; organizations producing SLSA provenance and Sigstore signatures are better positioned for CRA compliance than those without these technical foundations.</w:t>
      </w:r>
    </w:p>
    <w:p>
      <w:pPr>
        <w:spacing w:after="140"/>
        <w:jc w:val="both"/>
      </w:pPr>
      <w:r>
        <w:t xml:space="preserve">The pattern: SLSA and Sigstore are the technical substrate; the other frameworks layer broader concerns (hygiene, process, compliance, regulation) on top. An organization with SLSA and Sigstore as a foundation has solved the 'technical evidence production' part of every other framework; an organization without them has to solve it separately for each framework it adopts.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SLSA and Sigstore occupy foundational positions in the frameworks landscape because they produce automatable, verifiable artifacts rather than documents or policies. SLSA (OpenSSF) is technical and specific — graduated build-integrity levels with verifiable provenance attestations. Sigstore (Linux Foundation) is infrastructure making cryptographic signing operationally practical. Most other frameworks in this module reference or build on them rather than replacing them. Their neutrality (genuinely open, not vendor-controlled) has enabled broad adoption across the open-source ecosystem and increasingly enterprise contexts. The remaining frameworks layer hygiene assessment (Scorecard), attestation formatting (in-toto), practitioner guidance (S2C2F), process frameworks (SSDF), implementation prescriptions (CIS guide), and regulation (CRA) on top of the SLSA/Sigstore technical substrate.</w:t>
            </w:r>
          </w:p>
        </w:tc>
      </w:tr>
    </w:tbl>
    <w:p>
      <w:r>
        <w:br w:type="page"/>
      </w:r>
    </w:p>
    <w:p>
      <w:pPr>
        <w:pStyle w:val="Heading1"/>
        <w:spacing w:after="200" w:before="360"/>
      </w:pPr>
      <w:r>
        <w:rPr>
          <w:b/>
          <w:bCs/>
        </w:rPr>
        <w:t xml:space="preserve">Chapter 2: OpenSSF Scorecard — Automated Security Assessment</w:t>
      </w:r>
    </w:p>
    <w:p>
      <w:pPr>
        <w:pStyle w:val="Heading2"/>
        <w:spacing w:after="160" w:before="280"/>
      </w:pPr>
      <w:r>
        <w:rPr>
          <w:b/>
          <w:bCs/>
        </w:rPr>
        <w:t xml:space="preserve">2.1 What Scorecard Is</w:t>
      </w:r>
    </w:p>
    <w:p>
      <w:pPr>
        <w:spacing w:after="140"/>
        <w:jc w:val="both"/>
      </w:pPr>
      <w:r>
        <w:rPr>
          <w:b/>
          <w:bCs/>
        </w:rPr>
        <w:t xml:space="preserve">OpenSSF Scorecard </w:t>
      </w:r>
      <w:r>
        <w:t xml:space="preserve">is an automated tool that scores open-source project security practices across a set of defined checks. It inspects a project's repository, commit history, releases, and metadata, and produces a numeric score (0–10) indicating the project's security hygiene. The tool itself is free and open-source; scores for most popular open-source projects are continuously maintained in a public database accessible at scorecard.dev.</w:t>
      </w:r>
    </w:p>
    <w:p>
      <w:pPr>
        <w:spacing w:after="140"/>
        <w:jc w:val="both"/>
      </w:pPr>
      <w:r>
        <w:t xml:space="preserve">Key facts about Scorecard:</w:t>
      </w:r>
    </w:p>
    <w:p>
      <w:pPr>
        <w:pStyle w:val="ListParagraph"/>
        <w:numPr>
          <w:ilvl w:val="0"/>
          <w:numId w:val="2"/>
        </w:numPr>
        <w:spacing w:after="80"/>
      </w:pPr>
      <w:r>
        <w:t xml:space="preserve">Developed under the OpenSSF (same governance body as SLSA).</w:t>
      </w:r>
    </w:p>
    <w:p>
      <w:pPr>
        <w:pStyle w:val="ListParagraph"/>
        <w:numPr>
          <w:ilvl w:val="0"/>
          <w:numId w:val="2"/>
        </w:numPr>
        <w:spacing w:after="80"/>
      </w:pPr>
      <w:r>
        <w:t xml:space="preserve">Open-source, written in Go, distributed as a binary and a GitHub Action.</w:t>
      </w:r>
    </w:p>
    <w:p>
      <w:pPr>
        <w:pStyle w:val="ListParagraph"/>
        <w:numPr>
          <w:ilvl w:val="0"/>
          <w:numId w:val="2"/>
        </w:numPr>
        <w:spacing w:after="80"/>
      </w:pPr>
      <w:r>
        <w:t xml:space="preserve">Runs automatically against major open-source registries — millions of projects continuously scored.</w:t>
      </w:r>
    </w:p>
    <w:p>
      <w:pPr>
        <w:pStyle w:val="ListParagraph"/>
        <w:numPr>
          <w:ilvl w:val="0"/>
          <w:numId w:val="2"/>
        </w:numPr>
        <w:spacing w:after="80"/>
      </w:pPr>
      <w:r>
        <w:t xml:space="preserve">Each check is binary or scored; the overall score is a weighted combination.</w:t>
      </w:r>
    </w:p>
    <w:p>
      <w:pPr>
        <w:pStyle w:val="ListParagraph"/>
        <w:numPr>
          <w:ilvl w:val="0"/>
          <w:numId w:val="2"/>
        </w:numPr>
        <w:spacing w:after="80"/>
      </w:pPr>
      <w:r>
        <w:t xml:space="preserve">Designed for automated consumption by dependency evaluation tooling.</w:t>
      </w:r>
    </w:p>
    <w:p>
      <w:pPr>
        <w:spacing w:after="140"/>
        <w:jc w:val="both"/>
      </w:pPr>
      <w:r>
        <w:t xml:space="preserve">The distinctive contribution of Scorecard is automation. Previous attempts to assess open-source project security relied on human review — a security team examining a project's maintenance status, vulnerability history, and commit patterns. This is slow and does not scale to the scope of modern software supply chains, where a single application might have thousands of transitive dependencies. Scorecard automates the assessment, making it practical to score every dependency continuously rather than sampling.</w:t>
      </w:r>
    </w:p>
    <w:p>
      <w:pPr>
        <w:pStyle w:val="Heading2"/>
        <w:spacing w:after="160" w:before="280"/>
      </w:pPr>
      <w:r>
        <w:rPr>
          <w:b/>
          <w:bCs/>
        </w:rPr>
        <w:t xml:space="preserve">2.2 The Specific Checks</w:t>
      </w:r>
    </w:p>
    <w:p>
      <w:pPr>
        <w:spacing w:after="140"/>
        <w:jc w:val="both"/>
      </w:pPr>
      <w:r>
        <w:t xml:space="preserve">Scorecard runs approximately 20 checks against each project. The list evolves but the core categories are stable. A representative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Check</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What it assesses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Binary-Artifacts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the repo checks in precompiled binaries (risky pattern)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Branch-Protection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main branches require review, pass CI, etc.</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CI-Tests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CI runs tests on pull requests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CII-Best-Practices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the project has CII/OpenSSF best-practices badge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Code-Review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recent commits received code review</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Contributors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the project has contributions from multiple organizations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Dangerous-Workflow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CI workflows have dangerous patterns (untrusted input, etc.)</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Dependency-Update-Tool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Dependabot or Renovate is enabled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Fuzzing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the project uses fuzzing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License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the project has a recognized license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Maintained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the project has recent commits and releases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Packaging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the project publishes packages through standard mechanisms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Pinned-Dependencies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dependencies are pinned to specific versions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SAST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the project uses static analysis security tools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Security-Policy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the project has a SECURITY.md file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Signed-Releases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releases are cryptographically signed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Token-Permissions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GitHub Actions use restrictive token permissions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Vulnerabilities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the project has known open vulnerabilities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Webhooks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Whether webhooks require secrets</w:t>
            </w:r>
          </w:p>
        </w:tc>
      </w:tr>
    </w:tbl>
    <w:p>
      <w:pPr>
        <w:spacing w:after="100"/>
      </w:pPr>
      <w:r>
        <w:t xml:space="preserve"/>
      </w:r>
    </w:p>
    <w:p>
      <w:pPr>
        <w:spacing w:after="140"/>
        <w:jc w:val="both"/>
      </w:pPr>
      <w:r>
        <w:t xml:space="preserve">Each check runs deterministically against the repository content and produces a score (typically 0–10) with explanatory details. The overall project score aggregates them. Some checks are binary (either the project has a security policy or does not); others are graded (how many of the last commits received code review).</w:t>
      </w:r>
    </w:p>
    <w:p>
      <w:pPr>
        <w:pStyle w:val="Heading2"/>
        <w:spacing w:after="160" w:before="280"/>
      </w:pPr>
      <w:r>
        <w:rPr>
          <w:b/>
          <w:bCs/>
        </w:rPr>
        <w:t xml:space="preserve">2.3 What Scorecard Does Not Cover</w:t>
      </w:r>
    </w:p>
    <w:p>
      <w:pPr>
        <w:spacing w:after="140"/>
        <w:jc w:val="both"/>
      </w:pPr>
      <w:r>
        <w:t xml:space="preserve">A few things Scorecard specifically does not assess, which is important to understand its scope:</w:t>
      </w:r>
    </w:p>
    <w:p>
      <w:pPr>
        <w:pStyle w:val="ListParagraph"/>
        <w:numPr>
          <w:ilvl w:val="0"/>
          <w:numId w:val="2"/>
        </w:numPr>
        <w:spacing w:after="80"/>
      </w:pPr>
      <w:r>
        <w:t xml:space="preserve">Code quality itself — Scorecard does not examine whether the code is well-written, well-tested, or secure.</w:t>
      </w:r>
    </w:p>
    <w:p>
      <w:pPr>
        <w:pStyle w:val="ListParagraph"/>
        <w:numPr>
          <w:ilvl w:val="0"/>
          <w:numId w:val="2"/>
        </w:numPr>
        <w:spacing w:after="80"/>
      </w:pPr>
      <w:r>
        <w:t xml:space="preserve">Vulnerability history beyond currently open issues — a project with a history of severe issues is not specifically flagged if they have been fixed.</w:t>
      </w:r>
    </w:p>
    <w:p>
      <w:pPr>
        <w:pStyle w:val="ListParagraph"/>
        <w:numPr>
          <w:ilvl w:val="0"/>
          <w:numId w:val="2"/>
        </w:numPr>
        <w:spacing w:after="80"/>
      </w:pPr>
      <w:r>
        <w:t xml:space="preserve">The trustworthiness of specific maintainers — all maintainers are treated equivalently; the Jia Tan style of attack (Module 1 Chapter 6) is not catchable by any automated hygiene check.</w:t>
      </w:r>
    </w:p>
    <w:p>
      <w:pPr>
        <w:pStyle w:val="ListParagraph"/>
        <w:numPr>
          <w:ilvl w:val="0"/>
          <w:numId w:val="2"/>
        </w:numPr>
        <w:spacing w:after="80"/>
      </w:pPr>
      <w:r>
        <w:t xml:space="preserve">The semantic quality of CI — Scorecard checks that CI exists, not that the tests actually test anything useful.</w:t>
      </w:r>
    </w:p>
    <w:p>
      <w:pPr>
        <w:pStyle w:val="ListParagraph"/>
        <w:numPr>
          <w:ilvl w:val="0"/>
          <w:numId w:val="2"/>
        </w:numPr>
        <w:spacing w:after="80"/>
      </w:pPr>
      <w:r>
        <w:t xml:space="preserve">The real strength of cryptographic signatures — Scorecard checks whether signatures exist, not whether they cryptographically bind to the right identity.</w:t>
      </w:r>
    </w:p>
    <w:p>
      <w:pPr>
        <w:spacing w:after="140"/>
        <w:jc w:val="both"/>
      </w:pPr>
      <w:r>
        <w:t xml:space="preserve">These limitations are specific and understood. Scorecard is not a complete security assessment; it is a specific subset of automatable hygiene checks. A project with Scorecard 9.5 is not definitely secure; it has cleared a specific set of baseline hygiene expectations. The score should be combined with other signals (vulnerability history, maintenance activity, community health) for a complete assessment.</w:t>
      </w:r>
    </w:p>
    <w:p>
      <w:pPr>
        <w:pStyle w:val="Heading2"/>
        <w:spacing w:after="160" w:before="280"/>
      </w:pPr>
      <w:r>
        <w:rPr>
          <w:b/>
          <w:bCs/>
        </w:rPr>
        <w:t xml:space="preserve">2.4 How Scorecard Is Used</w:t>
      </w:r>
    </w:p>
    <w:p>
      <w:pPr>
        <w:spacing w:after="140"/>
        <w:jc w:val="both"/>
      </w:pPr>
      <w:r>
        <w:t xml:space="preserve">Several distinct use patterns:</w:t>
      </w:r>
    </w:p>
    <w:p>
      <w:pPr>
        <w:pStyle w:val="ListParagraph"/>
        <w:numPr>
          <w:ilvl w:val="0"/>
          <w:numId w:val="2"/>
        </w:numPr>
        <w:spacing w:after="80"/>
      </w:pPr>
      <w:r>
        <w:rPr>
          <w:b/>
          <w:bCs/>
        </w:rPr>
        <w:t xml:space="preserve">Dependency evaluation. </w:t>
      </w:r>
      <w:r>
        <w:t xml:space="preserve">When adding a new dependency to a project, check its Scorecard score. Dependencies with low scores warrant scrutiny; some organizations set minimum thresholds (e.g., score ≥ 7.0) below which dependencies require explicit approval.</w:t>
      </w:r>
    </w:p>
    <w:p>
      <w:pPr>
        <w:pStyle w:val="ListParagraph"/>
        <w:numPr>
          <w:ilvl w:val="0"/>
          <w:numId w:val="2"/>
        </w:numPr>
        <w:spacing w:after="80"/>
      </w:pPr>
      <w:r>
        <w:rPr>
          <w:b/>
          <w:bCs/>
        </w:rPr>
        <w:t xml:space="preserve">Continuous monitoring. </w:t>
      </w:r>
      <w:r>
        <w:t xml:space="preserve">Periodic scans of the organization's dependency tree against Scorecard data to identify dependencies whose scores have dropped. A dependency whose maintained check went from 10 to 0 suggests the project is no longer maintained — an early warning even before Dependabot flags the stale dependency.</w:t>
      </w:r>
    </w:p>
    <w:p>
      <w:pPr>
        <w:pStyle w:val="ListParagraph"/>
        <w:numPr>
          <w:ilvl w:val="0"/>
          <w:numId w:val="2"/>
        </w:numPr>
        <w:spacing w:after="80"/>
      </w:pPr>
      <w:r>
        <w:rPr>
          <w:b/>
          <w:bCs/>
        </w:rPr>
        <w:t xml:space="preserve">Self-assessment for open-source projects. </w:t>
      </w:r>
      <w:r>
        <w:t xml:space="preserve">Open-source maintainers use Scorecard to assess and improve their own projects' hygiene. The score gives specific actionable items (add a security policy, enable branch protection, sign releases, etc.).</w:t>
      </w:r>
    </w:p>
    <w:p>
      <w:pPr>
        <w:pStyle w:val="ListParagraph"/>
        <w:numPr>
          <w:ilvl w:val="0"/>
          <w:numId w:val="2"/>
        </w:numPr>
        <w:spacing w:after="80"/>
      </w:pPr>
      <w:r>
        <w:rPr>
          <w:b/>
          <w:bCs/>
        </w:rPr>
        <w:t xml:space="preserve">Regulatory and procurement evidence. </w:t>
      </w:r>
      <w:r>
        <w:t xml:space="preserve">'We only use open-source dependencies with Scorecard ≥ 7.0' is a specific supply-chain hygiene practice that can be documented for regulatory or procurement audit.</w:t>
      </w:r>
    </w:p>
    <w:p>
      <w:pPr>
        <w:pStyle w:val="ListParagraph"/>
        <w:numPr>
          <w:ilvl w:val="0"/>
          <w:numId w:val="2"/>
        </w:numPr>
        <w:spacing w:after="80"/>
      </w:pPr>
      <w:r>
        <w:rPr>
          <w:b/>
          <w:bCs/>
        </w:rPr>
        <w:t xml:space="preserve">CI integration. </w:t>
      </w:r>
      <w:r>
        <w:t xml:space="preserve">The scorecard-action GitHub Action runs Scorecard as part of CI, optionally failing the build if the project's own score drops below a threshold. This creates pressure to maintain hygiene within the project itself.</w:t>
      </w:r>
    </w:p>
    <w:p>
      <w:pPr>
        <w:pStyle w:val="Heading2"/>
        <w:spacing w:after="160" w:before="280"/>
      </w:pPr>
      <w:r>
        <w:rPr>
          <w:b/>
          <w:bCs/>
        </w:rPr>
        <w:t xml:space="preserve">2.5 The Community Effect</w:t>
      </w:r>
    </w:p>
    <w:p>
      <w:pPr>
        <w:spacing w:after="140"/>
        <w:jc w:val="both"/>
      </w:pPr>
      <w:r>
        <w:t xml:space="preserve">Scorecard has had a specific community effect worth calling out. Because the scores are publicly visible and the checks are specific, open-source projects have an incentive to improve scores by adopting the practices Scorecard measures. Over several years, the average Scorecard score of popular open-source projects has risen measurably — more projects have security policies, more enable branch protection, more sign their releases.</w:t>
      </w:r>
    </w:p>
    <w:p>
      <w:pPr>
        <w:spacing w:after="140"/>
        <w:jc w:val="both"/>
      </w:pPr>
      <w:r>
        <w:t xml:space="preserve">This is the specific mechanism by which a measurement framework can drive practice change: make it public, make it specific, make it automated. The same project that would not respond to a generic 'be more secure' exhortation responds to 'your Scorecard score is 4.2 because you are missing checks X, Y, Z.' The specificity converts vague improvement goals into actionable technical tasks.</w:t>
      </w:r>
    </w:p>
    <w:p>
      <w:pPr>
        <w:spacing w:after="140"/>
        <w:jc w:val="both"/>
      </w:pPr>
      <w:r>
        <w:t xml:space="preserve">There is some risk that the effect becomes Goodhart's Law — projects optimize for Scorecard specifically rather than overall security. This risk is real but has been partially mitigated by continuous evolution of Scorecard's checks: new checks are added as new hygiene practices become important; checks that turn out to be gameable are refined. The framework has avoided becoming rigid in ways that would amplify the Goodhart concern.</w:t>
      </w:r>
    </w:p>
    <w:p>
      <w:pPr>
        <w:pStyle w:val="Heading2"/>
        <w:spacing w:after="160" w:before="280"/>
      </w:pPr>
      <w:r>
        <w:rPr>
          <w:b/>
          <w:bCs/>
        </w:rPr>
        <w:t xml:space="preserve">2.6 Limitations and Future Direction</w:t>
      </w:r>
    </w:p>
    <w:p>
      <w:pPr>
        <w:spacing w:after="140"/>
        <w:jc w:val="both"/>
      </w:pPr>
      <w:r>
        <w:t xml:space="preserve">Scorecard's main limitations:</w:t>
      </w:r>
    </w:p>
    <w:p>
      <w:pPr>
        <w:pStyle w:val="ListParagraph"/>
        <w:numPr>
          <w:ilvl w:val="0"/>
          <w:numId w:val="2"/>
        </w:numPr>
        <w:spacing w:after="80"/>
      </w:pPr>
      <w:r>
        <w:t xml:space="preserve">Language and ecosystem bias — the checks assume a GitHub-centric, widely-adopted-tooling model. Projects on other forges or using non-standard tooling may score lower without actually being less secure.</w:t>
      </w:r>
    </w:p>
    <w:p>
      <w:pPr>
        <w:pStyle w:val="ListParagraph"/>
        <w:numPr>
          <w:ilvl w:val="0"/>
          <w:numId w:val="2"/>
        </w:numPr>
        <w:spacing w:after="80"/>
      </w:pPr>
      <w:r>
        <w:t xml:space="preserve">Surface-level assessment — as discussed, Scorecard checks for hygiene indicators, not underlying quality. A project that passes all checks may still be compromised or have serious issues invisible to automated scanning.</w:t>
      </w:r>
    </w:p>
    <w:p>
      <w:pPr>
        <w:pStyle w:val="ListParagraph"/>
        <w:numPr>
          <w:ilvl w:val="0"/>
          <w:numId w:val="2"/>
        </w:numPr>
        <w:spacing w:after="80"/>
      </w:pPr>
      <w:r>
        <w:t xml:space="preserve">Commercial software blind spot — Scorecard is specifically for open-source projects. Commercial software's supply-chain posture is assessed by vendor questionnaires and other means (Module 9 Chapter 4), not Scorecard.</w:t>
      </w:r>
    </w:p>
    <w:p>
      <w:pPr>
        <w:pStyle w:val="ListParagraph"/>
        <w:numPr>
          <w:ilvl w:val="0"/>
          <w:numId w:val="2"/>
        </w:numPr>
        <w:spacing w:after="80"/>
      </w:pPr>
      <w:r>
        <w:t xml:space="preserve">Attacker adaptation — once Scorecard's checks become widely used, attackers may specifically construct high-scoring malicious projects. The hygiene indicators Scorecard measures may become less discriminating over time.</w:t>
      </w:r>
    </w:p>
    <w:p>
      <w:pPr>
        <w:spacing w:after="140"/>
        <w:jc w:val="both"/>
      </w:pPr>
      <w:r>
        <w:t xml:space="preserve">Despite these limitations, Scorecard's combination of automation, specificity, and open governance makes it a central tool in the modern supply-chain toolkit. Organizations evaluating open-source dependencies as part of their supply-chain practice should use Scorecard as one input among several; the combination of Scorecard, vulnerability scanning (Module 6), and SLSA verification (Module 2) covers complementary dimensions of the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OpenSSF Scorecard automates assessment of open-source project security hygiene through approximately 20 specific checks (branch protection, CI tests, code review, dependency updates, pinned dependencies, security policy, signed releases, etc.). It produces a 0–10 score per project, with scores publicly maintained for most popular open-source projects. The contribution is automation: assessing dependencies at the scale of modern supply chains requires continuously scoring thousands of projects, which only automation can provide. Uses include dependency evaluation, continuous monitoring, self-assessment, procurement evidence, and CI integration. The framework has driven measurable improvement in open-source project hygiene by making the metrics public and specific. Limitations include surface-level assessment (hygiene indicators, not quality), language/ecosystem bias, and commercial-software blind spot — addressed by combining Scorecard with other evaluation signals.</w:t>
            </w:r>
          </w:p>
        </w:tc>
      </w:tr>
    </w:tbl>
    <w:p>
      <w:r>
        <w:br w:type="page"/>
      </w:r>
    </w:p>
    <w:p>
      <w:pPr>
        <w:pStyle w:val="Heading1"/>
        <w:spacing w:after="200" w:before="360"/>
      </w:pPr>
      <w:r>
        <w:rPr>
          <w:b/>
          <w:bCs/>
        </w:rPr>
        <w:t xml:space="preserve">Chapter 3: in-toto — The Attestation Framework</w:t>
      </w:r>
    </w:p>
    <w:p>
      <w:pPr>
        <w:pStyle w:val="Heading2"/>
        <w:spacing w:after="160" w:before="280"/>
      </w:pPr>
      <w:r>
        <w:rPr>
          <w:b/>
          <w:bCs/>
        </w:rPr>
        <w:t xml:space="preserve">3.1 Recap and Broader Context</w:t>
      </w:r>
    </w:p>
    <w:p>
      <w:pPr>
        <w:spacing w:after="140"/>
        <w:jc w:val="both"/>
      </w:pPr>
      <w:r>
        <w:t xml:space="preserve">Module 5 Chapter 2 introduced in-toto as the attestation format used across the supply-chain ecosystem. This chapter revisits in-toto in the framework-landscape context — what it is as a framework (not just a format), how it originated, and where it fits in the broader landscape of supply-chain standards.</w:t>
      </w:r>
    </w:p>
    <w:p>
      <w:pPr>
        <w:spacing w:after="140"/>
        <w:jc w:val="both"/>
      </w:pPr>
      <w:r>
        <w:rPr>
          <w:b/>
          <w:bCs/>
        </w:rPr>
        <w:t xml:space="preserve">in-toto </w:t>
      </w:r>
      <w:r>
        <w:t xml:space="preserve">is a supply-chain security framework originating from NYU Tandon School of Engineering's Secure Systems Lab, led by Justin Cappos. Its original vision (2016–2018) was more ambitious than what has been widely adopted: in-toto proposed a framework for proving end-to-end integrity of software supply chains by recording attested 'links' for each step of the pipeline (source control, build, packaging, distribution) and verifying the whole chain at consumption time.</w:t>
      </w:r>
    </w:p>
    <w:p>
      <w:pPr>
        <w:spacing w:after="140"/>
        <w:jc w:val="both"/>
      </w:pPr>
      <w:r>
        <w:t xml:space="preserve">What has been widely adopted is the attestation format — the specific data structure for signed supply-chain statements — which has become the universal wrapper for claims about software artifacts. SLSA provenance is an in-toto attestation. SBOMs are commonly distributed as in-toto attestations. Vulnerability scan results are signed as in-toto attestations. The format is the Lingua franca of supply-chain evidence.</w:t>
      </w:r>
    </w:p>
    <w:p>
      <w:pPr>
        <w:spacing w:after="140"/>
        <w:jc w:val="both"/>
      </w:pPr>
      <w:r>
        <w:t xml:space="preserve">The original end-to-end chained-attestation vision — verifying every step of the pipeline against a predeclared layout — has seen more modest adoption. Some organizations use this pattern; most do not. The reason is pragmatic: producing and verifying pipeline-layout documents is operationally heavy, and the partial adoption (verify signatures on artifacts, check SLSA provenance, examine SBOMs) has captured most of the practical value at lower cost.</w:t>
      </w:r>
    </w:p>
    <w:p>
      <w:pPr>
        <w:pStyle w:val="Heading2"/>
        <w:spacing w:after="160" w:before="280"/>
      </w:pPr>
      <w:r>
        <w:rPr>
          <w:b/>
          <w:bCs/>
        </w:rPr>
        <w:t xml:space="preserve">3.2 The Attestation Framework</w:t>
      </w:r>
    </w:p>
    <w:p>
      <w:pPr>
        <w:spacing w:after="140"/>
        <w:jc w:val="both"/>
      </w:pPr>
      <w:r>
        <w:t xml:space="preserve">The in-toto attestation framework consists of:</w:t>
      </w:r>
    </w:p>
    <w:p>
      <w:pPr>
        <w:pStyle w:val="ListParagraph"/>
        <w:numPr>
          <w:ilvl w:val="0"/>
          <w:numId w:val="2"/>
        </w:numPr>
        <w:spacing w:after="80"/>
      </w:pPr>
      <w:r>
        <w:rPr>
          <w:b/>
          <w:bCs/>
        </w:rPr>
        <w:t xml:space="preserve">The Statement format. </w:t>
      </w:r>
      <w:r>
        <w:t xml:space="preserve">A JSON structure with three key fields: subject (what artifact is being discussed), predicate type (what kind of claim is being made), and predicate (the actual claim content). Module 5 Chapter 2 covered this in detail.</w:t>
      </w:r>
    </w:p>
    <w:p>
      <w:pPr>
        <w:pStyle w:val="ListParagraph"/>
        <w:numPr>
          <w:ilvl w:val="0"/>
          <w:numId w:val="2"/>
        </w:numPr>
        <w:spacing w:after="80"/>
      </w:pPr>
      <w:r>
        <w:rPr>
          <w:b/>
          <w:bCs/>
        </w:rPr>
        <w:t xml:space="preserve">The DSSE (Dead Simple Signing Envelope) format. </w:t>
      </w:r>
      <w:r>
        <w:t xml:space="preserve">Wraps the statement for signing. Contains the base64-encoded statement plus signatures. The envelope format is intentionally minimal to avoid signature-validation issues from JSON canonicalization.</w:t>
      </w:r>
    </w:p>
    <w:p>
      <w:pPr>
        <w:pStyle w:val="ListParagraph"/>
        <w:numPr>
          <w:ilvl w:val="0"/>
          <w:numId w:val="2"/>
        </w:numPr>
        <w:spacing w:after="80"/>
      </w:pPr>
      <w:r>
        <w:rPr>
          <w:b/>
          <w:bCs/>
        </w:rPr>
        <w:t xml:space="preserve">Predicate type registry. </w:t>
      </w:r>
      <w:r>
        <w:t xml:space="preserve">A list of URIs identifying different kinds of claims: SLSA provenance, SBOM (SPDX and CycloneDX), vulnerability scans, code review records, test results, and arbitrary custom types. New predicate types can be added without changing the overall framework.</w:t>
      </w:r>
    </w:p>
    <w:p>
      <w:pPr>
        <w:pStyle w:val="ListParagraph"/>
        <w:numPr>
          <w:ilvl w:val="0"/>
          <w:numId w:val="2"/>
        </w:numPr>
        <w:spacing w:after="80"/>
      </w:pPr>
      <w:r>
        <w:rPr>
          <w:b/>
          <w:bCs/>
        </w:rPr>
        <w:t xml:space="preserve">Policy and verification </w:t>
      </w:r>
      <w:r>
        <w:t xml:space="preserve">(the layout specification, in full in-toto). Describes what attestations are required for a given artifact and how to verify them. This is the part that has seen less adoption than the attestation format itself.</w:t>
      </w:r>
    </w:p>
    <w:p>
      <w:pPr>
        <w:pStyle w:val="Heading2"/>
        <w:spacing w:after="160" w:before="280"/>
      </w:pPr>
      <w:r>
        <w:rPr>
          <w:b/>
          <w:bCs/>
        </w:rPr>
        <w:t xml:space="preserve">3.3 Why the Format Succeeded Where the Full Framework Didn't</w:t>
      </w:r>
    </w:p>
    <w:p>
      <w:pPr>
        <w:spacing w:after="140"/>
        <w:jc w:val="both"/>
      </w:pPr>
      <w:r>
        <w:t xml:space="preserve">An interesting case study in standards adoption: the format won; the full framework did not. The specific reasons:</w:t>
      </w:r>
    </w:p>
    <w:p>
      <w:pPr>
        <w:pStyle w:val="ListParagraph"/>
        <w:numPr>
          <w:ilvl w:val="0"/>
          <w:numId w:val="2"/>
        </w:numPr>
        <w:spacing w:after="80"/>
      </w:pPr>
      <w:r>
        <w:rPr>
          <w:b/>
          <w:bCs/>
        </w:rPr>
        <w:t xml:space="preserve">Incremental value. </w:t>
      </w:r>
      <w:r>
        <w:t xml:space="preserve">Adopting the attestation format has immediate value — you can sign evidence and consumers can verify. Adopting the full chained-attestation vision requires predeclaring your pipeline layout, producing attested link metadata at each step, and verifying the chain at consumption time. Much more work, less immediate visible benefit.</w:t>
      </w:r>
    </w:p>
    <w:p>
      <w:pPr>
        <w:pStyle w:val="ListParagraph"/>
        <w:numPr>
          <w:ilvl w:val="0"/>
          <w:numId w:val="2"/>
        </w:numPr>
        <w:spacing w:after="80"/>
      </w:pPr>
      <w:r>
        <w:rPr>
          <w:b/>
          <w:bCs/>
        </w:rPr>
        <w:t xml:space="preserve">Layered adoption path. </w:t>
      </w:r>
      <w:r>
        <w:t xml:space="preserve">You can produce in-toto attestations for one artifact, then two, then more, gradually extending coverage. The full framework requires an architectural commitment at the outset.</w:t>
      </w:r>
    </w:p>
    <w:p>
      <w:pPr>
        <w:pStyle w:val="ListParagraph"/>
        <w:numPr>
          <w:ilvl w:val="0"/>
          <w:numId w:val="2"/>
        </w:numPr>
        <w:spacing w:after="80"/>
      </w:pPr>
      <w:r>
        <w:rPr>
          <w:b/>
          <w:bCs/>
        </w:rPr>
        <w:t xml:space="preserve">Composability with other work. </w:t>
      </w:r>
      <w:r>
        <w:t xml:space="preserve">in-toto attestations work with Sigstore for signing, with SLSA for specific predicate types, with various SBOM formats. The framework's modularity let it become a common substrate. The full chained-attestation model is more prescriptive and harder to compose with existing tooling.</w:t>
      </w:r>
    </w:p>
    <w:p>
      <w:pPr>
        <w:pStyle w:val="ListParagraph"/>
        <w:numPr>
          <w:ilvl w:val="0"/>
          <w:numId w:val="2"/>
        </w:numPr>
        <w:spacing w:after="80"/>
      </w:pPr>
      <w:r>
        <w:rPr>
          <w:b/>
          <w:bCs/>
        </w:rPr>
        <w:t xml:space="preserve">Real-world verification is pragmatic. </w:t>
      </w:r>
      <w:r>
        <w:t xml:space="preserve">Most organizations' verification needs are 'is this signed by the expected signer?' and 'does this attest to properties I require?' — not 'does this pipeline match a pre-declared layout?' The simpler verification model matches how supply-chain security actually gets practiced.</w:t>
      </w:r>
    </w:p>
    <w:p>
      <w:pPr>
        <w:pStyle w:val="Heading2"/>
        <w:spacing w:after="160" w:before="280"/>
      </w:pPr>
      <w:r>
        <w:rPr>
          <w:b/>
          <w:bCs/>
        </w:rPr>
        <w:t xml:space="preserve">3.4 The in-toto Specification and Its Maintenance</w:t>
      </w:r>
    </w:p>
    <w:p>
      <w:pPr>
        <w:spacing w:after="140"/>
        <w:jc w:val="both"/>
      </w:pPr>
      <w:r>
        <w:t xml:space="preserve">The in-toto specification is maintained at in-toto.io, with governance through the in-toto project's maintainer community. The specification is hosted under CNCF's adjacent work, though in-toto itself is not a CNCF project (distinct from SLSA which is OpenSSF, and Sigstore which is Linux Foundation — reflecting how the governance of these interrelated frameworks is distributed across multiple organizations).</w:t>
      </w:r>
    </w:p>
    <w:p>
      <w:pPr>
        <w:spacing w:after="140"/>
        <w:jc w:val="both"/>
      </w:pPr>
      <w:r>
        <w:t xml:space="preserve">The specification is versioned. Current major versions:</w:t>
      </w:r>
    </w:p>
    <w:p>
      <w:pPr>
        <w:pStyle w:val="ListParagraph"/>
        <w:numPr>
          <w:ilvl w:val="0"/>
          <w:numId w:val="2"/>
        </w:numPr>
        <w:spacing w:after="80"/>
      </w:pPr>
      <w:r>
        <w:t xml:space="preserve">Statement v1: the primary attestation format, stable for several years.</w:t>
      </w:r>
    </w:p>
    <w:p>
      <w:pPr>
        <w:pStyle w:val="ListParagraph"/>
        <w:numPr>
          <w:ilvl w:val="0"/>
          <w:numId w:val="2"/>
        </w:numPr>
        <w:spacing w:after="80"/>
      </w:pPr>
      <w:r>
        <w:t xml:space="preserve">Attestation framework v0.1 and v1.0: the broader attestation concepts, governance, and predicate type registry.</w:t>
      </w:r>
    </w:p>
    <w:p>
      <w:pPr>
        <w:pStyle w:val="ListParagraph"/>
        <w:numPr>
          <w:ilvl w:val="0"/>
          <w:numId w:val="2"/>
        </w:numPr>
        <w:spacing w:after="80"/>
      </w:pPr>
      <w:r>
        <w:t xml:space="preserve">DSSE: signing-envelope format; standardized through the Secure Systems Lab.</w:t>
      </w:r>
    </w:p>
    <w:p>
      <w:pPr>
        <w:spacing w:after="140"/>
        <w:jc w:val="both"/>
      </w:pPr>
      <w:r>
        <w:t xml:space="preserve">The specification work continues to evolve — new predicate types are added, the framework accommodates new use cases, the tooling improves. The stability of the core format means that attestations produced today will be verifiable by tools ten years from now, an important property for long-term supply-chain records.</w:t>
      </w:r>
    </w:p>
    <w:p>
      <w:pPr>
        <w:pStyle w:val="Heading2"/>
        <w:spacing w:after="160" w:before="280"/>
      </w:pPr>
      <w:r>
        <w:rPr>
          <w:b/>
          <w:bCs/>
        </w:rPr>
        <w:t xml:space="preserve">3.5 Tooling and Ecosystem</w:t>
      </w:r>
    </w:p>
    <w:p>
      <w:pPr>
        <w:spacing w:after="140"/>
        <w:jc w:val="both"/>
      </w:pPr>
      <w:r>
        <w:t xml:space="preserve">in-toto is supported by a broad tooling ecosystem:</w:t>
      </w:r>
    </w:p>
    <w:p>
      <w:pPr>
        <w:pStyle w:val="ListParagraph"/>
        <w:numPr>
          <w:ilvl w:val="0"/>
          <w:numId w:val="2"/>
        </w:numPr>
        <w:spacing w:after="80"/>
      </w:pPr>
      <w:r>
        <w:t xml:space="preserve">Cosign: produces and verifies in-toto attestations via cosign attest / cosign verify-attestation.</w:t>
      </w:r>
    </w:p>
    <w:p>
      <w:pPr>
        <w:pStyle w:val="ListParagraph"/>
        <w:numPr>
          <w:ilvl w:val="0"/>
          <w:numId w:val="2"/>
        </w:numPr>
        <w:spacing w:after="80"/>
      </w:pPr>
      <w:r>
        <w:t xml:space="preserve">in-toto CLI: a reference implementation for producing and verifying attestations.</w:t>
      </w:r>
    </w:p>
    <w:p>
      <w:pPr>
        <w:pStyle w:val="ListParagraph"/>
        <w:numPr>
          <w:ilvl w:val="0"/>
          <w:numId w:val="2"/>
        </w:numPr>
        <w:spacing w:after="80"/>
      </w:pPr>
      <w:r>
        <w:t xml:space="preserve">slsa-github-generator: produces in-toto-wrapped SLSA provenance in GitHub Actions.</w:t>
      </w:r>
    </w:p>
    <w:p>
      <w:pPr>
        <w:pStyle w:val="ListParagraph"/>
        <w:numPr>
          <w:ilvl w:val="0"/>
          <w:numId w:val="2"/>
        </w:numPr>
        <w:spacing w:after="80"/>
      </w:pPr>
      <w:r>
        <w:t xml:space="preserve">Kyverno, OPA Gatekeeper, other admission controllers: consume and verify in-toto attestations at Kubernetes admission.</w:t>
      </w:r>
    </w:p>
    <w:p>
      <w:pPr>
        <w:pStyle w:val="ListParagraph"/>
        <w:numPr>
          <w:ilvl w:val="0"/>
          <w:numId w:val="2"/>
        </w:numPr>
        <w:spacing w:after="80"/>
      </w:pPr>
      <w:r>
        <w:t xml:space="preserve">Dependency-Track, GUAC: ingest in-toto attestations for SBOM and provenance data.</w:t>
      </w:r>
    </w:p>
    <w:p>
      <w:pPr>
        <w:pStyle w:val="ListParagraph"/>
        <w:numPr>
          <w:ilvl w:val="0"/>
          <w:numId w:val="2"/>
        </w:numPr>
        <w:spacing w:after="80"/>
      </w:pPr>
      <w:r>
        <w:t xml:space="preserve">GitHub Attestations: GitHub's attestation-generation and verification system produces in-toto attestations.</w:t>
      </w:r>
    </w:p>
    <w:p>
      <w:pPr>
        <w:spacing w:after="140"/>
        <w:jc w:val="both"/>
      </w:pPr>
      <w:r>
        <w:t xml:space="preserve">The universality of the format is what has allowed all these tools to interoperate. A provenance attestation produced by slsa-github-generator can be verified by Kyverno, ingested by Dependency-Track, and cross-referenced by GUAC — all using the same in-toto format without any translation.</w:t>
      </w:r>
    </w:p>
    <w:p>
      <w:pPr>
        <w:pStyle w:val="Heading2"/>
        <w:spacing w:after="160" w:before="280"/>
      </w:pPr>
      <w:r>
        <w:rPr>
          <w:b/>
          <w:bCs/>
        </w:rPr>
        <w:t xml:space="preserve">3.6 Practical Implications</w:t>
      </w:r>
    </w:p>
    <w:p>
      <w:pPr>
        <w:spacing w:after="140"/>
        <w:jc w:val="both"/>
      </w:pPr>
      <w:r>
        <w:t xml:space="preserve">For practitioners, understanding in-toto matters because:</w:t>
      </w:r>
    </w:p>
    <w:p>
      <w:pPr>
        <w:pStyle w:val="ListParagraph"/>
        <w:numPr>
          <w:ilvl w:val="0"/>
          <w:numId w:val="2"/>
        </w:numPr>
        <w:spacing w:after="80"/>
      </w:pPr>
      <w:r>
        <w:t xml:space="preserve">It is the format you are producing when you sign attestations with cosign attest, even if you think of yourself as using SLSA or signing SBOMs.</w:t>
      </w:r>
    </w:p>
    <w:p>
      <w:pPr>
        <w:pStyle w:val="ListParagraph"/>
        <w:numPr>
          <w:ilvl w:val="0"/>
          <w:numId w:val="2"/>
        </w:numPr>
        <w:spacing w:after="80"/>
      </w:pPr>
      <w:r>
        <w:t xml:space="preserve">It is the format consumers receive when they verify your attestations, regardless of which specific evidence type (provenance, SBOM, vulnerability scan) they care about.</w:t>
      </w:r>
    </w:p>
    <w:p>
      <w:pPr>
        <w:pStyle w:val="ListParagraph"/>
        <w:numPr>
          <w:ilvl w:val="0"/>
          <w:numId w:val="2"/>
        </w:numPr>
        <w:spacing w:after="80"/>
      </w:pPr>
      <w:r>
        <w:t xml:space="preserve">Custom organizational attestations (code review records, approval records, internal compliance checks) are in-toto attestations with custom predicate types.</w:t>
      </w:r>
    </w:p>
    <w:p>
      <w:pPr>
        <w:pStyle w:val="ListParagraph"/>
        <w:numPr>
          <w:ilvl w:val="0"/>
          <w:numId w:val="2"/>
        </w:numPr>
        <w:spacing w:after="80"/>
      </w:pPr>
      <w:r>
        <w:t xml:space="preserve">The predicate type registry is where new evidence types get standardized; contributing to or tracking this registry matters for organizations producing novel attestation types.</w:t>
      </w:r>
    </w:p>
    <w:p>
      <w:pPr>
        <w:spacing w:after="140"/>
        <w:jc w:val="both"/>
      </w:pPr>
      <w:r>
        <w:t xml:space="preserve">In effect, in-toto is infrastructure you are using whether you know it or not. Direct familiarity with the specification matters most for organizations doing custom attestation work; for organizations consuming standard attestation types (SLSA, SBOM, vuln scan), the framework is mostly invisible — you use the tools, and the format happens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in-toto is the supply-chain attestation framework originating from NYU's Secure Systems Lab. Its attestation format — Statement (subject + predicate type + predicate) wrapped in DSSE envelope for signing — has become the universal wrapper for supply-chain claims, used by SLSA provenance, SBOMs, vulnerability scans, and custom attestations. The full original framework (pipeline-layout-based chained attestation) has seen less adoption because the attestation format alone captures most practical value at lower cost. The format has succeeded through incremental-value adoption, composability with other tools (Sigstore, SLSA, SBOM formats), and pragmatic matching to real verification needs. For practitioners, in-toto is infrastructure used implicitly through tools like Cosign, slsa-github-generator, Kyverno, and admission controllers — direct familiarity matters most for custom attestation work.</w:t>
            </w:r>
          </w:p>
        </w:tc>
      </w:tr>
    </w:tbl>
    <w:p>
      <w:r>
        <w:br w:type="page"/>
      </w:r>
    </w:p>
    <w:p>
      <w:pPr>
        <w:pStyle w:val="Heading1"/>
        <w:spacing w:after="200" w:before="360"/>
      </w:pPr>
      <w:r>
        <w:rPr>
          <w:b/>
          <w:bCs/>
        </w:rPr>
        <w:t xml:space="preserve">Chapter 4: Microsoft S2C2F — Secure Supply Chain Consumption Framework</w:t>
      </w:r>
    </w:p>
    <w:p>
      <w:pPr>
        <w:pStyle w:val="Heading2"/>
        <w:spacing w:after="160" w:before="280"/>
      </w:pPr>
      <w:r>
        <w:rPr>
          <w:b/>
          <w:bCs/>
        </w:rPr>
        <w:t xml:space="preserve">4.1 What S2C2F Is</w:t>
      </w:r>
    </w:p>
    <w:p>
      <w:pPr>
        <w:spacing w:after="140"/>
        <w:jc w:val="both"/>
      </w:pPr>
      <w:r>
        <w:rPr>
          <w:b/>
          <w:bCs/>
        </w:rPr>
        <w:t xml:space="preserve">S2C2F (Secure Supply Chain Consumption Framework) </w:t>
      </w:r>
      <w:r>
        <w:t xml:space="preserve">is a framework published by Microsoft in 2022, focused specifically on the consumption side of supply-chain security — how organizations safely consume open-source software. Where SLSA addresses how software is produced, S2C2F addresses how consumers of that software should vet, manage, and operate on it. The framework consolidates Microsoft's internal practices for managing the thousands of open-source dependencies in Microsoft products, published as external guidance for other organizations.</w:t>
      </w:r>
    </w:p>
    <w:p>
      <w:pPr>
        <w:spacing w:after="140"/>
        <w:jc w:val="both"/>
      </w:pPr>
      <w:r>
        <w:t xml:space="preserve">Key facts:</w:t>
      </w:r>
    </w:p>
    <w:p>
      <w:pPr>
        <w:pStyle w:val="ListParagraph"/>
        <w:numPr>
          <w:ilvl w:val="0"/>
          <w:numId w:val="2"/>
        </w:numPr>
        <w:spacing w:after="80"/>
      </w:pPr>
      <w:r>
        <w:t xml:space="preserve">Published by Microsoft in 2022, subsequently contributed to the OpenSSF and now maintained under the OpenSSF's S2C2F SIG (Special Interest Group).</w:t>
      </w:r>
    </w:p>
    <w:p>
      <w:pPr>
        <w:pStyle w:val="ListParagraph"/>
        <w:numPr>
          <w:ilvl w:val="0"/>
          <w:numId w:val="2"/>
        </w:numPr>
        <w:spacing w:after="80"/>
      </w:pPr>
      <w:r>
        <w:t xml:space="preserve">Covers the consumption lifecycle: ingestion, inventory, updates, audit, enforcement, rebuild-and-ship.</w:t>
      </w:r>
    </w:p>
    <w:p>
      <w:pPr>
        <w:pStyle w:val="ListParagraph"/>
        <w:numPr>
          <w:ilvl w:val="0"/>
          <w:numId w:val="2"/>
        </w:numPr>
        <w:spacing w:after="80"/>
      </w:pPr>
      <w:r>
        <w:t xml:space="preserve">Defines eight practice areas with specific requirements at four maturity levels.</w:t>
      </w:r>
    </w:p>
    <w:p>
      <w:pPr>
        <w:pStyle w:val="ListParagraph"/>
        <w:numPr>
          <w:ilvl w:val="0"/>
          <w:numId w:val="2"/>
        </w:numPr>
        <w:spacing w:after="80"/>
      </w:pPr>
      <w:r>
        <w:t xml:space="preserve">Practitioner-oriented — intended as guidance for implementers, not just compliance documentation.</w:t>
      </w:r>
    </w:p>
    <w:p>
      <w:pPr>
        <w:spacing w:after="140"/>
        <w:jc w:val="both"/>
      </w:pPr>
      <w:r>
        <w:t xml:space="preserve">The specific contribution of S2C2F is its focus on consumption. Most frameworks in this module address production (producers: how should you secure your supply chain?). S2C2F asks: given that most organizations consume orders of magnitude more software than they produce, what specifically should they do with that consumption? It is the framework for Modules 6 and 9 of this curriculum in a structured form — dependency management, inventory, auditing, enforcement — at organizational scale.</w:t>
      </w:r>
    </w:p>
    <w:p>
      <w:pPr>
        <w:pStyle w:val="Heading2"/>
        <w:spacing w:after="160" w:before="280"/>
      </w:pPr>
      <w:r>
        <w:rPr>
          <w:b/>
          <w:bCs/>
        </w:rPr>
        <w:t xml:space="preserve">4.2 The Eight Practice Areas</w:t>
      </w:r>
    </w:p>
    <w:p>
      <w:pPr>
        <w:spacing w:after="140"/>
        <w:jc w:val="both"/>
      </w:pPr>
      <w:r>
        <w:t xml:space="preserve">S2C2F organizes its requirements into eight practice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Practice area</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What it covers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Ingest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How to bring open-source into your organization safely</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Inventory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Track what open-source is consumed and where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Update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Keep consumed open-source current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Enforce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Policies and tooling to enforce compliant consumption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Audit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Verify ongoing compliance with internal practices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Scan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Detect vulnerabilities and license issues in consumed OSS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Rebuild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Rebuild critical open-source from source when appropriate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Fix + Upstream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Fix issues in OSS and contribute back upstream</w:t>
            </w:r>
          </w:p>
        </w:tc>
      </w:tr>
    </w:tbl>
    <w:p>
      <w:pPr>
        <w:spacing w:after="100"/>
      </w:pPr>
      <w:r>
        <w:t xml:space="preserve"/>
      </w:r>
    </w:p>
    <w:p>
      <w:pPr>
        <w:spacing w:after="140"/>
        <w:jc w:val="both"/>
      </w:pPr>
      <w:r>
        <w:t xml:space="preserve">Each practice area has specific requirements graduated across maturity levels (Level 1 through Level 4). A Level-1 maturity in Inventory might be 'maintain a basic list of consumed packages'; a Level-4 maturity might be 'full SBOM-based inventory with automated queryability and cross-vendor visibility.' The graduated levels let organizations adopt S2C2F incrementally, improving maturity over time.</w:t>
      </w:r>
    </w:p>
    <w:p>
      <w:pPr>
        <w:pStyle w:val="Heading2"/>
        <w:spacing w:after="160" w:before="280"/>
      </w:pPr>
      <w:r>
        <w:rPr>
          <w:b/>
          <w:bCs/>
        </w:rPr>
        <w:t xml:space="preserve">4.3 The Maturity Levels</w:t>
      </w:r>
    </w:p>
    <w:p>
      <w:pPr>
        <w:spacing w:after="140"/>
        <w:jc w:val="both"/>
      </w:pPr>
      <w:r>
        <w:t xml:space="preserve">The four maturity levels map roughly to organizational capability:</w:t>
      </w:r>
    </w:p>
    <w:p>
      <w:pPr>
        <w:pStyle w:val="ListParagraph"/>
        <w:numPr>
          <w:ilvl w:val="0"/>
          <w:numId w:val="2"/>
        </w:numPr>
        <w:spacing w:after="80"/>
      </w:pPr>
      <w:r>
        <w:rPr>
          <w:b/>
          <w:bCs/>
        </w:rPr>
        <w:t xml:space="preserve">Level 1 (Minimal). </w:t>
      </w:r>
      <w:r>
        <w:t xml:space="preserve">Basic practices that any organization consuming open-source should have: some form of dependency tracking, some form of scanning, some form of update process. This is the minimum-viable floor.</w:t>
      </w:r>
    </w:p>
    <w:p>
      <w:pPr>
        <w:pStyle w:val="ListParagraph"/>
        <w:numPr>
          <w:ilvl w:val="0"/>
          <w:numId w:val="2"/>
        </w:numPr>
        <w:spacing w:after="80"/>
      </w:pPr>
      <w:r>
        <w:rPr>
          <w:b/>
          <w:bCs/>
        </w:rPr>
        <w:t xml:space="preserve">Level 2 (Managed). </w:t>
      </w:r>
      <w:r>
        <w:t xml:space="preserve">Systematic approaches that are tracked and managed: automated scanning in CI, managed update cadence, policy-based ingestion, basic inventory.</w:t>
      </w:r>
    </w:p>
    <w:p>
      <w:pPr>
        <w:pStyle w:val="ListParagraph"/>
        <w:numPr>
          <w:ilvl w:val="0"/>
          <w:numId w:val="2"/>
        </w:numPr>
        <w:spacing w:after="80"/>
      </w:pPr>
      <w:r>
        <w:rPr>
          <w:b/>
          <w:bCs/>
        </w:rPr>
        <w:t xml:space="preserve">Level 3 (Advanced). </w:t>
      </w:r>
      <w:r>
        <w:t xml:space="preserve">Automated enforcement, detailed inventory (including SBOMs), continuous update processes, and comprehensive auditing. This is where most mature organizations operate.</w:t>
      </w:r>
    </w:p>
    <w:p>
      <w:pPr>
        <w:pStyle w:val="ListParagraph"/>
        <w:numPr>
          <w:ilvl w:val="0"/>
          <w:numId w:val="2"/>
        </w:numPr>
        <w:spacing w:after="80"/>
      </w:pPr>
      <w:r>
        <w:rPr>
          <w:b/>
          <w:bCs/>
        </w:rPr>
        <w:t xml:space="preserve">Level 4 (Best-in-class). </w:t>
      </w:r>
      <w:r>
        <w:t xml:space="preserve">Includes rebuild capability for critical dependencies, active contribution to upstream, adversarial exercises against the consumption pipeline. This is Microsoft-scale practice that only specific organizations (major tech companies, security-critical industries) achieve.</w:t>
      </w:r>
    </w:p>
    <w:p>
      <w:pPr>
        <w:spacing w:after="140"/>
        <w:jc w:val="both"/>
      </w:pPr>
      <w:r>
        <w:t xml:space="preserve">The graduated maturity structure is deliberate. Most organizations start below Level 1 (practices exist informally but not systematically). Moving to Level 1 is substantial work; moving to Level 2 is more substantial. Level 4 is not an expected target for most organizations; it describes the best-in-class for those with substantial investment capacity.</w:t>
      </w:r>
    </w:p>
    <w:p>
      <w:pPr>
        <w:pStyle w:val="Heading2"/>
        <w:spacing w:after="160" w:before="280"/>
      </w:pPr>
      <w:r>
        <w:rPr>
          <w:b/>
          <w:bCs/>
        </w:rPr>
        <w:t xml:space="preserve">4.4 How S2C2F Relates to Other Frameworks</w:t>
      </w:r>
    </w:p>
    <w:p>
      <w:pPr>
        <w:spacing w:after="140"/>
        <w:jc w:val="both"/>
      </w:pPr>
      <w:r>
        <w:t xml:space="preserve">S2C2F's positioning relative to other frameworks in this module:</w:t>
      </w:r>
    </w:p>
    <w:p>
      <w:pPr>
        <w:pStyle w:val="ListParagraph"/>
        <w:numPr>
          <w:ilvl w:val="0"/>
          <w:numId w:val="2"/>
        </w:numPr>
        <w:spacing w:after="80"/>
      </w:pPr>
      <w:r>
        <w:rPr>
          <w:b/>
          <w:bCs/>
        </w:rPr>
        <w:t xml:space="preserve">Complements SLSA. </w:t>
      </w:r>
      <w:r>
        <w:t xml:space="preserve">SLSA is about production; S2C2F is about consumption. An organization that is both a producer and consumer of software can adopt both. S2C2F's practices often assume consumers of SLSA-attested software; producers of SLSA attestations make downstream S2C2F adoption easier.</w:t>
      </w:r>
    </w:p>
    <w:p>
      <w:pPr>
        <w:pStyle w:val="ListParagraph"/>
        <w:numPr>
          <w:ilvl w:val="0"/>
          <w:numId w:val="2"/>
        </w:numPr>
        <w:spacing w:after="80"/>
      </w:pPr>
      <w:r>
        <w:rPr>
          <w:b/>
          <w:bCs/>
        </w:rPr>
        <w:t xml:space="preserve">Aligns with NIST SSDF. </w:t>
      </w:r>
      <w:r>
        <w:t xml:space="preserve">Both address secure software practices; S2C2F focuses specifically on consumption while SSDF covers broader development. Organizations mapping to both find substantial overlap but S2C2F has more consumption-specific detail.</w:t>
      </w:r>
    </w:p>
    <w:p>
      <w:pPr>
        <w:pStyle w:val="ListParagraph"/>
        <w:numPr>
          <w:ilvl w:val="0"/>
          <w:numId w:val="2"/>
        </w:numPr>
        <w:spacing w:after="80"/>
      </w:pPr>
      <w:r>
        <w:rPr>
          <w:b/>
          <w:bCs/>
        </w:rPr>
        <w:t xml:space="preserve">Implements parts of Module 9 (Organization Practices). </w:t>
      </w:r>
      <w:r>
        <w:t xml:space="preserve">S2C2F's practice areas (Inventory, Audit, Update, Enforce) map directly to Chapters 1, 3, 5, and related chapters of Module 9. An organization following Module 9's guidance has implemented much of S2C2F Levels 1-2.</w:t>
      </w:r>
    </w:p>
    <w:p>
      <w:pPr>
        <w:pStyle w:val="ListParagraph"/>
        <w:numPr>
          <w:ilvl w:val="0"/>
          <w:numId w:val="2"/>
        </w:numPr>
        <w:spacing w:after="80"/>
      </w:pPr>
      <w:r>
        <w:rPr>
          <w:b/>
          <w:bCs/>
        </w:rPr>
        <w:t xml:space="preserve">References SLSA and Sigstore. </w:t>
      </w:r>
      <w:r>
        <w:t xml:space="preserve">Higher S2C2F levels specifically reference SLSA verification and Sigstore signature checking as required practices. S2C2F is not a competitor to these technical frameworks; it is guidance on how to deploy them in an organizational consumption pipeline.</w:t>
      </w:r>
    </w:p>
    <w:p>
      <w:pPr>
        <w:pStyle w:val="Heading2"/>
        <w:spacing w:after="160" w:before="280"/>
      </w:pPr>
      <w:r>
        <w:rPr>
          <w:b/>
          <w:bCs/>
        </w:rPr>
        <w:t xml:space="preserve">4.5 Practical Adoption</w:t>
      </w:r>
    </w:p>
    <w:p>
      <w:pPr>
        <w:spacing w:after="140"/>
        <w:jc w:val="both"/>
      </w:pPr>
      <w:r>
        <w:t xml:space="preserve">Organizations considering S2C2F typically approach it as:</w:t>
      </w:r>
    </w:p>
    <w:p>
      <w:pPr>
        <w:pStyle w:val="ListParagraph"/>
        <w:numPr>
          <w:ilvl w:val="0"/>
          <w:numId w:val="2"/>
        </w:numPr>
        <w:spacing w:after="80"/>
      </w:pPr>
      <w:r>
        <w:rPr>
          <w:b/>
          <w:bCs/>
        </w:rPr>
        <w:t xml:space="preserve">Gap assessment tool. </w:t>
      </w:r>
      <w:r>
        <w:t xml:space="preserve">Map the organization's current practices against S2C2F requirements. Identify gaps; prioritize remediation. This is the most common use.</w:t>
      </w:r>
    </w:p>
    <w:p>
      <w:pPr>
        <w:pStyle w:val="ListParagraph"/>
        <w:numPr>
          <w:ilvl w:val="0"/>
          <w:numId w:val="2"/>
        </w:numPr>
        <w:spacing w:after="80"/>
      </w:pPr>
      <w:r>
        <w:rPr>
          <w:b/>
          <w:bCs/>
        </w:rPr>
        <w:t xml:space="preserve">Roadmap framework. </w:t>
      </w:r>
      <w:r>
        <w:t xml:space="preserve">Use the maturity levels to plan multi-year improvement. 'This year we reach Level 2 across all practice areas; next year we target Level 3 in Inventory and Enforce.'</w:t>
      </w:r>
    </w:p>
    <w:p>
      <w:pPr>
        <w:pStyle w:val="ListParagraph"/>
        <w:numPr>
          <w:ilvl w:val="0"/>
          <w:numId w:val="2"/>
        </w:numPr>
        <w:spacing w:after="80"/>
      </w:pPr>
      <w:r>
        <w:rPr>
          <w:b/>
          <w:bCs/>
        </w:rPr>
        <w:t xml:space="preserve">Vendor assessment template. </w:t>
      </w:r>
      <w:r>
        <w:t xml:space="preserve">When evaluating software vendors, ask what S2C2F level they operate at. Vendors at higher levels have more robust consumption practices — a positive signal about their overall discipline.</w:t>
      </w:r>
    </w:p>
    <w:p>
      <w:pPr>
        <w:pStyle w:val="ListParagraph"/>
        <w:numPr>
          <w:ilvl w:val="0"/>
          <w:numId w:val="2"/>
        </w:numPr>
        <w:spacing w:after="80"/>
      </w:pPr>
      <w:r>
        <w:rPr>
          <w:b/>
          <w:bCs/>
        </w:rPr>
        <w:t xml:space="preserve">Compliance mapping. </w:t>
      </w:r>
      <w:r>
        <w:t xml:space="preserve">For organizations subject to regulatory requirements (see Chapter 7's CRA and Chapter 5's SSDF), S2C2F provides a structured way to demonstrate consumption-side practices as part of broader compliance evidence.</w:t>
      </w:r>
    </w:p>
    <w:p>
      <w:pPr>
        <w:spacing w:after="140"/>
        <w:jc w:val="both"/>
      </w:pPr>
      <w:r>
        <w:t xml:space="preserve">The framework is most useful for organizations that are systematic consumers of open-source software — which is most modern organizations. Organizations that produce significant software should combine S2C2F with SLSA and SSDF for broader coverage; organizations whose main supply-chain risk is consumption (most enterprises using open-source and vendor software) find S2C2F a focused tool for their specific need.</w:t>
      </w:r>
    </w:p>
    <w:p>
      <w:pPr>
        <w:pStyle w:val="Heading2"/>
        <w:spacing w:after="160" w:before="280"/>
      </w:pPr>
      <w:r>
        <w:rPr>
          <w:b/>
          <w:bCs/>
        </w:rPr>
        <w:t xml:space="preserve">4.6 Community and Evolution</w:t>
      </w:r>
    </w:p>
    <w:p>
      <w:pPr>
        <w:spacing w:after="140"/>
        <w:jc w:val="both"/>
      </w:pPr>
      <w:r>
        <w:t xml:space="preserve">S2C2F's transition from Microsoft-published to OpenSSF-maintained is significant. Microsoft's original publication was excellent material but specifically Microsoft's framework. OpenSSF maintenance makes it a neutral, community-governed framework that can evolve based on broader input. The SIG structure under OpenSSF enables specific working groups to develop the framework further — new requirements, better mapping to other frameworks, evolving maturity criteria.</w:t>
      </w:r>
    </w:p>
    <w:p>
      <w:pPr>
        <w:spacing w:after="140"/>
        <w:jc w:val="both"/>
      </w:pPr>
      <w:r>
        <w:t xml:space="preserve">The practical effect is that S2C2F is now framed as one of the OpenSSF's family of frameworks, alongside SLSA and Scorecard, with coherent governance across them. Organizations adopting one OpenSSF framework find the others accessible through the same community and with consistent governance patterns. This reduces the framework-learning cost of broader OpenSSF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S2C2F (Secure Supply Chain Consumption Framework) is Microsoft's consumption-focused supply-chain framework, now maintained under OpenSSF. It covers eight practice areas (Ingest, Inventory, Update, Enforce, Audit, Scan, Rebuild, Fix + Upstream) across four maturity levels from basic to best-in-class. Its contribution is focus on consumption — how organizations safely consume open-source and vendor software — complementing production-focused frameworks like SLSA. It maps closely to Module 9's organizational practices chapters. Practical uses include gap assessment, multi-year roadmap planning, vendor evaluation, and compliance mapping. The transition to OpenSSF governance makes it a neutral community-governed framework alongside SLSA and Scorecard in the OpenSSF family.</w:t>
            </w:r>
          </w:p>
        </w:tc>
      </w:tr>
    </w:tbl>
    <w:p>
      <w:r>
        <w:br w:type="page"/>
      </w:r>
    </w:p>
    <w:p>
      <w:pPr>
        <w:pStyle w:val="Heading1"/>
        <w:spacing w:after="200" w:before="360"/>
      </w:pPr>
      <w:r>
        <w:rPr>
          <w:b/>
          <w:bCs/>
        </w:rPr>
        <w:t xml:space="preserve">Chapter 5: NIST SSDF — Secure Software Development Framework</w:t>
      </w:r>
    </w:p>
    <w:p>
      <w:pPr>
        <w:pStyle w:val="Heading2"/>
        <w:spacing w:after="160" w:before="280"/>
      </w:pPr>
      <w:r>
        <w:rPr>
          <w:b/>
          <w:bCs/>
        </w:rPr>
        <w:t xml:space="preserve">5.1 What NIST SSDF Is</w:t>
      </w:r>
    </w:p>
    <w:p>
      <w:pPr>
        <w:spacing w:after="140"/>
        <w:jc w:val="both"/>
      </w:pPr>
      <w:r>
        <w:rPr>
          <w:b/>
          <w:bCs/>
        </w:rPr>
        <w:t xml:space="preserve">NIST SSDF (Secure Software Development Framework) </w:t>
      </w:r>
      <w:r>
        <w:t xml:space="preserve">is a framework published by the US National Institute of Standards and Technology (as NIST SP 800-218) describing practices for secure software development. Unlike the frameworks focused specifically on supply chain (SLSA, S2C2F) or specific technical domains (in-toto, Sigstore), SSDF covers the full software development lifecycle: people, processes, technical practices, and responses. Supply-chain security is a specific subset of SSDF; secure coding, threat modeling, and vulnerability management are other subsets.</w:t>
      </w:r>
    </w:p>
    <w:p>
      <w:pPr>
        <w:spacing w:after="140"/>
        <w:jc w:val="both"/>
      </w:pPr>
      <w:r>
        <w:t xml:space="preserve">Key facts:</w:t>
      </w:r>
    </w:p>
    <w:p>
      <w:pPr>
        <w:pStyle w:val="ListParagraph"/>
        <w:numPr>
          <w:ilvl w:val="0"/>
          <w:numId w:val="2"/>
        </w:numPr>
        <w:spacing w:after="80"/>
      </w:pPr>
      <w:r>
        <w:t xml:space="preserve">Published by NIST (part of the US Department of Commerce); current version is SSDF v1.1 (SP 800-218) from 2022.</w:t>
      </w:r>
    </w:p>
    <w:p>
      <w:pPr>
        <w:pStyle w:val="ListParagraph"/>
        <w:numPr>
          <w:ilvl w:val="0"/>
          <w:numId w:val="2"/>
        </w:numPr>
        <w:spacing w:after="80"/>
      </w:pPr>
      <w:r>
        <w:t xml:space="preserve">Derived from existing secure-development literature (BSIMM, OWASP, Microsoft SDL) and distilled into a common framework.</w:t>
      </w:r>
    </w:p>
    <w:p>
      <w:pPr>
        <w:pStyle w:val="ListParagraph"/>
        <w:numPr>
          <w:ilvl w:val="0"/>
          <w:numId w:val="2"/>
        </w:numPr>
        <w:spacing w:after="80"/>
      </w:pPr>
      <w:r>
        <w:t xml:space="preserve">Consists of four practice groups: Prepare the Organization (PO), Protect Software (PS), Produce Well-Secured Software (PW), Respond to Vulnerabilities (RV).</w:t>
      </w:r>
    </w:p>
    <w:p>
      <w:pPr>
        <w:pStyle w:val="ListParagraph"/>
        <w:numPr>
          <w:ilvl w:val="0"/>
          <w:numId w:val="2"/>
        </w:numPr>
        <w:spacing w:after="80"/>
      </w:pPr>
      <w:r>
        <w:t xml:space="preserve">Each practice group contains multiple specific practices, each with tasks, references, and implementation notes.</w:t>
      </w:r>
    </w:p>
    <w:p>
      <w:pPr>
        <w:pStyle w:val="ListParagraph"/>
        <w:numPr>
          <w:ilvl w:val="0"/>
          <w:numId w:val="2"/>
        </w:numPr>
        <w:spacing w:after="80"/>
      </w:pPr>
      <w:r>
        <w:t xml:space="preserve">Referenced by US federal procurement requirements — vendors selling to federal agencies must attest to SSDF conformance.</w:t>
      </w:r>
    </w:p>
    <w:p>
      <w:pPr>
        <w:spacing w:after="140"/>
        <w:jc w:val="both"/>
      </w:pPr>
      <w:r>
        <w:t xml:space="preserve">The distinctive role of SSDF is as a US federal government-endorsed baseline for secure development. It is specifically the framework that Executive Order 14028 and subsequent OMB memoranda reference when requiring federal software vendors to demonstrate secure-development practices. A vendor selling to the federal government needs to attest to SSDF conformance; that attestation is the specific contract deliverable.</w:t>
      </w:r>
    </w:p>
    <w:p>
      <w:pPr>
        <w:pStyle w:val="Heading2"/>
        <w:spacing w:after="160" w:before="280"/>
      </w:pPr>
      <w:r>
        <w:rPr>
          <w:b/>
          <w:bCs/>
        </w:rPr>
        <w:t xml:space="preserve">5.2 The Four Practice Groups</w:t>
      </w:r>
    </w:p>
    <w:p>
      <w:pPr>
        <w:spacing w:after="140"/>
        <w:jc w:val="both"/>
      </w:pPr>
      <w:r>
        <w:t xml:space="preserve">SSDF's structure organizes practices into four groups:</w:t>
      </w:r>
    </w:p>
    <w:p>
      <w:pPr>
        <w:pStyle w:val="Heading3"/>
        <w:spacing w:after="120" w:before="220"/>
      </w:pPr>
      <w:r>
        <w:rPr>
          <w:b/>
          <w:bCs/>
        </w:rPr>
        <w:t xml:space="preserve">Prepare the Organization (PO)</w:t>
      </w:r>
    </w:p>
    <w:p>
      <w:pPr>
        <w:spacing w:after="140"/>
        <w:jc w:val="both"/>
      </w:pPr>
      <w:r>
        <w:t xml:space="preserve">Practices related to organizational readiness:</w:t>
      </w:r>
    </w:p>
    <w:p>
      <w:pPr>
        <w:pStyle w:val="ListParagraph"/>
        <w:numPr>
          <w:ilvl w:val="0"/>
          <w:numId w:val="2"/>
        </w:numPr>
        <w:spacing w:after="80"/>
      </w:pPr>
      <w:r>
        <w:t xml:space="preserve">PO.1: Define security requirements for software development.</w:t>
      </w:r>
    </w:p>
    <w:p>
      <w:pPr>
        <w:pStyle w:val="ListParagraph"/>
        <w:numPr>
          <w:ilvl w:val="0"/>
          <w:numId w:val="2"/>
        </w:numPr>
        <w:spacing w:after="80"/>
      </w:pPr>
      <w:r>
        <w:t xml:space="preserve">PO.2: Implement roles and responsibilities.</w:t>
      </w:r>
    </w:p>
    <w:p>
      <w:pPr>
        <w:pStyle w:val="ListParagraph"/>
        <w:numPr>
          <w:ilvl w:val="0"/>
          <w:numId w:val="2"/>
        </w:numPr>
        <w:spacing w:after="80"/>
      </w:pPr>
      <w:r>
        <w:t xml:space="preserve">PO.3: Implement supporting toolchains.</w:t>
      </w:r>
    </w:p>
    <w:p>
      <w:pPr>
        <w:pStyle w:val="ListParagraph"/>
        <w:numPr>
          <w:ilvl w:val="0"/>
          <w:numId w:val="2"/>
        </w:numPr>
        <w:spacing w:after="80"/>
      </w:pPr>
      <w:r>
        <w:t xml:space="preserve">PO.4: Define and use criteria for software security checks.</w:t>
      </w:r>
    </w:p>
    <w:p>
      <w:pPr>
        <w:pStyle w:val="ListParagraph"/>
        <w:numPr>
          <w:ilvl w:val="0"/>
          <w:numId w:val="2"/>
        </w:numPr>
        <w:spacing w:after="80"/>
      </w:pPr>
      <w:r>
        <w:t xml:space="preserve">PO.5: Implement and maintain secure environments for software development.</w:t>
      </w:r>
    </w:p>
    <w:p>
      <w:pPr>
        <w:pStyle w:val="Heading3"/>
        <w:spacing w:after="120" w:before="220"/>
      </w:pPr>
      <w:r>
        <w:rPr>
          <w:b/>
          <w:bCs/>
        </w:rPr>
        <w:t xml:space="preserve">Protect Software (PS)</w:t>
      </w:r>
    </w:p>
    <w:p>
      <w:pPr>
        <w:spacing w:after="140"/>
        <w:jc w:val="both"/>
      </w:pPr>
      <w:r>
        <w:t xml:space="preserve">Practices for protecting the software itself from unauthorized access and tampering:</w:t>
      </w:r>
    </w:p>
    <w:p>
      <w:pPr>
        <w:pStyle w:val="ListParagraph"/>
        <w:numPr>
          <w:ilvl w:val="0"/>
          <w:numId w:val="2"/>
        </w:numPr>
        <w:spacing w:after="80"/>
      </w:pPr>
      <w:r>
        <w:t xml:space="preserve">PS.1: Protect all forms of code from unauthorized access and tampering.</w:t>
      </w:r>
    </w:p>
    <w:p>
      <w:pPr>
        <w:pStyle w:val="ListParagraph"/>
        <w:numPr>
          <w:ilvl w:val="0"/>
          <w:numId w:val="2"/>
        </w:numPr>
        <w:spacing w:after="80"/>
      </w:pPr>
      <w:r>
        <w:t xml:space="preserve">PS.2: Provide a mechanism for verifying software release integrity.</w:t>
      </w:r>
    </w:p>
    <w:p>
      <w:pPr>
        <w:pStyle w:val="ListParagraph"/>
        <w:numPr>
          <w:ilvl w:val="0"/>
          <w:numId w:val="2"/>
        </w:numPr>
        <w:spacing w:after="80"/>
      </w:pPr>
      <w:r>
        <w:t xml:space="preserve">PS.3: Archive and protect each software release.</w:t>
      </w:r>
    </w:p>
    <w:p>
      <w:pPr>
        <w:pStyle w:val="Heading3"/>
        <w:spacing w:after="120" w:before="220"/>
      </w:pPr>
      <w:r>
        <w:rPr>
          <w:b/>
          <w:bCs/>
        </w:rPr>
        <w:t xml:space="preserve">Produce Well-Secured Software (PW)</w:t>
      </w:r>
    </w:p>
    <w:p>
      <w:pPr>
        <w:spacing w:after="140"/>
        <w:jc w:val="both"/>
      </w:pPr>
      <w:r>
        <w:t xml:space="preserve">Practices for building software that is secure by design and implementation:</w:t>
      </w:r>
    </w:p>
    <w:p>
      <w:pPr>
        <w:pStyle w:val="ListParagraph"/>
        <w:numPr>
          <w:ilvl w:val="0"/>
          <w:numId w:val="2"/>
        </w:numPr>
        <w:spacing w:after="80"/>
      </w:pPr>
      <w:r>
        <w:t xml:space="preserve">PW.1: Design software to meet security requirements and mitigate security risks.</w:t>
      </w:r>
    </w:p>
    <w:p>
      <w:pPr>
        <w:pStyle w:val="ListParagraph"/>
        <w:numPr>
          <w:ilvl w:val="0"/>
          <w:numId w:val="2"/>
        </w:numPr>
        <w:spacing w:after="80"/>
      </w:pPr>
      <w:r>
        <w:t xml:space="preserve">PW.2: Review the software design to verify compliance with security requirements and risk information.</w:t>
      </w:r>
    </w:p>
    <w:p>
      <w:pPr>
        <w:pStyle w:val="ListParagraph"/>
        <w:numPr>
          <w:ilvl w:val="0"/>
          <w:numId w:val="2"/>
        </w:numPr>
        <w:spacing w:after="80"/>
      </w:pPr>
      <w:r>
        <w:t xml:space="preserve">PW.4: Reuse existing, well-secured software when feasible instead of duplicating functionality.</w:t>
      </w:r>
    </w:p>
    <w:p>
      <w:pPr>
        <w:pStyle w:val="ListParagraph"/>
        <w:numPr>
          <w:ilvl w:val="0"/>
          <w:numId w:val="2"/>
        </w:numPr>
        <w:spacing w:after="80"/>
      </w:pPr>
      <w:r>
        <w:t xml:space="preserve">PW.5: Create source code by adhering to secure coding practices.</w:t>
      </w:r>
    </w:p>
    <w:p>
      <w:pPr>
        <w:pStyle w:val="ListParagraph"/>
        <w:numPr>
          <w:ilvl w:val="0"/>
          <w:numId w:val="2"/>
        </w:numPr>
        <w:spacing w:after="80"/>
      </w:pPr>
      <w:r>
        <w:t xml:space="preserve">PW.6: Configure the compilation, interpreter, and build processes to improve executable security.</w:t>
      </w:r>
    </w:p>
    <w:p>
      <w:pPr>
        <w:pStyle w:val="ListParagraph"/>
        <w:numPr>
          <w:ilvl w:val="0"/>
          <w:numId w:val="2"/>
        </w:numPr>
        <w:spacing w:after="80"/>
      </w:pPr>
      <w:r>
        <w:t xml:space="preserve">PW.7: Review and/or analyze human-readable code to identify vulnerabilities and verify compliance with security requirements.</w:t>
      </w:r>
    </w:p>
    <w:p>
      <w:pPr>
        <w:pStyle w:val="ListParagraph"/>
        <w:numPr>
          <w:ilvl w:val="0"/>
          <w:numId w:val="2"/>
        </w:numPr>
        <w:spacing w:after="80"/>
      </w:pPr>
      <w:r>
        <w:t xml:space="preserve">PW.8: Test executable code to identify vulnerabilities and verify compliance with security requirements.</w:t>
      </w:r>
    </w:p>
    <w:p>
      <w:pPr>
        <w:pStyle w:val="ListParagraph"/>
        <w:numPr>
          <w:ilvl w:val="0"/>
          <w:numId w:val="2"/>
        </w:numPr>
        <w:spacing w:after="80"/>
      </w:pPr>
      <w:r>
        <w:t xml:space="preserve">PW.9: Configure software to have secure settings by default.</w:t>
      </w:r>
    </w:p>
    <w:p>
      <w:pPr>
        <w:pStyle w:val="Heading3"/>
        <w:spacing w:after="120" w:before="220"/>
      </w:pPr>
      <w:r>
        <w:rPr>
          <w:b/>
          <w:bCs/>
        </w:rPr>
        <w:t xml:space="preserve">Respond to Vulnerabilities (RV)</w:t>
      </w:r>
    </w:p>
    <w:p>
      <w:pPr>
        <w:spacing w:after="140"/>
        <w:jc w:val="both"/>
      </w:pPr>
      <w:r>
        <w:t xml:space="preserve">Practices for responding to vulnerabilities as they are discovered:</w:t>
      </w:r>
    </w:p>
    <w:p>
      <w:pPr>
        <w:pStyle w:val="ListParagraph"/>
        <w:numPr>
          <w:ilvl w:val="0"/>
          <w:numId w:val="2"/>
        </w:numPr>
        <w:spacing w:after="80"/>
      </w:pPr>
      <w:r>
        <w:t xml:space="preserve">RV.1: Identify and confirm vulnerabilities on an ongoing basis.</w:t>
      </w:r>
    </w:p>
    <w:p>
      <w:pPr>
        <w:pStyle w:val="ListParagraph"/>
        <w:numPr>
          <w:ilvl w:val="0"/>
          <w:numId w:val="2"/>
        </w:numPr>
        <w:spacing w:after="80"/>
      </w:pPr>
      <w:r>
        <w:t xml:space="preserve">RV.2: Assess, prioritize, and remediate vulnerabilities.</w:t>
      </w:r>
    </w:p>
    <w:p>
      <w:pPr>
        <w:pStyle w:val="ListParagraph"/>
        <w:numPr>
          <w:ilvl w:val="0"/>
          <w:numId w:val="2"/>
        </w:numPr>
        <w:spacing w:after="80"/>
      </w:pPr>
      <w:r>
        <w:t xml:space="preserve">RV.3: Analyze vulnerabilities to identify their root causes.</w:t>
      </w:r>
    </w:p>
    <w:p>
      <w:pPr>
        <w:pStyle w:val="Heading2"/>
        <w:spacing w:after="160" w:before="280"/>
      </w:pPr>
      <w:r>
        <w:rPr>
          <w:b/>
          <w:bCs/>
        </w:rPr>
        <w:t xml:space="preserve">5.3 Supply-Chain Content Within SSDF</w:t>
      </w:r>
    </w:p>
    <w:p>
      <w:pPr>
        <w:spacing w:after="140"/>
        <w:jc w:val="both"/>
      </w:pPr>
      <w:r>
        <w:t xml:space="preserve">Supply-chain practices are spread across multiple SSDF practice areas rather than isolated to one. The specific supply-chain-relevant content:</w:t>
      </w:r>
    </w:p>
    <w:p>
      <w:pPr>
        <w:pStyle w:val="ListParagraph"/>
        <w:numPr>
          <w:ilvl w:val="0"/>
          <w:numId w:val="2"/>
        </w:numPr>
        <w:spacing w:after="80"/>
      </w:pPr>
      <w:r>
        <w:rPr>
          <w:b/>
          <w:bCs/>
        </w:rPr>
        <w:t xml:space="preserve">PO.3 (Toolchains). </w:t>
      </w:r>
      <w:r>
        <w:t xml:space="preserve">Establishing supporting tooling for development, including build systems, CI/CD, dependency management. Implicitly encompasses much of Module 7 (Build Security).</w:t>
      </w:r>
    </w:p>
    <w:p>
      <w:pPr>
        <w:pStyle w:val="ListParagraph"/>
        <w:numPr>
          <w:ilvl w:val="0"/>
          <w:numId w:val="2"/>
        </w:numPr>
        <w:spacing w:after="80"/>
      </w:pPr>
      <w:r>
        <w:rPr>
          <w:b/>
          <w:bCs/>
        </w:rPr>
        <w:t xml:space="preserve">PS.1 (Protect Code). </w:t>
      </w:r>
      <w:r>
        <w:t xml:space="preserve">Source-control access control, code-review requirements, and related protections against unauthorized code modification. Addresses the source-level threats from Module 1.</w:t>
      </w:r>
    </w:p>
    <w:p>
      <w:pPr>
        <w:pStyle w:val="ListParagraph"/>
        <w:numPr>
          <w:ilvl w:val="0"/>
          <w:numId w:val="2"/>
        </w:numPr>
        <w:spacing w:after="80"/>
      </w:pPr>
      <w:r>
        <w:rPr>
          <w:b/>
          <w:bCs/>
        </w:rPr>
        <w:t xml:space="preserve">PS.2 (Release Integrity). </w:t>
      </w:r>
      <w:r>
        <w:t xml:space="preserve">Cryptographic signing of releases, verification mechanisms, tamper-evident distribution. Directly supported by Sigstore (Module 4).</w:t>
      </w:r>
    </w:p>
    <w:p>
      <w:pPr>
        <w:pStyle w:val="ListParagraph"/>
        <w:numPr>
          <w:ilvl w:val="0"/>
          <w:numId w:val="2"/>
        </w:numPr>
        <w:spacing w:after="80"/>
      </w:pPr>
      <w:r>
        <w:rPr>
          <w:b/>
          <w:bCs/>
        </w:rPr>
        <w:t xml:space="preserve">PS.3 (Archive Releases). </w:t>
      </w:r>
      <w:r>
        <w:t xml:space="preserve">Long-term preservation of release artifacts for forensics and audit. Related to immutability (Module 7 Chapter 6).</w:t>
      </w:r>
    </w:p>
    <w:p>
      <w:pPr>
        <w:pStyle w:val="ListParagraph"/>
        <w:numPr>
          <w:ilvl w:val="0"/>
          <w:numId w:val="2"/>
        </w:numPr>
        <w:spacing w:after="80"/>
      </w:pPr>
      <w:r>
        <w:rPr>
          <w:b/>
          <w:bCs/>
        </w:rPr>
        <w:t xml:space="preserve">PW.4 (Reuse Well-Secured). </w:t>
      </w:r>
      <w:r>
        <w:t xml:space="preserve">Explicit guidance on using well-vetted third-party components rather than duplicating functionality. The dependency-management dimension from Module 6.</w:t>
      </w:r>
    </w:p>
    <w:p>
      <w:pPr>
        <w:pStyle w:val="ListParagraph"/>
        <w:numPr>
          <w:ilvl w:val="0"/>
          <w:numId w:val="2"/>
        </w:numPr>
        <w:spacing w:after="80"/>
      </w:pPr>
      <w:r>
        <w:rPr>
          <w:b/>
          <w:bCs/>
        </w:rPr>
        <w:t xml:space="preserve">PW.6 (Build Process). </w:t>
      </w:r>
      <w:r>
        <w:t xml:space="preserve">Hardening compilation and build; also related to Module 7.</w:t>
      </w:r>
    </w:p>
    <w:p>
      <w:pPr>
        <w:pStyle w:val="ListParagraph"/>
        <w:numPr>
          <w:ilvl w:val="0"/>
          <w:numId w:val="2"/>
        </w:numPr>
        <w:spacing w:after="80"/>
      </w:pPr>
      <w:r>
        <w:rPr>
          <w:b/>
          <w:bCs/>
        </w:rPr>
        <w:t xml:space="preserve">RV.1 (Vulnerability Identification). </w:t>
      </w:r>
      <w:r>
        <w:t xml:space="preserve">Includes monitoring vulnerabilities in dependencies — the vulnerability response process from Module 9 Chapter 3.</w:t>
      </w:r>
    </w:p>
    <w:p>
      <w:pPr>
        <w:spacing w:after="140"/>
        <w:jc w:val="both"/>
      </w:pPr>
      <w:r>
        <w:t xml:space="preserve">A common pattern: when translating SSDF into practical implementation, practitioners map SSDF practices to the technical frameworks covered in Modules 1-9. PS.2 becomes 'adopt Sigstore.' PW.4 becomes 'implement SBOMs and dependency management per Module 6.' PO.3 becomes 'harden build security per Module 7.' SSDF provides the organizational-requirement scaffolding; Modules 1-9 provide the technical implementation.</w:t>
      </w:r>
    </w:p>
    <w:p>
      <w:pPr>
        <w:pStyle w:val="Heading2"/>
        <w:spacing w:after="160" w:before="280"/>
      </w:pPr>
      <w:r>
        <w:rPr>
          <w:b/>
          <w:bCs/>
        </w:rPr>
        <w:t xml:space="preserve">5.4 SSDF Attestation</w:t>
      </w:r>
    </w:p>
    <w:p>
      <w:pPr>
        <w:spacing w:after="140"/>
        <w:jc w:val="both"/>
      </w:pPr>
      <w:r>
        <w:t xml:space="preserve">The specific mechanism by which SSDF enters federal procurement is through attestation forms. Vendors selling software to federal agencies complete forms describing their SSDF conformance — which practices are implemented, how, with what evidence. The specific forms and process:</w:t>
      </w:r>
    </w:p>
    <w:p>
      <w:pPr>
        <w:pStyle w:val="ListParagraph"/>
        <w:numPr>
          <w:ilvl w:val="0"/>
          <w:numId w:val="2"/>
        </w:numPr>
        <w:spacing w:after="80"/>
      </w:pPr>
      <w:r>
        <w:t xml:space="preserve">CISA (Cybersecurity and Infrastructure Security Agency) publishes the attestation form template.</w:t>
      </w:r>
    </w:p>
    <w:p>
      <w:pPr>
        <w:pStyle w:val="ListParagraph"/>
        <w:numPr>
          <w:ilvl w:val="0"/>
          <w:numId w:val="2"/>
        </w:numPr>
        <w:spacing w:after="80"/>
      </w:pPr>
      <w:r>
        <w:t xml:space="preserve">Software vendors complete the form, typically requiring sign-off from a senior executive (CISO or equivalent).</w:t>
      </w:r>
    </w:p>
    <w:p>
      <w:pPr>
        <w:pStyle w:val="ListParagraph"/>
        <w:numPr>
          <w:ilvl w:val="0"/>
          <w:numId w:val="2"/>
        </w:numPr>
        <w:spacing w:after="80"/>
      </w:pPr>
      <w:r>
        <w:t xml:space="preserve">Attestations are submitted to the federal agency as part of procurement.</w:t>
      </w:r>
    </w:p>
    <w:p>
      <w:pPr>
        <w:pStyle w:val="ListParagraph"/>
        <w:numPr>
          <w:ilvl w:val="0"/>
          <w:numId w:val="2"/>
        </w:numPr>
        <w:spacing w:after="80"/>
      </w:pPr>
      <w:r>
        <w:t xml:space="preserve">False attestations carry potential legal liability — this is not a checkbox exercise but a binding contract representation.</w:t>
      </w:r>
    </w:p>
    <w:p>
      <w:pPr>
        <w:spacing w:after="140"/>
        <w:jc w:val="both"/>
      </w:pPr>
      <w:r>
        <w:t xml:space="preserve">The scope of this requirement has expanded over time. Initial rollout (2023) covered new federal acquisitions; extensions covered renewals and modifications. By 2025, essentially all software purchases by federal agencies require SSDF attestation from the vendor. This has driven substantial vendor investment in SSDF compliance — organizations that had not previously documented their practices have invested in the documentation and implementation to successfully attest.</w:t>
      </w:r>
    </w:p>
    <w:p>
      <w:pPr>
        <w:spacing w:after="140"/>
        <w:jc w:val="both"/>
      </w:pPr>
      <w:r>
        <w:t xml:space="preserve">Given the regulatory weight, SSDF attestations sometimes drive more than federal sales. Vendors who produce SSDF attestations for federal customers often find that other enterprise customers and regulated industries (healthcare, finance) begin asking for the same attestations. This creates a cascade effect: federal requirements drive vendor investment, which benefits non-federal customers who share the same vendors, which spreads supply-chain practices across the broader ecosystem.</w:t>
      </w:r>
    </w:p>
    <w:p>
      <w:pPr>
        <w:pStyle w:val="Heading2"/>
        <w:spacing w:after="160" w:before="280"/>
      </w:pPr>
      <w:r>
        <w:rPr>
          <w:b/>
          <w:bCs/>
        </w:rPr>
        <w:t xml:space="preserve">5.5 SSDF's Relationship to Other Frameworks</w:t>
      </w:r>
    </w:p>
    <w:p>
      <w:pPr>
        <w:spacing w:after="140"/>
        <w:jc w:val="both"/>
      </w:pPr>
      <w:r>
        <w:t xml:space="preserve">SSDF's broader positioning in the frameworks landscape:</w:t>
      </w:r>
    </w:p>
    <w:p>
      <w:pPr>
        <w:pStyle w:val="ListParagraph"/>
        <w:numPr>
          <w:ilvl w:val="0"/>
          <w:numId w:val="2"/>
        </w:numPr>
        <w:spacing w:after="80"/>
      </w:pPr>
      <w:r>
        <w:rPr>
          <w:b/>
          <w:bCs/>
        </w:rPr>
        <w:t xml:space="preserve">Higher-level than SLSA. </w:t>
      </w:r>
      <w:r>
        <w:t xml:space="preserve">SSDF describes practices at an organizational-requirement level ('establish criteria for software security checks'); SLSA describes them at a technical-specification level ('produce provenance attestations meeting these requirements'). SSDF is broader; SLSA is more specific.</w:t>
      </w:r>
    </w:p>
    <w:p>
      <w:pPr>
        <w:pStyle w:val="ListParagraph"/>
        <w:numPr>
          <w:ilvl w:val="0"/>
          <w:numId w:val="2"/>
        </w:numPr>
        <w:spacing w:after="80"/>
      </w:pPr>
      <w:r>
        <w:rPr>
          <w:b/>
          <w:bCs/>
        </w:rPr>
        <w:t xml:space="preserve">Complements S2C2F. </w:t>
      </w:r>
      <w:r>
        <w:t xml:space="preserve">SSDF is production-focused (secure software development); S2C2F is consumption-focused. Organizations that both produce and consume software adopt both; SSDF for their production side, S2C2F for their consumption side.</w:t>
      </w:r>
    </w:p>
    <w:p>
      <w:pPr>
        <w:pStyle w:val="ListParagraph"/>
        <w:numPr>
          <w:ilvl w:val="0"/>
          <w:numId w:val="2"/>
        </w:numPr>
        <w:spacing w:after="80"/>
      </w:pPr>
      <w:r>
        <w:rPr>
          <w:b/>
          <w:bCs/>
        </w:rPr>
        <w:t xml:space="preserve">Mapped by industry frameworks. </w:t>
      </w:r>
      <w:r>
        <w:t xml:space="preserve">CIS, ISO, and other industry frameworks increasingly publish mappings between their requirements and SSDF. An organization compliant with their primary industry framework often finds that mapping supports SSDF attestation.</w:t>
      </w:r>
    </w:p>
    <w:p>
      <w:pPr>
        <w:pStyle w:val="ListParagraph"/>
        <w:numPr>
          <w:ilvl w:val="0"/>
          <w:numId w:val="2"/>
        </w:numPr>
        <w:spacing w:after="80"/>
      </w:pPr>
      <w:r>
        <w:rPr>
          <w:b/>
          <w:bCs/>
        </w:rPr>
        <w:t xml:space="preserve">Referenced by the CRA. </w:t>
      </w:r>
      <w:r>
        <w:t xml:space="preserve">The EU Cyber Resilience Act references SSDF-like practices in its security requirements for software products. Organizations preparing for CRA compliance often use SSDF as the organizational framework even though the CRA does not name SSDF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NIST SSDF is the US government-endorsed baseline framework for secure software development, organized into four practice groups (Prepare the Organization, Protect Software, Produce Well-Secured Software, Respond to Vulnerabilities) containing specific practices. Supply-chain security is a subset of SSDF, with relevant content across PO.3, PS.1-3, PW.4, PW.6, and RV.1. The framework is the specific reference point for US federal procurement — vendors attest to SSDF conformance as part of selling to federal agencies, creating a cascade effect as vendor compliance benefits non-federal customers too. SSDF operates at a higher abstraction level than SLSA; practitioners typically map SSDF practices to technical implementations from Modules 1-9. It complements S2C2F (consumption vs production), is referenced by the EU CRA, and increasingly anchors industry-framework mappings.</w:t>
            </w:r>
          </w:p>
        </w:tc>
      </w:tr>
    </w:tbl>
    <w:p>
      <w:r>
        <w:br w:type="page"/>
      </w:r>
    </w:p>
    <w:p>
      <w:pPr>
        <w:pStyle w:val="Heading1"/>
        <w:spacing w:after="200" w:before="360"/>
      </w:pPr>
      <w:r>
        <w:rPr>
          <w:b/>
          <w:bCs/>
        </w:rPr>
        <w:t xml:space="preserve">Chapter 6: CIS Software Supply Chain Security Guide</w:t>
      </w:r>
    </w:p>
    <w:p>
      <w:pPr>
        <w:pStyle w:val="Heading2"/>
        <w:spacing w:after="160" w:before="280"/>
      </w:pPr>
      <w:r>
        <w:rPr>
          <w:b/>
          <w:bCs/>
        </w:rPr>
        <w:t xml:space="preserve">6.1 What the CIS Guide Is</w:t>
      </w:r>
    </w:p>
    <w:p>
      <w:pPr>
        <w:spacing w:after="140"/>
        <w:jc w:val="both"/>
      </w:pPr>
      <w:r>
        <w:rPr>
          <w:b/>
          <w:bCs/>
        </w:rPr>
        <w:t xml:space="preserve">The CIS Software Supply Chain Security Guide </w:t>
      </w:r>
      <w:r>
        <w:t xml:space="preserve">is prescriptive implementation guidance published by the Center for Internet Security (CIS), the same organization that publishes the widely-used CIS Benchmarks and CIS Critical Security Controls. The guide provides specific, actionable recommendations for organizations implementing supply-chain security — not a framework in the abstract sense, but a concrete how-to covering a wide range of supply-chain-security practices with specific technical guidance.</w:t>
      </w:r>
    </w:p>
    <w:p>
      <w:pPr>
        <w:spacing w:after="140"/>
        <w:jc w:val="both"/>
      </w:pPr>
      <w:r>
        <w:t xml:space="preserve">Key facts:</w:t>
      </w:r>
    </w:p>
    <w:p>
      <w:pPr>
        <w:pStyle w:val="ListParagraph"/>
        <w:numPr>
          <w:ilvl w:val="0"/>
          <w:numId w:val="2"/>
        </w:numPr>
        <w:spacing w:after="80"/>
      </w:pPr>
      <w:r>
        <w:t xml:space="preserve">Published by CIS (Center for Internet Security), a non-profit organization producing security guidance used widely in industry and government.</w:t>
      </w:r>
    </w:p>
    <w:p>
      <w:pPr>
        <w:pStyle w:val="ListParagraph"/>
        <w:numPr>
          <w:ilvl w:val="0"/>
          <w:numId w:val="2"/>
        </w:numPr>
        <w:spacing w:after="80"/>
      </w:pPr>
      <w:r>
        <w:t xml:space="preserve">The first edition appeared in 2022 with subsequent updates incorporating newer practices and tooling.</w:t>
      </w:r>
    </w:p>
    <w:p>
      <w:pPr>
        <w:pStyle w:val="ListParagraph"/>
        <w:numPr>
          <w:ilvl w:val="0"/>
          <w:numId w:val="2"/>
        </w:numPr>
        <w:spacing w:after="80"/>
      </w:pPr>
      <w:r>
        <w:t xml:space="preserve">Structured around specific implementation guidance with explicit controls, each with rationale and recommended implementation steps.</w:t>
      </w:r>
    </w:p>
    <w:p>
      <w:pPr>
        <w:pStyle w:val="ListParagraph"/>
        <w:numPr>
          <w:ilvl w:val="0"/>
          <w:numId w:val="2"/>
        </w:numPr>
        <w:spacing w:after="80"/>
      </w:pPr>
      <w:r>
        <w:t xml:space="preserve">Covers source code protection, build pipelines, dependency management, artifact management, and deployment.</w:t>
      </w:r>
    </w:p>
    <w:p>
      <w:pPr>
        <w:pStyle w:val="ListParagraph"/>
        <w:numPr>
          <w:ilvl w:val="0"/>
          <w:numId w:val="2"/>
        </w:numPr>
        <w:spacing w:after="80"/>
      </w:pPr>
      <w:r>
        <w:t xml:space="preserve">Aligns with other CIS products (Benchmarks, Critical Security Controls) for consistent terminology and structure.</w:t>
      </w:r>
    </w:p>
    <w:p>
      <w:pPr>
        <w:spacing w:after="140"/>
        <w:jc w:val="both"/>
      </w:pPr>
      <w:r>
        <w:t xml:space="preserve">The distinctive contribution of the CIS guide is prescriptive specificity. Where SLSA describes what levels achieve, and SSDF describes what practices to have, the CIS guide describes specific controls to implement: configure GitHub branch protection this way, configure Docker build this way, configure Kyverno this way. It operates at the level of actionable technical recommendations rather than abstract requirements.</w:t>
      </w:r>
    </w:p>
    <w:p>
      <w:pPr>
        <w:pStyle w:val="Heading2"/>
        <w:spacing w:after="160" w:before="280"/>
      </w:pPr>
      <w:r>
        <w:rPr>
          <w:b/>
          <w:bCs/>
        </w:rPr>
        <w:t xml:space="preserve">6.2 The Structure</w:t>
      </w:r>
    </w:p>
    <w:p>
      <w:pPr>
        <w:spacing w:after="140"/>
        <w:jc w:val="both"/>
      </w:pPr>
      <w:r>
        <w:t xml:space="preserve">The CIS Guide organizes its recommendations into five major phases of the software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Phase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What it covers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Source Code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Source control, access, branch protection, code review</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Build Pipelines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CI/CD security, build integrity, isolation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Dependencies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Third-party component management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Artifacts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Registry security, signing, scanning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Deployment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Production deployment security, admission control</w:t>
            </w:r>
          </w:p>
        </w:tc>
      </w:tr>
    </w:tbl>
    <w:p>
      <w:pPr>
        <w:spacing w:after="100"/>
      </w:pPr>
      <w:r>
        <w:t xml:space="preserve"/>
      </w:r>
    </w:p>
    <w:p>
      <w:pPr>
        <w:spacing w:after="140"/>
        <w:jc w:val="both"/>
      </w:pPr>
      <w:r>
        <w:t xml:space="preserve">Each phase contains multiple specific controls. A representative example from Source Code: 'Branch protection rules should require all commits to main branches to be signed by verified authors.' A representative example from Build Pipelines: 'Build pipelines should run in ephemeral, isolated environments with no network access during the build phase.' Each control has an ID, a description, a rationale, and specific implementation guidance for the common tools.</w:t>
      </w:r>
    </w:p>
    <w:p>
      <w:pPr>
        <w:spacing w:after="140"/>
        <w:jc w:val="both"/>
      </w:pPr>
      <w:r>
        <w:t xml:space="preserve">The level of specificity is important. A framework might say 'isolate your builds.' The CIS guide gives specific guidance on how to isolate builds using GitHub Actions (use ephemeral runners, configure permissions: {}, etc.), using Kubernetes Tekton (use fresh pods per run, enforce NetworkPolicy, etc.), using Jenkins (ephemeral agents with specific configurations), and so on. The guide addresses the fact that every organization's tooling is different and provides specific guidance for the mainstream tool combinations.</w:t>
      </w:r>
    </w:p>
    <w:p>
      <w:pPr>
        <w:pStyle w:val="Heading2"/>
        <w:spacing w:after="160" w:before="280"/>
      </w:pPr>
      <w:r>
        <w:rPr>
          <w:b/>
          <w:bCs/>
        </w:rPr>
        <w:t xml:space="preserve">6.3 Levels of Implementation</w:t>
      </w:r>
    </w:p>
    <w:p>
      <w:pPr>
        <w:spacing w:after="140"/>
        <w:jc w:val="both"/>
      </w:pPr>
      <w:r>
        <w:t xml:space="preserve">The CIS guide, like CIS Benchmarks, often structures recommendations into implementation levels — e.g., Level 1 controls are foundational and should be implemented by essentially everyone; Level 2 controls are more advanced and appropriate for higher-security environments. This graduated structure serves two purposes:</w:t>
      </w:r>
    </w:p>
    <w:p>
      <w:pPr>
        <w:pStyle w:val="ListParagraph"/>
        <w:numPr>
          <w:ilvl w:val="0"/>
          <w:numId w:val="2"/>
        </w:numPr>
        <w:spacing w:after="80"/>
      </w:pPr>
      <w:r>
        <w:t xml:space="preserve">It gives organizations with limited capacity a reasonable starting point (implement all Level 1 controls, then consider Level 2).</w:t>
      </w:r>
    </w:p>
    <w:p>
      <w:pPr>
        <w:pStyle w:val="ListParagraph"/>
        <w:numPr>
          <w:ilvl w:val="0"/>
          <w:numId w:val="2"/>
        </w:numPr>
        <w:spacing w:after="80"/>
      </w:pPr>
      <w:r>
        <w:t xml:space="preserve">It gives highly-regulated environments explicit guidance on what 'above baseline' looks like.</w:t>
      </w:r>
    </w:p>
    <w:p>
      <w:pPr>
        <w:spacing w:after="140"/>
        <w:jc w:val="both"/>
      </w:pPr>
      <w:r>
        <w:t xml:space="preserve">The specific levels and their contents evolve across editions, but the pattern is consistent: practical baseline that any organization should reach, with advanced guidance for those with greater capability or higher risk.</w:t>
      </w:r>
    </w:p>
    <w:p>
      <w:pPr>
        <w:pStyle w:val="Heading2"/>
        <w:spacing w:after="160" w:before="280"/>
      </w:pPr>
      <w:r>
        <w:rPr>
          <w:b/>
          <w:bCs/>
        </w:rPr>
        <w:t xml:space="preserve">6.4 How the CIS Guide Relates to Other Frameworks</w:t>
      </w:r>
    </w:p>
    <w:p>
      <w:pPr>
        <w:spacing w:after="140"/>
        <w:jc w:val="both"/>
      </w:pPr>
      <w:r>
        <w:t xml:space="preserve">The CIS guide's positioning:</w:t>
      </w:r>
    </w:p>
    <w:p>
      <w:pPr>
        <w:pStyle w:val="ListParagraph"/>
        <w:numPr>
          <w:ilvl w:val="0"/>
          <w:numId w:val="2"/>
        </w:numPr>
        <w:spacing w:after="80"/>
      </w:pPr>
      <w:r>
        <w:rPr>
          <w:b/>
          <w:bCs/>
        </w:rPr>
        <w:t xml:space="preserve">Implementation layer for SSDF/S2C2F. </w:t>
      </w:r>
      <w:r>
        <w:t xml:space="preserve">Where SSDF says 'protect code from unauthorized access,' the CIS guide says 'specifically configure branch protection like this and these roles like that.' Organizations adopting SSDF often use the CIS guide as the prescriptive layer below SSDF's abstract requirements.</w:t>
      </w:r>
    </w:p>
    <w:p>
      <w:pPr>
        <w:pStyle w:val="ListParagraph"/>
        <w:numPr>
          <w:ilvl w:val="0"/>
          <w:numId w:val="2"/>
        </w:numPr>
        <w:spacing w:after="80"/>
      </w:pPr>
      <w:r>
        <w:rPr>
          <w:b/>
          <w:bCs/>
        </w:rPr>
        <w:t xml:space="preserve">Prescribes SLSA adoption. </w:t>
      </w:r>
      <w:r>
        <w:t xml:space="preserve">Specific CIS controls prescribe SLSA provenance generation, Sigstore signing, and related technical practices. Following the CIS guide brings you to SLSA L2 or L3 compliance as a byproduct.</w:t>
      </w:r>
    </w:p>
    <w:p>
      <w:pPr>
        <w:pStyle w:val="ListParagraph"/>
        <w:numPr>
          <w:ilvl w:val="0"/>
          <w:numId w:val="2"/>
        </w:numPr>
        <w:spacing w:after="80"/>
      </w:pPr>
      <w:r>
        <w:rPr>
          <w:b/>
          <w:bCs/>
        </w:rPr>
        <w:t xml:space="preserve">Complements CIS Benchmarks. </w:t>
      </w:r>
      <w:r>
        <w:t xml:space="preserve">CIS Benchmarks provide configuration guidance for specific platforms (Kubernetes, AWS, Docker, etc.). The supply chain guide complements them with cross-cutting guidance that spans platforms.</w:t>
      </w:r>
    </w:p>
    <w:p>
      <w:pPr>
        <w:pStyle w:val="ListParagraph"/>
        <w:numPr>
          <w:ilvl w:val="0"/>
          <w:numId w:val="2"/>
        </w:numPr>
        <w:spacing w:after="80"/>
      </w:pPr>
      <w:r>
        <w:rPr>
          <w:b/>
          <w:bCs/>
        </w:rPr>
        <w:t xml:space="preserve">Procurement and audit use. </w:t>
      </w:r>
      <w:r>
        <w:t xml:space="preserve">Internal auditors and compliance teams use the CIS guide as a concrete checklist. 'Do we comply with CIS supply-chain guide control X?' is answerable in a way that 'Are we SSDF-compliant?' typically is not.</w:t>
      </w:r>
    </w:p>
    <w:p>
      <w:pPr>
        <w:pStyle w:val="Heading2"/>
        <w:spacing w:after="160" w:before="280"/>
      </w:pPr>
      <w:r>
        <w:rPr>
          <w:b/>
          <w:bCs/>
        </w:rPr>
        <w:t xml:space="preserve">6.5 Using the Guide Practically</w:t>
      </w:r>
    </w:p>
    <w:p>
      <w:pPr>
        <w:spacing w:after="140"/>
        <w:jc w:val="both"/>
      </w:pPr>
      <w:r>
        <w:t xml:space="preserve">Typical patterns for using the CIS guide:</w:t>
      </w:r>
    </w:p>
    <w:p>
      <w:pPr>
        <w:pStyle w:val="ListParagraph"/>
        <w:numPr>
          <w:ilvl w:val="0"/>
          <w:numId w:val="2"/>
        </w:numPr>
        <w:spacing w:after="80"/>
      </w:pPr>
      <w:r>
        <w:rPr>
          <w:b/>
          <w:bCs/>
        </w:rPr>
        <w:t xml:space="preserve">Gap assessment. </w:t>
      </w:r>
      <w:r>
        <w:t xml:space="preserve">Go through the controls systematically, assess current compliance, identify gaps. The specificity makes gap assessment concrete in a way that more abstract frameworks do not support.</w:t>
      </w:r>
    </w:p>
    <w:p>
      <w:pPr>
        <w:pStyle w:val="ListParagraph"/>
        <w:numPr>
          <w:ilvl w:val="0"/>
          <w:numId w:val="2"/>
        </w:numPr>
        <w:spacing w:after="80"/>
      </w:pPr>
      <w:r>
        <w:rPr>
          <w:b/>
          <w:bCs/>
        </w:rPr>
        <w:t xml:space="preserve">Internal standard document. </w:t>
      </w:r>
      <w:r>
        <w:t xml:space="preserve">Adopt the guide (or a subset) as the organization's internal supply-chain-security standard. New projects build to it; existing projects are assessed against it; exceptions are documented.</w:t>
      </w:r>
    </w:p>
    <w:p>
      <w:pPr>
        <w:pStyle w:val="ListParagraph"/>
        <w:numPr>
          <w:ilvl w:val="0"/>
          <w:numId w:val="2"/>
        </w:numPr>
        <w:spacing w:after="80"/>
      </w:pPr>
      <w:r>
        <w:rPr>
          <w:b/>
          <w:bCs/>
        </w:rPr>
        <w:t xml:space="preserve">Training reference. </w:t>
      </w:r>
      <w:r>
        <w:t xml:space="preserve">The specificity makes the guide useful for engineer training — showing specific examples of what 'good' looks like in the organization's specific tooling.</w:t>
      </w:r>
    </w:p>
    <w:p>
      <w:pPr>
        <w:pStyle w:val="ListParagraph"/>
        <w:numPr>
          <w:ilvl w:val="0"/>
          <w:numId w:val="2"/>
        </w:numPr>
        <w:spacing w:after="80"/>
      </w:pPr>
      <w:r>
        <w:rPr>
          <w:b/>
          <w:bCs/>
        </w:rPr>
        <w:t xml:space="preserve">Cross-framework mapping. </w:t>
      </w:r>
      <w:r>
        <w:t xml:space="preserve">CIS publishes mappings between the supply-chain guide and SSDF, SLSA, and other frameworks. An organization implementing the guide gains credit toward compliance with multiple frameworks through a single set of implementation work.</w:t>
      </w:r>
    </w:p>
    <w:p>
      <w:pPr>
        <w:spacing w:after="140"/>
        <w:jc w:val="both"/>
      </w:pPr>
      <w:r>
        <w:t xml:space="preserve">A common practical observation: organizations often find the CIS guide more actionable than higher-abstraction frameworks. An engineer asked to 'implement SSDF' may not know where to start; the same engineer asked to 'implement the Build Pipelines controls in the CIS supply-chain guide' has a concrete list of specific actions. The specificity that some might see as overly prescriptive is precisely what makes the guide usable as an implementation reference.</w:t>
      </w:r>
    </w:p>
    <w:p>
      <w:pPr>
        <w:pStyle w:val="Heading2"/>
        <w:spacing w:after="160" w:before="280"/>
      </w:pPr>
      <w:r>
        <w:rPr>
          <w:b/>
          <w:bCs/>
        </w:rPr>
        <w:t xml:space="preserve">6.6 Limitations</w:t>
      </w:r>
    </w:p>
    <w:p>
      <w:pPr>
        <w:spacing w:after="140"/>
        <w:jc w:val="both"/>
      </w:pPr>
      <w:r>
        <w:t xml:space="preserve">The CIS guide's limitations are the flip side of its strengths:</w:t>
      </w:r>
    </w:p>
    <w:p>
      <w:pPr>
        <w:pStyle w:val="ListParagraph"/>
        <w:numPr>
          <w:ilvl w:val="0"/>
          <w:numId w:val="2"/>
        </w:numPr>
        <w:spacing w:after="80"/>
      </w:pPr>
      <w:r>
        <w:rPr>
          <w:b/>
          <w:bCs/>
        </w:rPr>
        <w:t xml:space="preserve">Tool specificity. </w:t>
      </w:r>
      <w:r>
        <w:t xml:space="preserve">Recommendations often name specific tools (GitHub Actions, Kyverno, Sigstore). Organizations using different tooling need to translate guidance, which can introduce gaps.</w:t>
      </w:r>
    </w:p>
    <w:p>
      <w:pPr>
        <w:pStyle w:val="ListParagraph"/>
        <w:numPr>
          <w:ilvl w:val="0"/>
          <w:numId w:val="2"/>
        </w:numPr>
        <w:spacing w:after="80"/>
      </w:pPr>
      <w:r>
        <w:rPr>
          <w:b/>
          <w:bCs/>
        </w:rPr>
        <w:t xml:space="preserve">Maintenance lag. </w:t>
      </w:r>
      <w:r>
        <w:t xml:space="preserve">Tools evolve; the guide updates on a cadence slower than tool evolution. Recommendations for tools that have changed significantly may need interpretation.</w:t>
      </w:r>
    </w:p>
    <w:p>
      <w:pPr>
        <w:pStyle w:val="ListParagraph"/>
        <w:numPr>
          <w:ilvl w:val="0"/>
          <w:numId w:val="2"/>
        </w:numPr>
        <w:spacing w:after="80"/>
      </w:pPr>
      <w:r>
        <w:rPr>
          <w:b/>
          <w:bCs/>
        </w:rPr>
        <w:t xml:space="preserve">Focus on common cases. </w:t>
      </w:r>
      <w:r>
        <w:t xml:space="preserve">The guide addresses common organizational patterns; organizations with unusual architectures may find gaps or need substantial adaptation.</w:t>
      </w:r>
    </w:p>
    <w:p>
      <w:pPr>
        <w:pStyle w:val="ListParagraph"/>
        <w:numPr>
          <w:ilvl w:val="0"/>
          <w:numId w:val="2"/>
        </w:numPr>
        <w:spacing w:after="80"/>
      </w:pPr>
      <w:r>
        <w:rPr>
          <w:b/>
          <w:bCs/>
        </w:rPr>
        <w:t xml:space="preserve">Prescriptive vs. principled. </w:t>
      </w:r>
      <w:r>
        <w:t xml:space="preserve">The prescriptive style can encourage checkbox compliance rather than understanding underlying principles. Organizations using the guide should ensure engineers understand the why behind each control, not just the what.</w:t>
      </w:r>
    </w:p>
    <w:p>
      <w:pPr>
        <w:spacing w:after="140"/>
        <w:jc w:val="both"/>
      </w:pPr>
      <w:r>
        <w:t xml:space="preserve">Despite these limitations, the CIS Software Supply Chain Security Guide is one of the most operationally useful documents in the landscape. The combination of CIS's existing credibility (from Benchmarks and Critical Security Controls), the prescriptive detail, and the multi-framework alignment make it a natural center-piece of organizational supply-chain security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The CIS Software Supply Chain Security Guide is prescriptive implementation guidance for supply-chain security published by the Center for Internet Security. Organized around five phases (Source Code, Build Pipelines, Dependencies, Artifacts, Deployment) with specific controls including rationale and implementation guidance for common tools. Its distinctive value is actionable specificity — where other frameworks describe what to achieve, the CIS guide describes how to implement it in specific tooling. Often used as the implementation layer below SSDF and S2C2F's abstract requirements, prescribes SLSA and Sigstore adoption as specific controls, and complements the CIS Benchmarks' platform-specific guidance. Practical uses include gap assessment, internal-standard documentation, training reference, and cross-framework mapping. Limitations (tool specificity, maintenance lag, focus on common cases) are the flip side of its strengths; organizations still benefit from the actionability even while adapting to their specific context.</w:t>
            </w:r>
          </w:p>
        </w:tc>
      </w:tr>
    </w:tbl>
    <w:p>
      <w:r>
        <w:br w:type="page"/>
      </w:r>
    </w:p>
    <w:p>
      <w:pPr>
        <w:pStyle w:val="Heading1"/>
        <w:spacing w:after="200" w:before="360"/>
      </w:pPr>
      <w:r>
        <w:rPr>
          <w:b/>
          <w:bCs/>
        </w:rPr>
        <w:t xml:space="preserve">Chapter 7: EU Cyber Resilience Act — Upcoming Regulation</w:t>
      </w:r>
    </w:p>
    <w:p>
      <w:pPr>
        <w:pStyle w:val="Heading2"/>
        <w:spacing w:after="160" w:before="280"/>
      </w:pPr>
      <w:r>
        <w:rPr>
          <w:b/>
          <w:bCs/>
        </w:rPr>
        <w:t xml:space="preserve">7.1 What the CRA Is</w:t>
      </w:r>
    </w:p>
    <w:p>
      <w:pPr>
        <w:spacing w:after="140"/>
        <w:jc w:val="both"/>
      </w:pPr>
      <w:r>
        <w:rPr>
          <w:b/>
          <w:bCs/>
        </w:rPr>
        <w:t xml:space="preserve">The EU Cyber Resilience Act (CRA) </w:t>
      </w:r>
      <w:r>
        <w:t xml:space="preserve">is European Union legislation that places mandatory cybersecurity requirements on digital products placed on the EU market. Adopted in 2024 with primary obligations taking effect in December 2027, the CRA is the first major regulation to establish horizontal cybersecurity requirements for software products — applying across industries rather than being limited to specific sectors (finance, healthcare, critical infrastructure). Supply-chain security is a specific component of the CRA's broader requirements.</w:t>
      </w:r>
    </w:p>
    <w:p>
      <w:pPr>
        <w:spacing w:after="140"/>
        <w:jc w:val="both"/>
      </w:pPr>
      <w:r>
        <w:t xml:space="preserve">Key facts:</w:t>
      </w:r>
    </w:p>
    <w:p>
      <w:pPr>
        <w:pStyle w:val="ListParagraph"/>
        <w:numPr>
          <w:ilvl w:val="0"/>
          <w:numId w:val="2"/>
        </w:numPr>
        <w:spacing w:after="80"/>
      </w:pPr>
      <w:r>
        <w:t xml:space="preserve">Formally: Regulation (EU) 2024/2847 of the European Parliament and of the Council.</w:t>
      </w:r>
    </w:p>
    <w:p>
      <w:pPr>
        <w:pStyle w:val="ListParagraph"/>
        <w:numPr>
          <w:ilvl w:val="0"/>
          <w:numId w:val="2"/>
        </w:numPr>
        <w:spacing w:after="80"/>
      </w:pPr>
      <w:r>
        <w:t xml:space="preserve">Adopted in 2024; most obligations take effect in December 2027.</w:t>
      </w:r>
    </w:p>
    <w:p>
      <w:pPr>
        <w:pStyle w:val="ListParagraph"/>
        <w:numPr>
          <w:ilvl w:val="0"/>
          <w:numId w:val="2"/>
        </w:numPr>
        <w:spacing w:after="80"/>
      </w:pPr>
      <w:r>
        <w:t xml:space="preserve">Covers 'products with digital elements' — essentially any software or device with software, sold in the EU.</w:t>
      </w:r>
    </w:p>
    <w:p>
      <w:pPr>
        <w:pStyle w:val="ListParagraph"/>
        <w:numPr>
          <w:ilvl w:val="0"/>
          <w:numId w:val="2"/>
        </w:numPr>
        <w:spacing w:after="80"/>
      </w:pPr>
      <w:r>
        <w:t xml:space="preserve">Applies to manufacturers (producers) and, to a lesser extent, importers and distributors.</w:t>
      </w:r>
    </w:p>
    <w:p>
      <w:pPr>
        <w:pStyle w:val="ListParagraph"/>
        <w:numPr>
          <w:ilvl w:val="0"/>
          <w:numId w:val="2"/>
        </w:numPr>
        <w:spacing w:after="80"/>
      </w:pPr>
      <w:r>
        <w:t xml:space="preserve">Non-compliance can result in fines up to €15 million or 2.5% of global annual turnover, whichever is higher.</w:t>
      </w:r>
    </w:p>
    <w:p>
      <w:pPr>
        <w:pStyle w:val="ListParagraph"/>
        <w:numPr>
          <w:ilvl w:val="0"/>
          <w:numId w:val="2"/>
        </w:numPr>
        <w:spacing w:after="80"/>
      </w:pPr>
      <w:r>
        <w:t xml:space="preserve">Enforced by designated national authorities in each EU member state.</w:t>
      </w:r>
    </w:p>
    <w:p>
      <w:pPr>
        <w:spacing w:after="140"/>
        <w:jc w:val="both"/>
      </w:pPr>
      <w:r>
        <w:t xml:space="preserve">The CRA is significant beyond its specific requirements because it is law with substantial penalties, applicable to essentially all commercial software sold in a major market. Where earlier frameworks in this module create pressure through procurement, industry norms, or voluntary adoption, the CRA creates pressure through legal requirement. A vendor that ignores SSDF may lose federal sales; a vendor that ignores the CRA may face fines, market-removal orders, or criminal liability depending on the specifics.</w:t>
      </w:r>
    </w:p>
    <w:p>
      <w:pPr>
        <w:pStyle w:val="Heading2"/>
        <w:spacing w:after="160" w:before="280"/>
      </w:pPr>
      <w:r>
        <w:rPr>
          <w:b/>
          <w:bCs/>
        </w:rPr>
        <w:t xml:space="preserve">7.2 The Scope of Products Covered</w:t>
      </w:r>
    </w:p>
    <w:p>
      <w:pPr>
        <w:spacing w:after="140"/>
        <w:jc w:val="both"/>
      </w:pPr>
      <w:r>
        <w:t xml:space="preserve">The CRA applies to 'products with digital elements' — a deliberately broad category. This includes:</w:t>
      </w:r>
    </w:p>
    <w:p>
      <w:pPr>
        <w:pStyle w:val="ListParagraph"/>
        <w:numPr>
          <w:ilvl w:val="0"/>
          <w:numId w:val="2"/>
        </w:numPr>
        <w:spacing w:after="80"/>
      </w:pPr>
      <w:r>
        <w:t xml:space="preserve">Software products sold commercially (desktop applications, enterprise software, SaaS backends for products sold into EU).</w:t>
      </w:r>
    </w:p>
    <w:p>
      <w:pPr>
        <w:pStyle w:val="ListParagraph"/>
        <w:numPr>
          <w:ilvl w:val="0"/>
          <w:numId w:val="2"/>
        </w:numPr>
        <w:spacing w:after="80"/>
      </w:pPr>
      <w:r>
        <w:t xml:space="preserve">Connected devices with embedded software (IoT devices, smart appliances, industrial equipment).</w:t>
      </w:r>
    </w:p>
    <w:p>
      <w:pPr>
        <w:pStyle w:val="ListParagraph"/>
        <w:numPr>
          <w:ilvl w:val="0"/>
          <w:numId w:val="2"/>
        </w:numPr>
        <w:spacing w:after="80"/>
      </w:pPr>
      <w:r>
        <w:t xml:space="preserve">Components that could be integrated into other products (libraries, SDKs, hardware with firmware).</w:t>
      </w:r>
    </w:p>
    <w:p>
      <w:pPr>
        <w:pStyle w:val="ListParagraph"/>
        <w:numPr>
          <w:ilvl w:val="0"/>
          <w:numId w:val="2"/>
        </w:numPr>
        <w:spacing w:after="80"/>
      </w:pPr>
      <w:r>
        <w:t xml:space="preserve">Free software where there is a commercial relationship, though pure open-source is largely exempt (see Chapter 7.5).</w:t>
      </w:r>
    </w:p>
    <w:p>
      <w:pPr>
        <w:spacing w:after="140"/>
        <w:jc w:val="both"/>
      </w:pPr>
      <w:r>
        <w:t xml:space="preserve">Not all products face the same requirements. The CRA creates two categories: 'important' products (mostly cybersecurity and operational-technology products) and 'critical' products (a narrower set with higher requirements). Most ordinary products fall outside these specific categories but still face the baseline CRA requirements. The exact categorization has evolved during legislative drafting and implementation specifics are still being worked out by regulators.</w:t>
      </w:r>
    </w:p>
    <w:p>
      <w:pPr>
        <w:pStyle w:val="Heading2"/>
        <w:spacing w:after="160" w:before="280"/>
      </w:pPr>
      <w:r>
        <w:rPr>
          <w:b/>
          <w:bCs/>
        </w:rPr>
        <w:t xml:space="preserve">7.3 The Specific Supply-Chain Requirements</w:t>
      </w:r>
    </w:p>
    <w:p>
      <w:pPr>
        <w:spacing w:after="140"/>
        <w:jc w:val="both"/>
      </w:pPr>
      <w:r>
        <w:t xml:space="preserve">The CRA's supply-chain requirements (distinct from its broader cybersecurity requirements) include:</w:t>
      </w:r>
    </w:p>
    <w:p>
      <w:pPr>
        <w:pStyle w:val="ListParagraph"/>
        <w:numPr>
          <w:ilvl w:val="0"/>
          <w:numId w:val="2"/>
        </w:numPr>
        <w:spacing w:after="80"/>
      </w:pPr>
      <w:r>
        <w:rPr>
          <w:b/>
          <w:bCs/>
        </w:rPr>
        <w:t xml:space="preserve">SBOM requirement. </w:t>
      </w:r>
      <w:r>
        <w:t xml:space="preserve">Manufacturers must maintain an SBOM for each product, documenting at minimum the top-level dependencies. The specific format and depth are being defined in implementing acts.</w:t>
      </w:r>
    </w:p>
    <w:p>
      <w:pPr>
        <w:pStyle w:val="ListParagraph"/>
        <w:numPr>
          <w:ilvl w:val="0"/>
          <w:numId w:val="2"/>
        </w:numPr>
        <w:spacing w:after="80"/>
      </w:pPr>
      <w:r>
        <w:rPr>
          <w:b/>
          <w:bCs/>
        </w:rPr>
        <w:t xml:space="preserve">Vulnerability handling. </w:t>
      </w:r>
      <w:r>
        <w:t xml:space="preserve">Manufacturers must have defined processes for receiving, assessing, and disclosing vulnerabilities in their products. This essentially requires a coordinated vulnerability disclosure program (Module 9 Chapter 3's vulnerability response extended to external reporters).</w:t>
      </w:r>
    </w:p>
    <w:p>
      <w:pPr>
        <w:pStyle w:val="ListParagraph"/>
        <w:numPr>
          <w:ilvl w:val="0"/>
          <w:numId w:val="2"/>
        </w:numPr>
        <w:spacing w:after="80"/>
      </w:pPr>
      <w:r>
        <w:rPr>
          <w:b/>
          <w:bCs/>
        </w:rPr>
        <w:t xml:space="preserve">Vulnerability reporting to ENISA. </w:t>
      </w:r>
      <w:r>
        <w:t xml:space="preserve">Manufacturers must report actively-exploited vulnerabilities to ENISA (the EU's cybersecurity agency) within specific timeframes (24 hours early warning, 72 hours vulnerability notification, 14 days final report). This is a specific regulatory obligation with its own process.</w:t>
      </w:r>
    </w:p>
    <w:p>
      <w:pPr>
        <w:pStyle w:val="ListParagraph"/>
        <w:numPr>
          <w:ilvl w:val="0"/>
          <w:numId w:val="2"/>
        </w:numPr>
        <w:spacing w:after="80"/>
      </w:pPr>
      <w:r>
        <w:rPr>
          <w:b/>
          <w:bCs/>
        </w:rPr>
        <w:t xml:space="preserve">Security updates throughout support period. </w:t>
      </w:r>
      <w:r>
        <w:t xml:space="preserve">Manufacturers must provide security updates for their products for at least five years (or the product's expected lifetime, whichever is shorter). Products with shorter planned lifespans need to communicate this clearly.</w:t>
      </w:r>
    </w:p>
    <w:p>
      <w:pPr>
        <w:pStyle w:val="ListParagraph"/>
        <w:numPr>
          <w:ilvl w:val="0"/>
          <w:numId w:val="2"/>
        </w:numPr>
        <w:spacing w:after="80"/>
      </w:pPr>
      <w:r>
        <w:rPr>
          <w:b/>
          <w:bCs/>
        </w:rPr>
        <w:t xml:space="preserve">Due diligence on third-party components. </w:t>
      </w:r>
      <w:r>
        <w:t xml:space="preserve">Manufacturers using third-party components (including open-source) must exercise due diligence — assessing security properties, staying updated on vulnerabilities, patching when fixes are available. This is the regulatory enforcement of what Module 9 Chapter 4 (Vendor Assessment) covers as organizational practice.</w:t>
      </w:r>
    </w:p>
    <w:p>
      <w:pPr>
        <w:pStyle w:val="ListParagraph"/>
        <w:numPr>
          <w:ilvl w:val="0"/>
          <w:numId w:val="2"/>
        </w:numPr>
        <w:spacing w:after="80"/>
      </w:pPr>
      <w:r>
        <w:rPr>
          <w:b/>
          <w:bCs/>
        </w:rPr>
        <w:t xml:space="preserve">Documentation obligations. </w:t>
      </w:r>
      <w:r>
        <w:t xml:space="preserve">Comprehensive documentation of cybersecurity measures, SBOMs, vulnerability handling, security updates — all maintained for the product's lifetime. This creates substantial documentation overhead but also supports audit and enforcement.</w:t>
      </w:r>
    </w:p>
    <w:p>
      <w:pPr>
        <w:pStyle w:val="Heading2"/>
        <w:spacing w:after="160" w:before="280"/>
      </w:pPr>
      <w:r>
        <w:rPr>
          <w:b/>
          <w:bCs/>
        </w:rPr>
        <w:t xml:space="preserve">7.4 The CE Mark and Conformity Assessment</w:t>
      </w:r>
    </w:p>
    <w:p>
      <w:pPr>
        <w:spacing w:after="140"/>
        <w:jc w:val="both"/>
      </w:pPr>
      <w:r>
        <w:t xml:space="preserve">The CRA integrates with the EU's existing CE marking framework. Products complying with the CRA bear the CE mark, which has historically certified conformity with various EU product directives. Cybersecurity joins the list of conformity dimensions marked by CE.</w:t>
      </w:r>
    </w:p>
    <w:p>
      <w:pPr>
        <w:spacing w:after="140"/>
        <w:jc w:val="both"/>
      </w:pPr>
      <w:r>
        <w:t xml:space="preserve">Conformity assessment — how a manufacturer demonstrates compliance — varies by product category:</w:t>
      </w:r>
    </w:p>
    <w:p>
      <w:pPr>
        <w:pStyle w:val="ListParagraph"/>
        <w:numPr>
          <w:ilvl w:val="0"/>
          <w:numId w:val="2"/>
        </w:numPr>
        <w:spacing w:after="80"/>
      </w:pPr>
      <w:r>
        <w:rPr>
          <w:b/>
          <w:bCs/>
        </w:rPr>
        <w:t xml:space="preserve">Self-assessment (most products). </w:t>
      </w:r>
      <w:r>
        <w:t xml:space="preserve">The manufacturer internally assesses their product against the CRA requirements, produces technical documentation, and declares conformity. Responsibility for accuracy rests with the manufacturer; fines apply if the declaration is inaccurate.</w:t>
      </w:r>
    </w:p>
    <w:p>
      <w:pPr>
        <w:pStyle w:val="ListParagraph"/>
        <w:numPr>
          <w:ilvl w:val="0"/>
          <w:numId w:val="2"/>
        </w:numPr>
        <w:spacing w:after="80"/>
      </w:pPr>
      <w:r>
        <w:rPr>
          <w:b/>
          <w:bCs/>
        </w:rPr>
        <w:t xml:space="preserve">Third-party assessment (important products). </w:t>
      </w:r>
      <w:r>
        <w:t xml:space="preserve">Products in the 'important' category typically require a notified body (a qualified third-party assessor) to verify conformity. More expensive and slower but provides stronger compliance evidence.</w:t>
      </w:r>
    </w:p>
    <w:p>
      <w:pPr>
        <w:pStyle w:val="ListParagraph"/>
        <w:numPr>
          <w:ilvl w:val="0"/>
          <w:numId w:val="2"/>
        </w:numPr>
        <w:spacing w:after="80"/>
      </w:pPr>
      <w:r>
        <w:rPr>
          <w:b/>
          <w:bCs/>
        </w:rPr>
        <w:t xml:space="preserve">EU certification (some critical products). </w:t>
      </w:r>
      <w:r>
        <w:t xml:space="preserve">A small set of products may require EU-level cybersecurity certification through a specific scheme. Most products do not fall into this category.</w:t>
      </w:r>
    </w:p>
    <w:p>
      <w:pPr>
        <w:spacing w:after="140"/>
        <w:jc w:val="both"/>
      </w:pPr>
      <w:r>
        <w:t xml:space="preserve">The self-assessment route is the path most manufacturers will take. The specific documentation required for self-assessment is being defined in implementing acts. The documentation is extensive — SBOMs, vulnerability management process documentation, support-lifecycle commitments, threat analysis, security measure descriptions — all retained for the product's lifetime plus additional years post-end-of-life.</w:t>
      </w:r>
    </w:p>
    <w:p>
      <w:pPr>
        <w:pStyle w:val="Heading2"/>
        <w:spacing w:after="160" w:before="280"/>
      </w:pPr>
      <w:r>
        <w:rPr>
          <w:b/>
          <w:bCs/>
        </w:rPr>
        <w:t xml:space="preserve">7.5 The Open-Source Question</w:t>
      </w:r>
    </w:p>
    <w:p>
      <w:pPr>
        <w:spacing w:after="140"/>
        <w:jc w:val="both"/>
      </w:pPr>
      <w:r>
        <w:t xml:space="preserve">A specific concern during CRA drafting was its impact on open-source software. Early drafts were interpreted as imposing CRA requirements on open-source projects, which would have been catastrophic — volunteer maintainers cannot realistically undertake CE-marking conformity assessments.</w:t>
      </w:r>
    </w:p>
    <w:p>
      <w:pPr>
        <w:spacing w:after="140"/>
        <w:jc w:val="both"/>
      </w:pPr>
      <w:r>
        <w:t xml:space="preserve">The final regulation substantially exempts pure open-source software from most CRA obligations, with specific tests for what counts as 'truly' open-source rather than commercial with an open-source component:</w:t>
      </w:r>
    </w:p>
    <w:p>
      <w:pPr>
        <w:pStyle w:val="ListParagraph"/>
        <w:numPr>
          <w:ilvl w:val="0"/>
          <w:numId w:val="2"/>
        </w:numPr>
        <w:spacing w:after="80"/>
      </w:pPr>
      <w:r>
        <w:t xml:space="preserve">Open-source software developed or distributed without a commercial activity is mostly exempt from direct manufacturer obligations.</w:t>
      </w:r>
    </w:p>
    <w:p>
      <w:pPr>
        <w:pStyle w:val="ListParagraph"/>
        <w:numPr>
          <w:ilvl w:val="0"/>
          <w:numId w:val="2"/>
        </w:numPr>
        <w:spacing w:after="80"/>
      </w:pPr>
      <w:r>
        <w:t xml:space="preserve">'Open-source software stewards' (organizations supporting open-source projects, like the Linux Foundation) have lighter obligations focused on vulnerability handling and transparency.</w:t>
      </w:r>
    </w:p>
    <w:p>
      <w:pPr>
        <w:pStyle w:val="ListParagraph"/>
        <w:numPr>
          <w:ilvl w:val="0"/>
          <w:numId w:val="2"/>
        </w:numPr>
        <w:spacing w:after="80"/>
      </w:pPr>
      <w:r>
        <w:t xml:space="preserve">Commercial software that integrates open-source components carries the CRA obligations — the commercial manufacturer is the CRA-obligated entity, not the open-source project.</w:t>
      </w:r>
    </w:p>
    <w:p>
      <w:pPr>
        <w:pStyle w:val="ListParagraph"/>
        <w:numPr>
          <w:ilvl w:val="0"/>
          <w:numId w:val="2"/>
        </w:numPr>
        <w:spacing w:after="80"/>
      </w:pPr>
      <w:r>
        <w:t xml:space="preserve">Open-source used as a product component has the manufacturer responsible for due diligence (Chapter 7.3 above).</w:t>
      </w:r>
    </w:p>
    <w:p>
      <w:pPr>
        <w:spacing w:after="140"/>
        <w:jc w:val="both"/>
      </w:pPr>
      <w:r>
        <w:t xml:space="preserve">The exemption reflects the reality that open-source is infrastructure that cannot be regulated like commercial products. Commercial entities building on open-source have the compliance obligations; the open-source itself is largely spared. This was contentious during drafting but the final position is stable and reasonable.</w:t>
      </w:r>
    </w:p>
    <w:p>
      <w:pPr>
        <w:pStyle w:val="Heading2"/>
        <w:spacing w:after="160" w:before="280"/>
      </w:pPr>
      <w:r>
        <w:rPr>
          <w:b/>
          <w:bCs/>
        </w:rPr>
        <w:t xml:space="preserve">7.6 The Implementation Timeline</w:t>
      </w:r>
    </w:p>
    <w:p>
      <w:pPr>
        <w:spacing w:after="140"/>
        <w:jc w:val="both"/>
      </w:pPr>
      <w:r>
        <w:t xml:space="preserve">The CRA's implementation timeline matters for compliance planning:</w:t>
      </w:r>
    </w:p>
    <w:p>
      <w:pPr>
        <w:pStyle w:val="ListParagraph"/>
        <w:numPr>
          <w:ilvl w:val="0"/>
          <w:numId w:val="2"/>
        </w:numPr>
        <w:spacing w:after="80"/>
      </w:pPr>
      <w:r>
        <w:t xml:space="preserve">December 2024: CRA adopted.</w:t>
      </w:r>
    </w:p>
    <w:p>
      <w:pPr>
        <w:pStyle w:val="ListParagraph"/>
        <w:numPr>
          <w:ilvl w:val="0"/>
          <w:numId w:val="2"/>
        </w:numPr>
        <w:spacing w:after="80"/>
      </w:pPr>
      <w:r>
        <w:t xml:space="preserve">September 2026: Vulnerability reporting obligations begin.</w:t>
      </w:r>
    </w:p>
    <w:p>
      <w:pPr>
        <w:pStyle w:val="ListParagraph"/>
        <w:numPr>
          <w:ilvl w:val="0"/>
          <w:numId w:val="2"/>
        </w:numPr>
        <w:spacing w:after="80"/>
      </w:pPr>
      <w:r>
        <w:t xml:space="preserve">December 2027: Full CRA obligations take effect. Products placed on the EU market after this date must comply.</w:t>
      </w:r>
    </w:p>
    <w:p>
      <w:pPr>
        <w:pStyle w:val="ListParagraph"/>
        <w:numPr>
          <w:ilvl w:val="0"/>
          <w:numId w:val="2"/>
        </w:numPr>
        <w:spacing w:after="80"/>
      </w:pPr>
      <w:r>
        <w:t xml:space="preserve">Transitional provisions may apply for products already on the market; specifics are being finalized in implementing acts.</w:t>
      </w:r>
    </w:p>
    <w:p>
      <w:pPr>
        <w:spacing w:after="140"/>
        <w:jc w:val="both"/>
      </w:pPr>
      <w:r>
        <w:t xml:space="preserve">For manufacturers, the practical timeline for implementation work is roughly:</w:t>
      </w:r>
    </w:p>
    <w:p>
      <w:pPr>
        <w:pStyle w:val="ListParagraph"/>
        <w:numPr>
          <w:ilvl w:val="0"/>
          <w:numId w:val="2"/>
        </w:numPr>
        <w:spacing w:after="80"/>
      </w:pPr>
      <w:r>
        <w:t xml:space="preserve">2024-2025: Gap assessment and planning. Identify current state; plan remediation.</w:t>
      </w:r>
    </w:p>
    <w:p>
      <w:pPr>
        <w:pStyle w:val="ListParagraph"/>
        <w:numPr>
          <w:ilvl w:val="0"/>
          <w:numId w:val="2"/>
        </w:numPr>
        <w:spacing w:after="80"/>
      </w:pPr>
      <w:r>
        <w:t xml:space="preserve">2025-2026: Implementation. Put in place the technical and process controls required. This is where SLSA, Sigstore, SBOM generation, and vulnerability response processes get implemented at the scale the CRA requires.</w:t>
      </w:r>
    </w:p>
    <w:p>
      <w:pPr>
        <w:pStyle w:val="ListParagraph"/>
        <w:numPr>
          <w:ilvl w:val="0"/>
          <w:numId w:val="2"/>
        </w:numPr>
        <w:spacing w:after="80"/>
      </w:pPr>
      <w:r>
        <w:t xml:space="preserve">2026-2027: Documentation and testing. Produce the technical documentation required for self-assessment; run internal drills of the vulnerability reporting process.</w:t>
      </w:r>
    </w:p>
    <w:p>
      <w:pPr>
        <w:pStyle w:val="ListParagraph"/>
        <w:numPr>
          <w:ilvl w:val="0"/>
          <w:numId w:val="2"/>
        </w:numPr>
        <w:spacing w:after="80"/>
      </w:pPr>
      <w:r>
        <w:t xml:space="preserve">December 2027: Go-live. Products sold bear CE mark confirming CRA conformity.</w:t>
      </w:r>
    </w:p>
    <w:p>
      <w:pPr>
        <w:spacing w:after="140"/>
        <w:jc w:val="both"/>
      </w:pPr>
      <w:r>
        <w:t xml:space="preserve">The compressed timeline means that organizations not already substantially prepared are going to be scrambling. Substantial investment in SLSA, SBOM production, and vulnerability response infrastructure that has accelerated in 2024-2026 is partly driven by CRA preparation.</w:t>
      </w:r>
    </w:p>
    <w:p>
      <w:pPr>
        <w:pStyle w:val="Heading2"/>
        <w:spacing w:after="160" w:before="280"/>
      </w:pPr>
      <w:r>
        <w:rPr>
          <w:b/>
          <w:bCs/>
        </w:rPr>
        <w:t xml:space="preserve">7.7 Beyond the EU — The Global Effect</w:t>
      </w:r>
    </w:p>
    <w:p>
      <w:pPr>
        <w:spacing w:after="140"/>
        <w:jc w:val="both"/>
      </w:pPr>
      <w:r>
        <w:t xml:space="preserve">Like many EU regulations, the CRA will likely have effects beyond the EU:</w:t>
      </w:r>
    </w:p>
    <w:p>
      <w:pPr>
        <w:pStyle w:val="ListParagraph"/>
        <w:numPr>
          <w:ilvl w:val="0"/>
          <w:numId w:val="2"/>
        </w:numPr>
        <w:spacing w:after="80"/>
      </w:pPr>
      <w:r>
        <w:rPr>
          <w:b/>
          <w:bCs/>
        </w:rPr>
        <w:t xml:space="preserve">The Brussels Effect. </w:t>
      </w:r>
      <w:r>
        <w:t xml:space="preserve">Manufacturers selling globally often standardize their practices to the strictest applicable regulation (often EU), which means CRA-driven practices become global defaults. This is the same dynamic that made GDPR's privacy protections effectively global.</w:t>
      </w:r>
    </w:p>
    <w:p>
      <w:pPr>
        <w:pStyle w:val="ListParagraph"/>
        <w:numPr>
          <w:ilvl w:val="0"/>
          <w:numId w:val="2"/>
        </w:numPr>
        <w:spacing w:after="80"/>
      </w:pPr>
      <w:r>
        <w:rPr>
          <w:b/>
          <w:bCs/>
        </w:rPr>
        <w:t xml:space="preserve">Vendor pressure. </w:t>
      </w:r>
      <w:r>
        <w:t xml:space="preserve">Non-EU organizations selling to EU customers, or to multinational customers that sell to the EU, face downstream pressure to provide the artifacts and commitments the CRA requires. This propagates CRA-like requirements through vendor relationships.</w:t>
      </w:r>
    </w:p>
    <w:p>
      <w:pPr>
        <w:pStyle w:val="ListParagraph"/>
        <w:numPr>
          <w:ilvl w:val="0"/>
          <w:numId w:val="2"/>
        </w:numPr>
        <w:spacing w:after="80"/>
      </w:pPr>
      <w:r>
        <w:rPr>
          <w:b/>
          <w:bCs/>
        </w:rPr>
        <w:t xml:space="preserve">Regulatory convergence. </w:t>
      </w:r>
      <w:r>
        <w:t xml:space="preserve">Other jurisdictions (UK, Australia, Canada, Japan) are evaluating similar legislation. The CRA provides a concrete template that other regulators are studying and may adapt.</w:t>
      </w:r>
    </w:p>
    <w:p>
      <w:pPr>
        <w:pStyle w:val="ListParagraph"/>
        <w:numPr>
          <w:ilvl w:val="0"/>
          <w:numId w:val="2"/>
        </w:numPr>
        <w:spacing w:after="80"/>
      </w:pPr>
      <w:r>
        <w:rPr>
          <w:b/>
          <w:bCs/>
        </w:rPr>
        <w:t xml:space="preserve">Industry standardization. </w:t>
      </w:r>
      <w:r>
        <w:t xml:space="preserve">The CRA references existing standards (some EU-specific, some international). Standards bodies are accelerating work on relevant specifications knowing they will have regulatory weight.</w:t>
      </w:r>
    </w:p>
    <w:p>
      <w:pPr>
        <w:spacing w:after="140"/>
        <w:jc w:val="both"/>
      </w:pPr>
      <w:r>
        <w:t xml:space="preserve">The practical implication for non-EU organizations: the CRA effectively requires the supply-chain security practices covered in this curriculum, with legal enforcement. Organizations that have invested in SLSA, Sigstore, SBOMs, and comprehensive organizational practices are well-positioned; organizations that have not have substantial catch-up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The CRA compliance challenge is real</w:t>
            </w:r>
          </w:p>
          <w:p>
            <w:pPr>
              <w:jc w:val="both"/>
            </w:pPr>
            <w:r>
              <w:t xml:space="preserve">The CRA creates specific legal obligations with significant penalties. Organizations cannot treat it like voluntary frameworks — compliance is not optional, and the fines are substantial relative to typical compliance costs. Organizations selling digital products in the EU should be actively preparing for December 2027. The practical work involves not just implementing technical controls but also establishing the documentation and process infrastructure to demonstrate compliance. Relying on 'we'll figure it out closer to the deadline' is not a viable strategy given the breadth of what the CRA requires.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The EU Cyber Resilience Act is the first major horizontal regulation establishing mandatory cybersecurity requirements for software products sold in the EU, with primary obligations taking effect December 2027. Non-compliance can result in fines up to €15 million or 2.5% of global turnover. Supply-chain requirements include SBOMs, vulnerability handling processes, ENISA reporting obligations (24 hours / 72 hours / 14 days), support lifecycle commitments, and due diligence on third-party components. Conformity assessment is typically self-assessment for most products, with CE marking confirming compliance. Pure open-source is substantially exempt but commercial software built on open-source carries full obligations. The Brussels Effect, vendor pressure, regulatory convergence, and industry standardization mean the CRA's effects extend beyond the EU — it effectively makes the practices covered in this curriculum legally required for organizations selling digital products globally. The compressed implementation timeline (2024-2027) is driving substantial investment in supply-chain security infrastructure.</w:t>
            </w:r>
          </w:p>
        </w:tc>
      </w:tr>
    </w:tbl>
    <w:p>
      <w:r>
        <w:br w:type="page"/>
      </w:r>
    </w:p>
    <w:p>
      <w:pPr>
        <w:pStyle w:val="Heading1"/>
        <w:spacing w:after="200" w:before="360"/>
      </w:pPr>
      <w:r>
        <w:rPr>
          <w:b/>
          <w:bCs/>
        </w:rPr>
        <w:t xml:space="preserve">Synthesis: Navigating the Framework Landscape</w:t>
      </w:r>
    </w:p>
    <w:p>
      <w:pPr>
        <w:spacing w:after="140"/>
        <w:jc w:val="both"/>
      </w:pPr>
      <w:r>
        <w:t xml:space="preserve">This module has covered the frameworks, standards, and regulations that shape modern supply-chain security governance. The seven chapters build a picture of how the different frameworks fit together — who produces them, what each addresses, and how they combine in practice.</w:t>
      </w:r>
    </w:p>
    <w:p>
      <w:pPr>
        <w:spacing w:after="140"/>
        <w:jc w:val="both"/>
      </w:pPr>
      <w:r>
        <w:t xml:space="preserve">Chapter 1 recapped SLSA and Sigstore's foundational positioning. Their distinctive contribution is producing automatable, verifiable artifacts that other frameworks build on. SLSA for build integrity at graduated levels; Sigstore for cryptographic signing without key management. Most other frameworks reference or assume them.</w:t>
      </w:r>
    </w:p>
    <w:p>
      <w:pPr>
        <w:spacing w:after="140"/>
        <w:jc w:val="both"/>
      </w:pPr>
      <w:r>
        <w:t xml:space="preserve">Chapter 2 covered OpenSSF Scorecard as the automated security-hygiene assessment tool for open-source projects. Approximately 20 specific checks producing 0–10 scores, continuously maintained for most popular projects. The contribution is automation at the scale modern supply chains require; limitations include surface-level assessment and ecosystem bias.</w:t>
      </w:r>
    </w:p>
    <w:p>
      <w:pPr>
        <w:spacing w:after="140"/>
        <w:jc w:val="both"/>
      </w:pPr>
      <w:r>
        <w:t xml:space="preserve">Chapter 3 covered in-toto as the underlying attestation framework. Its format — Statement + predicate type + predicate, wrapped in DSSE envelope — is the universal wrapper for supply-chain evidence, used by SLSA, SBOMs, Sigstore, and custom attestations. The format succeeded where the full chained-attestation framework saw less adoption, illustrating how incremental-value mechanisms win over architectural-commitment ones.</w:t>
      </w:r>
    </w:p>
    <w:p>
      <w:pPr>
        <w:spacing w:after="140"/>
        <w:jc w:val="both"/>
      </w:pPr>
      <w:r>
        <w:t xml:space="preserve">Chapter 4 covered Microsoft's S2C2F (now under OpenSSF governance) as the consumption-focused supply-chain framework. Eight practice areas across four maturity levels, filling the specific gap of 'how do organizations safely consume software?' that production-focused frameworks do not address directly.</w:t>
      </w:r>
    </w:p>
    <w:p>
      <w:pPr>
        <w:spacing w:after="140"/>
        <w:jc w:val="both"/>
      </w:pPr>
      <w:r>
        <w:t xml:space="preserve">Chapter 5 covered NIST SSDF as the US government-endorsed baseline for secure development. Four practice groups (Prepare, Protect, Produce, Respond) with supply-chain content spread across multiple practices. The specific regulatory weight of SSDF comes from its role in federal procurement — vendors attesting to SSDF conformance as a contractual obligation.</w:t>
      </w:r>
    </w:p>
    <w:p>
      <w:pPr>
        <w:spacing w:after="140"/>
        <w:jc w:val="both"/>
      </w:pPr>
      <w:r>
        <w:t xml:space="preserve">Chapter 6 covered the CIS Software Supply Chain Security Guide as prescriptive implementation guidance. Five phases (Source Code, Build Pipelines, Dependencies, Artifacts, Deployment) with specific controls and implementation guidance for common tools. Its value is actionable specificity — the implementation layer below abstract frameworks.</w:t>
      </w:r>
    </w:p>
    <w:p>
      <w:pPr>
        <w:spacing w:after="140"/>
        <w:jc w:val="both"/>
      </w:pPr>
      <w:r>
        <w:t xml:space="preserve">Chapter 7 covered the EU Cyber Resilience Act as the regulatory dimension transitioning supply-chain practices from voluntary to legally mandated. December 2027 timeline; substantial fines for non-compliance; effects extending globally through the Brussels Effect and vendor pressure.</w:t>
      </w:r>
    </w:p>
    <w:p>
      <w:pPr>
        <w:pStyle w:val="Heading2"/>
        <w:spacing w:after="160" w:before="280"/>
      </w:pPr>
      <w:r>
        <w:rPr>
          <w:b/>
          <w:bCs/>
        </w:rPr>
        <w:t xml:space="preserve">How They Fit Together</w:t>
      </w:r>
    </w:p>
    <w:p>
      <w:pPr>
        <w:spacing w:after="140"/>
        <w:jc w:val="both"/>
      </w:pPr>
      <w:r>
        <w:t xml:space="preserve">A useful way to organize the combined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Framework</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Type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Primary focus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SLSA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Technical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Build integrity with graduated levels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Sigstore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Infrastructure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Cryptographic signing without key management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Scorecard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Measurement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Open-source project hygiene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in-toto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Format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Attestation framework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S2C2F</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Practice guide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Consumption side of supply chain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NIST SSDF</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Process framework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Secure development lifecycle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CIS Guide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Implementation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Prescriptive controls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EU CRA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Regulation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Legal requirements in EU market</w:t>
            </w:r>
          </w:p>
        </w:tc>
      </w:tr>
    </w:tbl>
    <w:p>
      <w:pPr>
        <w:spacing w:after="100"/>
      </w:pPr>
      <w:r>
        <w:t xml:space="preserve"/>
      </w:r>
    </w:p>
    <w:p>
      <w:pPr>
        <w:spacing w:after="140"/>
        <w:jc w:val="both"/>
      </w:pPr>
      <w:r>
        <w:t xml:space="preserve">The frameworks complement rather than compete:</w:t>
      </w:r>
    </w:p>
    <w:p>
      <w:pPr>
        <w:pStyle w:val="ListParagraph"/>
        <w:numPr>
          <w:ilvl w:val="0"/>
          <w:numId w:val="2"/>
        </w:numPr>
        <w:spacing w:after="80"/>
      </w:pPr>
      <w:r>
        <w:t xml:space="preserve">Technical frameworks (SLSA, Sigstore, in-toto) provide the substrate.</w:t>
      </w:r>
    </w:p>
    <w:p>
      <w:pPr>
        <w:pStyle w:val="ListParagraph"/>
        <w:numPr>
          <w:ilvl w:val="0"/>
          <w:numId w:val="2"/>
        </w:numPr>
        <w:spacing w:after="80"/>
      </w:pPr>
      <w:r>
        <w:t xml:space="preserve">Measurement (Scorecard) gives automated signals.</w:t>
      </w:r>
    </w:p>
    <w:p>
      <w:pPr>
        <w:pStyle w:val="ListParagraph"/>
        <w:numPr>
          <w:ilvl w:val="0"/>
          <w:numId w:val="2"/>
        </w:numPr>
        <w:spacing w:after="80"/>
      </w:pPr>
      <w:r>
        <w:t xml:space="preserve">Practice frameworks (S2C2F, SSDF) describe what to do.</w:t>
      </w:r>
    </w:p>
    <w:p>
      <w:pPr>
        <w:pStyle w:val="ListParagraph"/>
        <w:numPr>
          <w:ilvl w:val="0"/>
          <w:numId w:val="2"/>
        </w:numPr>
        <w:spacing w:after="80"/>
      </w:pPr>
      <w:r>
        <w:t xml:space="preserve">Implementation guidance (CIS) describes how to do it.</w:t>
      </w:r>
    </w:p>
    <w:p>
      <w:pPr>
        <w:pStyle w:val="ListParagraph"/>
        <w:numPr>
          <w:ilvl w:val="0"/>
          <w:numId w:val="2"/>
        </w:numPr>
        <w:spacing w:after="80"/>
      </w:pPr>
      <w:r>
        <w:t xml:space="preserve">Regulation (CRA) makes it legally required.</w:t>
      </w:r>
    </w:p>
    <w:p>
      <w:pPr>
        <w:spacing w:after="140"/>
        <w:jc w:val="both"/>
      </w:pPr>
      <w:r>
        <w:t xml:space="preserve">An organization with mature supply-chain practices uses elements of all of them. Technical stack implements SLSA and Sigstore. Dependencies are scored via Scorecard. Consumption follows S2C2F practices. Development processes meet SSDF. Specific implementations reference the CIS guide. And the whole thing needs to satisfy CRA requirements for EU market access. The frameworks layer rather than replace each other.</w:t>
      </w:r>
    </w:p>
    <w:p>
      <w:pPr>
        <w:pStyle w:val="Heading2"/>
        <w:spacing w:after="160" w:before="280"/>
      </w:pPr>
      <w:r>
        <w:rPr>
          <w:b/>
          <w:bCs/>
        </w:rPr>
        <w:t xml:space="preserve">Practical Framework Navigation</w:t>
      </w:r>
    </w:p>
    <w:p>
      <w:pPr>
        <w:spacing w:after="140"/>
        <w:jc w:val="both"/>
      </w:pPr>
      <w:r>
        <w:t xml:space="preserve">For an organization beginning to navigate this landscape, a practical approach:</w:t>
      </w:r>
    </w:p>
    <w:p>
      <w:pPr>
        <w:pStyle w:val="ListParagraph"/>
        <w:numPr>
          <w:ilvl w:val="0"/>
          <w:numId w:val="2"/>
        </w:numPr>
        <w:spacing w:after="80"/>
      </w:pPr>
      <w:r>
        <w:t xml:space="preserve">Start with technical foundations: adopt SLSA L2 or L3 (Module 2) and Sigstore (Module 4). These are the most concrete investments with the clearest immediate value.</w:t>
      </w:r>
    </w:p>
    <w:p>
      <w:pPr>
        <w:pStyle w:val="ListParagraph"/>
        <w:numPr>
          <w:ilvl w:val="0"/>
          <w:numId w:val="2"/>
        </w:numPr>
        <w:spacing w:after="80"/>
      </w:pPr>
      <w:r>
        <w:t xml:space="preserve">Implement per the CIS guide: follow the specific control recommendations in the CIS Software Supply Chain Security Guide. This operationalizes the abstract frameworks.</w:t>
      </w:r>
    </w:p>
    <w:p>
      <w:pPr>
        <w:pStyle w:val="ListParagraph"/>
        <w:numPr>
          <w:ilvl w:val="0"/>
          <w:numId w:val="2"/>
        </w:numPr>
        <w:spacing w:after="80"/>
      </w:pPr>
      <w:r>
        <w:t xml:space="preserve">Measure with Scorecard: run Scorecard against your own projects and your major open-source dependencies. Use it as an input to dependency-evaluation and self-improvement.</w:t>
      </w:r>
    </w:p>
    <w:p>
      <w:pPr>
        <w:pStyle w:val="ListParagraph"/>
        <w:numPr>
          <w:ilvl w:val="0"/>
          <w:numId w:val="2"/>
        </w:numPr>
        <w:spacing w:after="80"/>
      </w:pPr>
      <w:r>
        <w:t xml:space="preserve">Map to SSDF and S2C2F: once the technical foundation is in place, map your practices to these broader frameworks. This identifies gaps beyond technical controls (in organizational practice, consumer discipline).</w:t>
      </w:r>
    </w:p>
    <w:p>
      <w:pPr>
        <w:pStyle w:val="ListParagraph"/>
        <w:numPr>
          <w:ilvl w:val="0"/>
          <w:numId w:val="2"/>
        </w:numPr>
        <w:spacing w:after="80"/>
      </w:pPr>
      <w:r>
        <w:t xml:space="preserve">Prepare for CRA: if selling in the EU or to EU-connected customers, treat CRA preparation as a specific project with deadlines. Documentation and process work takes time.</w:t>
      </w:r>
    </w:p>
    <w:p>
      <w:pPr>
        <w:spacing w:after="140"/>
        <w:jc w:val="both"/>
      </w:pPr>
      <w:r>
        <w:t xml:space="preserve">The progression is roughly technical → measurement → process → regulation. An organization deep into process-framework compliance without the technical foundation is building on sand; an organization with the technical foundation but no process framework has tooling without governance. Both matter.</w:t>
      </w:r>
    </w:p>
    <w:p>
      <w:pPr>
        <w:pStyle w:val="Heading2"/>
        <w:spacing w:after="160" w:before="280"/>
      </w:pPr>
      <w:r>
        <w:rPr>
          <w:b/>
          <w:bCs/>
        </w:rPr>
        <w:t xml:space="preserve">The Direction of the Landscape</w:t>
      </w:r>
    </w:p>
    <w:p>
      <w:pPr>
        <w:spacing w:after="140"/>
        <w:jc w:val="both"/>
      </w:pPr>
      <w:r>
        <w:t xml:space="preserve">The trajectory of this landscape over the next several years:</w:t>
      </w:r>
    </w:p>
    <w:p>
      <w:pPr>
        <w:pStyle w:val="ListParagraph"/>
        <w:numPr>
          <w:ilvl w:val="0"/>
          <w:numId w:val="2"/>
        </w:numPr>
        <w:spacing w:after="80"/>
      </w:pPr>
      <w:r>
        <w:rPr>
          <w:b/>
          <w:bCs/>
        </w:rPr>
        <w:t xml:space="preserve">Convergence in measurement. </w:t>
      </w:r>
      <w:r>
        <w:t xml:space="preserve">Scorecard, in-toto-based attestations, and SLSA levels are converging as the measurement substrate across frameworks. Organizations adopting one get credit toward many.</w:t>
      </w:r>
    </w:p>
    <w:p>
      <w:pPr>
        <w:pStyle w:val="ListParagraph"/>
        <w:numPr>
          <w:ilvl w:val="0"/>
          <w:numId w:val="2"/>
        </w:numPr>
        <w:spacing w:after="80"/>
      </w:pPr>
      <w:r>
        <w:rPr>
          <w:b/>
          <w:bCs/>
        </w:rPr>
        <w:t xml:space="preserve">Regulatory intensification. </w:t>
      </w:r>
      <w:r>
        <w:t xml:space="preserve">The CRA is the first major cybersecurity product regulation; it will not be the last. Expect similar legislation in other jurisdictions over the next 5 years.</w:t>
      </w:r>
    </w:p>
    <w:p>
      <w:pPr>
        <w:pStyle w:val="ListParagraph"/>
        <w:numPr>
          <w:ilvl w:val="0"/>
          <w:numId w:val="2"/>
        </w:numPr>
        <w:spacing w:after="80"/>
      </w:pPr>
      <w:r>
        <w:rPr>
          <w:b/>
          <w:bCs/>
        </w:rPr>
        <w:t xml:space="preserve">Framework consolidation. </w:t>
      </w:r>
      <w:r>
        <w:t xml:space="preserve">The proliferation of frameworks is likely to consolidate as the field matures. Some frameworks will merge; some will fall into disuse. The strongest frameworks (probably including SLSA, SSDF, CRA) will persist while weaker ones fade.</w:t>
      </w:r>
    </w:p>
    <w:p>
      <w:pPr>
        <w:pStyle w:val="ListParagraph"/>
        <w:numPr>
          <w:ilvl w:val="0"/>
          <w:numId w:val="2"/>
        </w:numPr>
        <w:spacing w:after="80"/>
      </w:pPr>
      <w:r>
        <w:rPr>
          <w:b/>
          <w:bCs/>
        </w:rPr>
        <w:t xml:space="preserve">Tooling automation. </w:t>
      </w:r>
      <w:r>
        <w:t xml:space="preserve">Framework compliance work is increasingly automated. Tools that generate required documentation, produce required attestations, and verify compliance continuously are reducing the manual effort of framework adoption.</w:t>
      </w:r>
    </w:p>
    <w:p>
      <w:pPr>
        <w:pStyle w:val="ListParagraph"/>
        <w:numPr>
          <w:ilvl w:val="0"/>
          <w:numId w:val="2"/>
        </w:numPr>
        <w:spacing w:after="80"/>
      </w:pPr>
      <w:r>
        <w:rPr>
          <w:b/>
          <w:bCs/>
        </w:rPr>
        <w:t xml:space="preserve">Audit industry growth. </w:t>
      </w:r>
      <w:r>
        <w:t xml:space="preserve">The specific work of assessing compliance against supply-chain frameworks is becoming a substantial market. Expect more specialized auditors, consulting firms, and tooling vendors focused on this space.</w:t>
      </w:r>
    </w:p>
    <w:p>
      <w:pPr>
        <w:pStyle w:val="Heading2"/>
        <w:spacing w:after="160" w:before="280"/>
      </w:pPr>
      <w:r>
        <w:rPr>
          <w:b/>
          <w:bCs/>
        </w:rPr>
        <w:t xml:space="preserve">Review Questions</w:t>
      </w:r>
    </w:p>
    <w:p>
      <w:pPr>
        <w:pStyle w:val="ListParagraph"/>
        <w:numPr>
          <w:ilvl w:val="0"/>
          <w:numId w:val="2"/>
        </w:numPr>
        <w:spacing w:after="80"/>
      </w:pPr>
      <w:r>
        <w:t xml:space="preserve">Why are SLSA and Sigstore characterized as foundational to the broader framework landscape? What specific property distinguishes them from other frameworks in this module?</w:t>
      </w:r>
    </w:p>
    <w:p>
      <w:pPr>
        <w:pStyle w:val="ListParagraph"/>
        <w:numPr>
          <w:ilvl w:val="0"/>
          <w:numId w:val="2"/>
        </w:numPr>
        <w:spacing w:after="80"/>
      </w:pPr>
      <w:r>
        <w:t xml:space="preserve">What is the distinctive contribution of OpenSSF Scorecard? How does it differ from SLSA, and when would you use each?</w:t>
      </w:r>
    </w:p>
    <w:p>
      <w:pPr>
        <w:pStyle w:val="ListParagraph"/>
        <w:numPr>
          <w:ilvl w:val="0"/>
          <w:numId w:val="2"/>
        </w:numPr>
        <w:spacing w:after="80"/>
      </w:pPr>
      <w:r>
        <w:t xml:space="preserve">Explain why the in-toto attestation format has seen broader adoption than the full in-toto chained-attestation framework.</w:t>
      </w:r>
    </w:p>
    <w:p>
      <w:pPr>
        <w:pStyle w:val="ListParagraph"/>
        <w:numPr>
          <w:ilvl w:val="0"/>
          <w:numId w:val="2"/>
        </w:numPr>
        <w:spacing w:after="80"/>
      </w:pPr>
      <w:r>
        <w:t xml:space="preserve">How does Microsoft's S2C2F fill a gap that SLSA and other production-focused frameworks do not address?</w:t>
      </w:r>
    </w:p>
    <w:p>
      <w:pPr>
        <w:pStyle w:val="ListParagraph"/>
        <w:numPr>
          <w:ilvl w:val="0"/>
          <w:numId w:val="2"/>
        </w:numPr>
        <w:spacing w:after="80"/>
      </w:pPr>
      <w:r>
        <w:t xml:space="preserve">Name the four NIST SSDF practice groups and give an example of supply-chain-relevant content from each.</w:t>
      </w:r>
    </w:p>
    <w:p>
      <w:pPr>
        <w:pStyle w:val="ListParagraph"/>
        <w:numPr>
          <w:ilvl w:val="0"/>
          <w:numId w:val="2"/>
        </w:numPr>
        <w:spacing w:after="80"/>
      </w:pPr>
      <w:r>
        <w:t xml:space="preserve">Why is NIST SSDF uniquely important in US federal procurement? What is the specific regulatory mechanism?</w:t>
      </w:r>
    </w:p>
    <w:p>
      <w:pPr>
        <w:pStyle w:val="ListParagraph"/>
        <w:numPr>
          <w:ilvl w:val="0"/>
          <w:numId w:val="2"/>
        </w:numPr>
        <w:spacing w:after="80"/>
      </w:pPr>
      <w:r>
        <w:t xml:space="preserve">How does the CIS Software Supply Chain Security Guide relate to higher-abstraction frameworks like SSDF? What specific value does it add?</w:t>
      </w:r>
    </w:p>
    <w:p>
      <w:pPr>
        <w:pStyle w:val="ListParagraph"/>
        <w:numPr>
          <w:ilvl w:val="0"/>
          <w:numId w:val="2"/>
        </w:numPr>
        <w:spacing w:after="80"/>
      </w:pPr>
      <w:r>
        <w:t xml:space="preserve">Name the key supply-chain requirements in the EU Cyber Resilience Act. What is the compliance timeline?</w:t>
      </w:r>
    </w:p>
    <w:p>
      <w:pPr>
        <w:pStyle w:val="ListParagraph"/>
        <w:numPr>
          <w:ilvl w:val="0"/>
          <w:numId w:val="2"/>
        </w:numPr>
        <w:spacing w:after="80"/>
      </w:pPr>
      <w:r>
        <w:t xml:space="preserve">Explain the Brussels Effect in the context of the CRA. Why does a European regulation have global implications?</w:t>
      </w:r>
    </w:p>
    <w:p>
      <w:pPr>
        <w:pStyle w:val="ListParagraph"/>
        <w:numPr>
          <w:ilvl w:val="0"/>
          <w:numId w:val="2"/>
        </w:numPr>
        <w:spacing w:after="80"/>
      </w:pPr>
      <w:r>
        <w:t xml:space="preserve">An organization is beginning to navigate the framework landscape from a low starting point. Suggest a prioritized two-year implementation plan across the frameworks covered in this module.</w:t>
      </w:r>
    </w:p>
    <w:p>
      <w:pPr>
        <w:pStyle w:val="ListParagraph"/>
        <w:numPr>
          <w:ilvl w:val="0"/>
          <w:numId w:val="2"/>
        </w:numPr>
        <w:spacing w:after="80"/>
      </w:pPr>
      <w:r>
        <w:t xml:space="preserve">A vendor claims SLSA L3 compliance and uses Sigstore for signing. What additional frameworks or artifacts would you request to gain confidence in their broader supply-chain posture?</w:t>
      </w:r>
    </w:p>
    <w:p>
      <w:pPr>
        <w:pStyle w:val="ListParagraph"/>
        <w:numPr>
          <w:ilvl w:val="0"/>
          <w:numId w:val="2"/>
        </w:numPr>
        <w:spacing w:after="80"/>
      </w:pPr>
      <w:r>
        <w:t xml:space="preserve">Explain how adoption of SLSA and Sigstore as a technical foundation reduces the work required to comply with SSDF, S2C2F, the CIS guide, and the CRA. Where does the work remain?</w:t>
      </w:r>
    </w:p>
    <w:p>
      <w:pPr>
        <w:pStyle w:val="Heading2"/>
        <w:spacing w:after="160" w:before="280"/>
      </w:pPr>
      <w:r>
        <w:rPr>
          <w:b/>
          <w:bCs/>
        </w:rPr>
        <w:t xml:space="preserve">Glossary</w:t>
      </w:r>
    </w:p>
    <w:p>
      <w:pPr>
        <w:pStyle w:val="ListParagraph"/>
        <w:numPr>
          <w:ilvl w:val="0"/>
          <w:numId w:val="2"/>
        </w:numPr>
        <w:spacing w:after="80"/>
      </w:pPr>
      <w:r>
        <w:rPr>
          <w:b/>
          <w:bCs/>
        </w:rPr>
        <w:t xml:space="preserve">Brussels Effect: </w:t>
      </w:r>
      <w:r>
        <w:t xml:space="preserve">the phenomenon where EU regulations become global defaults because manufacturers selling globally standardize to the strictest applicable law.</w:t>
      </w:r>
    </w:p>
    <w:p>
      <w:pPr>
        <w:pStyle w:val="ListParagraph"/>
        <w:numPr>
          <w:ilvl w:val="0"/>
          <w:numId w:val="2"/>
        </w:numPr>
        <w:spacing w:after="80"/>
      </w:pPr>
      <w:r>
        <w:rPr>
          <w:b/>
          <w:bCs/>
        </w:rPr>
        <w:t xml:space="preserve">CE mark: </w:t>
      </w:r>
      <w:r>
        <w:t xml:space="preserve">the EU conformity marking indicating compliance with applicable EU directives and regulations; will include cybersecurity under the CRA.</w:t>
      </w:r>
    </w:p>
    <w:p>
      <w:pPr>
        <w:pStyle w:val="ListParagraph"/>
        <w:numPr>
          <w:ilvl w:val="0"/>
          <w:numId w:val="2"/>
        </w:numPr>
        <w:spacing w:after="80"/>
      </w:pPr>
      <w:r>
        <w:rPr>
          <w:b/>
          <w:bCs/>
        </w:rPr>
        <w:t xml:space="preserve">CIS (Center for Internet Security): </w:t>
      </w:r>
      <w:r>
        <w:t xml:space="preserve">non-profit organization publishing security guidance including Benchmarks, Critical Security Controls, and the Software Supply Chain Security Guide.</w:t>
      </w:r>
    </w:p>
    <w:p>
      <w:pPr>
        <w:pStyle w:val="ListParagraph"/>
        <w:numPr>
          <w:ilvl w:val="0"/>
          <w:numId w:val="2"/>
        </w:numPr>
        <w:spacing w:after="80"/>
      </w:pPr>
      <w:r>
        <w:rPr>
          <w:b/>
          <w:bCs/>
        </w:rPr>
        <w:t xml:space="preserve">CRA (Cyber Resilience Act): </w:t>
      </w:r>
      <w:r>
        <w:t xml:space="preserve">EU regulation (2024/2847) establishing mandatory cybersecurity requirements for software products, effective December 2027.</w:t>
      </w:r>
    </w:p>
    <w:p>
      <w:pPr>
        <w:pStyle w:val="ListParagraph"/>
        <w:numPr>
          <w:ilvl w:val="0"/>
          <w:numId w:val="2"/>
        </w:numPr>
        <w:spacing w:after="80"/>
      </w:pPr>
      <w:r>
        <w:rPr>
          <w:b/>
          <w:bCs/>
        </w:rPr>
        <w:t xml:space="preserve">DSSE (Dead Simple Signing Envelope): </w:t>
      </w:r>
      <w:r>
        <w:t xml:space="preserve">the minimal signing envelope format used to wrap in-toto statements for signing.</w:t>
      </w:r>
    </w:p>
    <w:p>
      <w:pPr>
        <w:pStyle w:val="ListParagraph"/>
        <w:numPr>
          <w:ilvl w:val="0"/>
          <w:numId w:val="2"/>
        </w:numPr>
        <w:spacing w:after="80"/>
      </w:pPr>
      <w:r>
        <w:rPr>
          <w:b/>
          <w:bCs/>
        </w:rPr>
        <w:t xml:space="preserve">ENISA: </w:t>
      </w:r>
      <w:r>
        <w:t xml:space="preserve">the European Union Agency for Cybersecurity, playing a role in CRA vulnerability reporting and certification.</w:t>
      </w:r>
    </w:p>
    <w:p>
      <w:pPr>
        <w:pStyle w:val="ListParagraph"/>
        <w:numPr>
          <w:ilvl w:val="0"/>
          <w:numId w:val="2"/>
        </w:numPr>
        <w:spacing w:after="80"/>
      </w:pPr>
      <w:r>
        <w:rPr>
          <w:b/>
          <w:bCs/>
        </w:rPr>
        <w:t xml:space="preserve">Executive Order 14028: </w:t>
      </w:r>
      <w:r>
        <w:t xml:space="preserve">the US executive order driving federal procurement requirements around SBOMs and SSDF attestation.</w:t>
      </w:r>
    </w:p>
    <w:p>
      <w:pPr>
        <w:pStyle w:val="ListParagraph"/>
        <w:numPr>
          <w:ilvl w:val="0"/>
          <w:numId w:val="2"/>
        </w:numPr>
        <w:spacing w:after="80"/>
      </w:pPr>
      <w:r>
        <w:rPr>
          <w:b/>
          <w:bCs/>
        </w:rPr>
        <w:t xml:space="preserve">in-toto: </w:t>
      </w:r>
      <w:r>
        <w:t xml:space="preserve">the supply-chain attestation framework from NYU's Secure Systems Lab; its Statement format is the universal wrapper for supply-chain claims.</w:t>
      </w:r>
    </w:p>
    <w:p>
      <w:pPr>
        <w:pStyle w:val="ListParagraph"/>
        <w:numPr>
          <w:ilvl w:val="0"/>
          <w:numId w:val="2"/>
        </w:numPr>
        <w:spacing w:after="80"/>
      </w:pPr>
      <w:r>
        <w:rPr>
          <w:b/>
          <w:bCs/>
        </w:rPr>
        <w:t xml:space="preserve">NIST (National Institute of Standards and Technology): </w:t>
      </w:r>
      <w:r>
        <w:t xml:space="preserve">US federal agency publishing cybersecurity frameworks including SSDF.</w:t>
      </w:r>
    </w:p>
    <w:p>
      <w:pPr>
        <w:pStyle w:val="ListParagraph"/>
        <w:numPr>
          <w:ilvl w:val="0"/>
          <w:numId w:val="2"/>
        </w:numPr>
        <w:spacing w:after="80"/>
      </w:pPr>
      <w:r>
        <w:rPr>
          <w:b/>
          <w:bCs/>
        </w:rPr>
        <w:t xml:space="preserve">NIST SSDF: </w:t>
      </w:r>
      <w:r>
        <w:t xml:space="preserve">NIST Secure Software Development Framework (SP 800-218); the US-endorsed baseline for secure development with four practice groups.</w:t>
      </w:r>
    </w:p>
    <w:p>
      <w:pPr>
        <w:pStyle w:val="ListParagraph"/>
        <w:numPr>
          <w:ilvl w:val="0"/>
          <w:numId w:val="2"/>
        </w:numPr>
        <w:spacing w:after="80"/>
      </w:pPr>
      <w:r>
        <w:rPr>
          <w:b/>
          <w:bCs/>
        </w:rPr>
        <w:t xml:space="preserve">OpenSSF (Open Source Security Foundation): </w:t>
      </w:r>
      <w:r>
        <w:t xml:space="preserve">Linux Foundation umbrella organization hosting SLSA, Scorecard, S2C2F, and other supply-chain frameworks.</w:t>
      </w:r>
    </w:p>
    <w:p>
      <w:pPr>
        <w:pStyle w:val="ListParagraph"/>
        <w:numPr>
          <w:ilvl w:val="0"/>
          <w:numId w:val="2"/>
        </w:numPr>
        <w:spacing w:after="80"/>
      </w:pPr>
      <w:r>
        <w:rPr>
          <w:b/>
          <w:bCs/>
        </w:rPr>
        <w:t xml:space="preserve">OpenSSF Scorecard: </w:t>
      </w:r>
      <w:r>
        <w:t xml:space="preserve">automated tool scoring open-source project security hygiene across approximately 20 specific checks.</w:t>
      </w:r>
    </w:p>
    <w:p>
      <w:pPr>
        <w:pStyle w:val="ListParagraph"/>
        <w:numPr>
          <w:ilvl w:val="0"/>
          <w:numId w:val="2"/>
        </w:numPr>
        <w:spacing w:after="80"/>
      </w:pPr>
      <w:r>
        <w:rPr>
          <w:b/>
          <w:bCs/>
        </w:rPr>
        <w:t xml:space="preserve">Prepare the Organization (PO): </w:t>
      </w:r>
      <w:r>
        <w:t xml:space="preserve">one of four SSDF practice groups, covering organizational readiness for secure development.</w:t>
      </w:r>
    </w:p>
    <w:p>
      <w:pPr>
        <w:pStyle w:val="ListParagraph"/>
        <w:numPr>
          <w:ilvl w:val="0"/>
          <w:numId w:val="2"/>
        </w:numPr>
        <w:spacing w:after="80"/>
      </w:pPr>
      <w:r>
        <w:rPr>
          <w:b/>
          <w:bCs/>
        </w:rPr>
        <w:t xml:space="preserve">Produce Well-Secured Software (PW): </w:t>
      </w:r>
      <w:r>
        <w:t xml:space="preserve">one of four SSDF practice groups, covering secure design and implementation.</w:t>
      </w:r>
    </w:p>
    <w:p>
      <w:pPr>
        <w:pStyle w:val="ListParagraph"/>
        <w:numPr>
          <w:ilvl w:val="0"/>
          <w:numId w:val="2"/>
        </w:numPr>
        <w:spacing w:after="80"/>
      </w:pPr>
      <w:r>
        <w:rPr>
          <w:b/>
          <w:bCs/>
        </w:rPr>
        <w:t xml:space="preserve">Protect Software (PS): </w:t>
      </w:r>
      <w:r>
        <w:t xml:space="preserve">one of four SSDF practice groups, covering protection of code from tampering and unauthorized access.</w:t>
      </w:r>
    </w:p>
    <w:p>
      <w:pPr>
        <w:pStyle w:val="ListParagraph"/>
        <w:numPr>
          <w:ilvl w:val="0"/>
          <w:numId w:val="2"/>
        </w:numPr>
        <w:spacing w:after="80"/>
      </w:pPr>
      <w:r>
        <w:rPr>
          <w:b/>
          <w:bCs/>
        </w:rPr>
        <w:t xml:space="preserve">Respond to Vulnerabilities (RV): </w:t>
      </w:r>
      <w:r>
        <w:t xml:space="preserve">one of four SSDF practice groups, covering vulnerability handling and response.</w:t>
      </w:r>
    </w:p>
    <w:p>
      <w:pPr>
        <w:pStyle w:val="ListParagraph"/>
        <w:numPr>
          <w:ilvl w:val="0"/>
          <w:numId w:val="2"/>
        </w:numPr>
        <w:spacing w:after="80"/>
      </w:pPr>
      <w:r>
        <w:rPr>
          <w:b/>
          <w:bCs/>
        </w:rPr>
        <w:t xml:space="preserve">S2C2F (Secure Supply Chain Consumption Framework): </w:t>
      </w:r>
      <w:r>
        <w:t xml:space="preserve">Microsoft-originated, now OpenSSF-maintained framework for safe consumption of open-source and vendor software.</w:t>
      </w:r>
    </w:p>
    <w:p>
      <w:pPr>
        <w:pStyle w:val="ListParagraph"/>
        <w:numPr>
          <w:ilvl w:val="0"/>
          <w:numId w:val="2"/>
        </w:numPr>
        <w:spacing w:after="80"/>
      </w:pPr>
      <w:r>
        <w:rPr>
          <w:b/>
          <w:bCs/>
        </w:rPr>
        <w:t xml:space="preserve">SIG (Special Interest Group): </w:t>
      </w:r>
      <w:r>
        <w:t xml:space="preserve">the organizational structure OpenSSF uses for maintaining specific frameworks like S2C2F.</w:t>
      </w:r>
    </w:p>
    <w:p>
      <w:pPr>
        <w:pStyle w:val="ListParagraph"/>
        <w:numPr>
          <w:ilvl w:val="0"/>
          <w:numId w:val="2"/>
        </w:numPr>
        <w:spacing w:after="80"/>
      </w:pPr>
      <w:r>
        <w:rPr>
          <w:b/>
          <w:bCs/>
        </w:rPr>
        <w:t xml:space="preserve">SLSA (Supply-chain Levels for Software Artifacts): </w:t>
      </w:r>
      <w:r>
        <w:t xml:space="preserve">OpenSSF framework for graduated build-integrity levels with verifiable provenance attestations.</w:t>
      </w:r>
    </w:p>
    <w:p>
      <w:pPr>
        <w:pStyle w:val="ListParagraph"/>
        <w:numPr>
          <w:ilvl w:val="0"/>
          <w:numId w:val="2"/>
        </w:numPr>
        <w:spacing w:after="80"/>
      </w:pPr>
      <w:r>
        <w:rPr>
          <w:b/>
          <w:bCs/>
        </w:rPr>
        <w:t xml:space="preserve">SSDF attestation: </w:t>
      </w:r>
      <w:r>
        <w:t xml:space="preserve">the specific form vendors complete to declare SSDF conformance to federal agencies.</w:t>
      </w:r>
    </w:p>
    <w:p>
      <w:pPr>
        <w:pStyle w:val="Heading2"/>
        <w:spacing w:after="160" w:before="280"/>
      </w:pPr>
      <w:r>
        <w:rPr>
          <w:b/>
          <w:bCs/>
        </w:rPr>
        <w:t xml:space="preserve">Curriculum Closing</w:t>
      </w:r>
    </w:p>
    <w:p>
      <w:pPr>
        <w:spacing w:after="140"/>
        <w:jc w:val="both"/>
      </w:pPr>
      <w:r>
        <w:t xml:space="preserve">You have now completed the extended Software Supply Chain Security curriculum. Ten modules — Supply Chain Attacks, SLSA, SBOM, Sigstore, Provenance &amp; Attestations, Dependency Management, Build Security, Admission Control, Organization Practices, and Standards &amp; Frameworks — have provided a comprehensive view of modern supply-chain security as it is practiced in 2026. The curriculum covers the threat landscape, the technical frameworks, the organizational practices, and the governance ecosystem.</w:t>
      </w:r>
    </w:p>
    <w:p>
      <w:pPr>
        <w:spacing w:after="140"/>
        <w:jc w:val="both"/>
      </w:pPr>
      <w:r>
        <w:t xml:space="preserve">A final reframing for the whole curriculum: supply-chain security is the discipline of making the implicit explicit. Traditional software development rested on enormous implicit trust — trust that dependencies were what they appeared to be, that builds produced what they claimed, that distribution channels did not tamper with what passed through them. Supply-chain security makes each of these trust relationships into explicit, verifiable claims: the dependency is signed by this specific identity, the build was produced by this specific process, the distribution channel cryptographically preserves integrity. Every implicit trust becomes a verifiable statement; every verifiable statement can be checked; every check failure leaves a record. The result is an architecture where supply-chain compromise requires overcoming multiple independent verifications rather than a single implicit trust, dramatically raising the cost of attack.</w:t>
      </w:r>
    </w:p>
    <w:p>
      <w:pPr>
        <w:spacing w:after="140"/>
        <w:jc w:val="both"/>
      </w:pPr>
      <w:r>
        <w:t xml:space="preserve">The work of applying this architecture to specific contexts is ongoing. Standards will continue to evolve. Frameworks will continue to emerge and consolidate. Regulations will intensify across jurisdictions. Tools will mature, change, and sometimes disappear. The specific details of supply-chain security practice in 2030 will differ from 2026, and again in 2035. What will persist is the structural approach: make trust explicit, verify at boundaries, layer defenses, organize institutionally, measure through automated frameworks. Any organization that internalizes this structural approach can navigate the evolving specifics; any organization that treats supply-chain security as a set of one-time tool adoptions will find itself continually behind.</w:t>
      </w:r>
    </w:p>
    <w:p>
      <w:pPr>
        <w:spacing w:after="140"/>
        <w:jc w:val="both"/>
      </w:pPr>
      <w:r>
        <w:t xml:space="preserve">The organizations that thrive in this environment are not the ones with the most sophisticated tools — they are the ones with sustained institutional commitment to supply-chain security as a first-class engineering concern. The technical foundations in Modules 1-8 matter enormously; the organizational practices in Module 9 are what make those foundations durable; the framework literacy in this Module 10 is what keeps the work aligned with the evolving governance landscape. All three layers together produce actual supply-chain security; any single layer alone produces less than it promises.</w:t>
      </w:r>
    </w:p>
    <w:p>
      <w:pPr>
        <w:spacing w:after="140"/>
        <w:jc w:val="both"/>
      </w:pPr>
      <w:r>
        <w:t xml:space="preserve">Thank you for working through this curriculum. The work of securing software supply chains is far from complete — every year brings new attacks, new tools, new frameworks, new requirements. But the landscape has clarified substantially over the past five years, and a clear path forward exists for organizations willing to invest in it. Whether you are starting from zero or extending an already-mature practice, the architecture in this curriculum provides a structural foundation for sustained progress. The specific tools and frameworks will evolve; the structural discipline will remain the answer.</w:t>
      </w:r>
    </w:p>
    <w:p>
      <w:pPr>
        <w:spacing w:after="140"/>
        <w:jc w:val="both"/>
      </w:pPr>
      <w:r>
        <w:t xml:space="preserve">Good luck with everything ahead.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Supply Chain Security — Module 10: Standards &amp; Frameworks</dc:title>
  <dc:creator>Claude</dc:creator>
  <dc:description>Comprehensive study guide for Module 10: Standards &amp; Frameworks</dc:description>
  <cp:lastModifiedBy>Un-named</cp:lastModifiedBy>
  <cp:revision>1</cp:revision>
  <dcterms:created xsi:type="dcterms:W3CDTF">2026-04-17T10:56:14.664Z</dcterms:created>
  <dcterms:modified xsi:type="dcterms:W3CDTF">2026-04-17T10:56:14.665Z</dcterms:modified>
</cp:coreProperties>
</file>

<file path=docProps/custom.xml><?xml version="1.0" encoding="utf-8"?>
<Properties xmlns="http://schemas.openxmlformats.org/officeDocument/2006/custom-properties" xmlns:vt="http://schemas.openxmlformats.org/officeDocument/2006/docPropsVTypes"/>
</file>