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A1F1F"/>
          <w:sz w:val="48"/>
        </w:rPr>
        <w:t>OWASP Top 10 Mastery Study Guide</w:t>
      </w:r>
    </w:p>
    <w:p>
      <w:pPr>
        <w:jc w:val="center"/>
      </w:pPr>
      <w:r>
        <w:rPr>
          <w:i/>
        </w:rPr>
        <w:t>A defensive, study-oriented guide to the OWASP Top 10, mitigation strategies, and OWASP Testing Guide methodology.</w:t>
      </w:r>
    </w:p>
    <w:tbl>
      <w:tblPr>
        <w:tblW w:type="auto" w:w="0"/>
        <w:jc w:val="center"/>
        <w:tblLayout w:type="fixed"/>
        <w:tblLook w:firstColumn="1" w:firstRow="1" w:lastColumn="0" w:lastRow="0" w:noHBand="0" w:noVBand="1" w:val="04A0"/>
      </w:tblPr>
      <w:tblGrid>
        <w:gridCol w:w="4968"/>
        <w:gridCol w:w="4968"/>
      </w:tblGrid>
      <w:tr>
        <w:tc>
          <w:tcPr>
            <w:tcW w:type="dxa" w:w="2736"/>
            <w:shd w:fill="F4DADA"/>
            <w:vAlign w:val="center"/>
            <w:tcMar>
              <w:top w:w="90" w:type="dxa"/>
              <w:start w:w="100" w:type="dxa"/>
              <w:bottom w:w="90" w:type="dxa"/>
              <w:end w:w="100" w:type="dxa"/>
            </w:tcMar>
          </w:tcPr>
          <w:p>
            <w:r>
              <w:rPr>
                <w:b/>
              </w:rPr>
              <w:t>Purpose</w:t>
            </w:r>
          </w:p>
        </w:tc>
        <w:tc>
          <w:tcPr>
            <w:tcW w:type="dxa" w:w="6912"/>
            <w:vAlign w:val="center"/>
            <w:tcMar>
              <w:top w:w="90" w:type="dxa"/>
              <w:start w:w="100" w:type="dxa"/>
              <w:bottom w:w="90" w:type="dxa"/>
              <w:end w:w="100" w:type="dxa"/>
            </w:tcMar>
          </w:tcPr>
          <w:p>
            <w:r>
              <w:t>Build a structured understanding of common web application security risk categories, their causes, signs, and defensive controls.</w:t>
            </w:r>
          </w:p>
        </w:tc>
      </w:tr>
      <w:tr>
        <w:tc>
          <w:tcPr>
            <w:tcW w:type="dxa" w:w="2736"/>
            <w:shd w:fill="F4DADA"/>
            <w:vAlign w:val="center"/>
            <w:tcMar>
              <w:top w:w="90" w:type="dxa"/>
              <w:start w:w="100" w:type="dxa"/>
              <w:bottom w:w="90" w:type="dxa"/>
              <w:end w:w="100" w:type="dxa"/>
            </w:tcMar>
          </w:tcPr>
          <w:p>
            <w:r>
              <w:rPr>
                <w:b/>
              </w:rPr>
              <w:t>Audience</w:t>
            </w:r>
          </w:p>
        </w:tc>
        <w:tc>
          <w:tcPr>
            <w:tcW w:type="dxa" w:w="6912"/>
            <w:vAlign w:val="center"/>
            <w:tcMar>
              <w:top w:w="90" w:type="dxa"/>
              <w:start w:w="100" w:type="dxa"/>
              <w:bottom w:w="90" w:type="dxa"/>
              <w:end w:w="100" w:type="dxa"/>
            </w:tcMar>
          </w:tcPr>
          <w:p>
            <w:r>
              <w:t>Learners, defenders, developers, QA testers, security engineers, and ethical testers working in authorized environments.</w:t>
            </w:r>
          </w:p>
        </w:tc>
      </w:tr>
      <w:tr>
        <w:tc>
          <w:tcPr>
            <w:tcW w:type="dxa" w:w="2736"/>
            <w:shd w:fill="F4DADA"/>
            <w:vAlign w:val="center"/>
            <w:tcMar>
              <w:top w:w="90" w:type="dxa"/>
              <w:start w:w="100" w:type="dxa"/>
              <w:bottom w:w="90" w:type="dxa"/>
              <w:end w:w="100" w:type="dxa"/>
            </w:tcMar>
          </w:tcPr>
          <w:p>
            <w:r>
              <w:rPr>
                <w:b/>
              </w:rPr>
              <w:t>Approach</w:t>
            </w:r>
          </w:p>
        </w:tc>
        <w:tc>
          <w:tcPr>
            <w:tcW w:type="dxa" w:w="6912"/>
            <w:vAlign w:val="center"/>
            <w:tcMar>
              <w:top w:w="90" w:type="dxa"/>
              <w:start w:w="100" w:type="dxa"/>
              <w:bottom w:w="90" w:type="dxa"/>
              <w:end w:w="100" w:type="dxa"/>
            </w:tcMar>
          </w:tcPr>
          <w:p>
            <w:r>
              <w:t>Focus on concepts, architecture flaws, secure coding patterns, and safe testing methodology rather than attack payloads or offensive exploitation detail.</w:t>
            </w:r>
          </w:p>
        </w:tc>
      </w:tr>
      <w:tr>
        <w:tc>
          <w:tcPr>
            <w:tcW w:type="dxa" w:w="2736"/>
            <w:shd w:fill="F4DADA"/>
            <w:vAlign w:val="center"/>
            <w:tcMar>
              <w:top w:w="90" w:type="dxa"/>
              <w:start w:w="100" w:type="dxa"/>
              <w:bottom w:w="90" w:type="dxa"/>
              <w:end w:w="100" w:type="dxa"/>
            </w:tcMar>
          </w:tcPr>
          <w:p>
            <w:r>
              <w:rPr>
                <w:b/>
              </w:rPr>
              <w:t>Important note</w:t>
            </w:r>
          </w:p>
        </w:tc>
        <w:tc>
          <w:tcPr>
            <w:tcW w:type="dxa" w:w="6912"/>
            <w:vAlign w:val="center"/>
            <w:tcMar>
              <w:top w:w="90" w:type="dxa"/>
              <w:start w:w="100" w:type="dxa"/>
              <w:bottom w:w="90" w:type="dxa"/>
              <w:end w:w="100" w:type="dxa"/>
            </w:tcMar>
          </w:tcPr>
          <w:p>
            <w:r>
              <w:t>Use all testing only with explicit authorization and scoped approval. This guide is for prevention, review, and ethical assessment.</w:t>
            </w:r>
          </w:p>
        </w:tc>
      </w:tr>
    </w:tbl>
    <w:p>
      <w:pPr>
        <w:pStyle w:val="Heading1"/>
      </w:pPr>
      <w:r>
        <w:t>How to Use This Guide</w:t>
      </w:r>
    </w:p>
    <w:p>
      <w:pPr>
        <w:pStyle w:val="ListBullet"/>
        <w:spacing w:after="40"/>
      </w:pPr>
      <w:r>
        <w:t>Treat each OWASP category as a class of failure, not as a single bug.</w:t>
      </w:r>
    </w:p>
    <w:p>
      <w:pPr>
        <w:pStyle w:val="ListBullet"/>
        <w:spacing w:after="40"/>
      </w:pPr>
      <w:r>
        <w:t>For every issue, ask four questions: what caused it, what could it impact, how would a reviewer detect it, and how should a team prevent it.</w:t>
      </w:r>
    </w:p>
    <w:p>
      <w:pPr>
        <w:pStyle w:val="ListBullet"/>
        <w:spacing w:after="40"/>
      </w:pPr>
      <w:r>
        <w:t>Practice secure design reviews, code reviews, configuration reviews, and safe validation in a lab or training environment.</w:t>
      </w:r>
    </w:p>
    <w:p>
      <w:pPr>
        <w:pStyle w:val="ListBullet"/>
        <w:spacing w:after="40"/>
      </w:pPr>
      <w:r>
        <w:t>Pair this guide with hands-on secure coding, logging review, dependency management, and architecture exercises.</w:t>
      </w:r>
    </w:p>
    <w:p>
      <w:pPr>
        <w:pStyle w:val="Heading1"/>
      </w:pPr>
      <w:r>
        <w:t>Curriculum Map</w:t>
      </w:r>
    </w:p>
    <w:tbl>
      <w:tblPr>
        <w:tblStyle w:val="TableGrid"/>
        <w:tblW w:type="auto" w:w="0"/>
        <w:jc w:val="center"/>
        <w:tblLayout w:type="fixed"/>
        <w:tblLook w:firstColumn="1" w:firstRow="1" w:lastColumn="0" w:lastRow="0" w:noHBand="0" w:noVBand="1" w:val="04A0"/>
      </w:tblPr>
      <w:tblGrid>
        <w:gridCol w:w="792"/>
        <w:gridCol w:w="3600"/>
        <w:gridCol w:w="5256"/>
      </w:tblGrid>
      <w:tr>
        <w:tc>
          <w:tcPr>
            <w:tcW w:type="dxa" w:w="3312"/>
            <w:shd w:fill="8A1F1F"/>
          </w:tcPr>
          <w:p>
            <w:pPr>
              <w:jc w:val="center"/>
            </w:pPr>
            <w:r>
              <w:rPr>
                <w:b/>
                <w:color w:val="FFFFFF"/>
              </w:rPr>
              <w:t>#</w:t>
            </w:r>
          </w:p>
        </w:tc>
        <w:tc>
          <w:tcPr>
            <w:tcW w:type="dxa" w:w="3312"/>
            <w:shd w:fill="8A1F1F"/>
          </w:tcPr>
          <w:p>
            <w:pPr>
              <w:jc w:val="center"/>
            </w:pPr>
            <w:r>
              <w:rPr>
                <w:b/>
                <w:color w:val="FFFFFF"/>
              </w:rPr>
              <w:t>Module</w:t>
            </w:r>
          </w:p>
        </w:tc>
        <w:tc>
          <w:tcPr>
            <w:tcW w:type="dxa" w:w="3312"/>
            <w:shd w:fill="8A1F1F"/>
          </w:tcPr>
          <w:p>
            <w:pPr>
              <w:jc w:val="center"/>
            </w:pPr>
            <w:r>
              <w:rPr>
                <w:b/>
                <w:color w:val="FFFFFF"/>
              </w:rPr>
              <w:t>Focus</w:t>
            </w:r>
          </w:p>
        </w:tc>
      </w:tr>
      <w:tr>
        <w:tc>
          <w:tcPr>
            <w:tcW w:type="dxa" w:w="792"/>
            <w:tcMar>
              <w:top w:w="90" w:type="dxa"/>
              <w:start w:w="100" w:type="dxa"/>
              <w:bottom w:w="90" w:type="dxa"/>
              <w:end w:w="100" w:type="dxa"/>
            </w:tcMar>
          </w:tcPr>
          <w:p>
            <w:pPr>
              <w:jc w:val="center"/>
            </w:pPr>
            <w:r>
              <w:t>1</w:t>
            </w:r>
          </w:p>
        </w:tc>
        <w:tc>
          <w:tcPr>
            <w:tcW w:type="dxa" w:w="3600"/>
            <w:tcMar>
              <w:top w:w="90" w:type="dxa"/>
              <w:start w:w="100" w:type="dxa"/>
              <w:bottom w:w="90" w:type="dxa"/>
              <w:end w:w="100" w:type="dxa"/>
            </w:tcMar>
          </w:tcPr>
          <w:p>
            <w:r>
              <w:t>1. OWASP overview</w:t>
            </w:r>
          </w:p>
        </w:tc>
        <w:tc>
          <w:tcPr>
            <w:tcW w:type="dxa" w:w="5256"/>
            <w:tcMar>
              <w:top w:w="90" w:type="dxa"/>
              <w:start w:w="100" w:type="dxa"/>
              <w:bottom w:w="90" w:type="dxa"/>
              <w:end w:w="100" w:type="dxa"/>
            </w:tcMar>
          </w:tcPr>
          <w:p>
            <w:r>
              <w:t>What the Top 10 is and how to interpret it.</w:t>
            </w:r>
          </w:p>
        </w:tc>
      </w:tr>
      <w:tr>
        <w:tc>
          <w:tcPr>
            <w:tcW w:type="dxa" w:w="792"/>
            <w:tcMar>
              <w:top w:w="90" w:type="dxa"/>
              <w:start w:w="100" w:type="dxa"/>
              <w:bottom w:w="90" w:type="dxa"/>
              <w:end w:w="100" w:type="dxa"/>
            </w:tcMar>
          </w:tcPr>
          <w:p>
            <w:pPr>
              <w:jc w:val="center"/>
            </w:pPr>
            <w:r>
              <w:t>2</w:t>
            </w:r>
          </w:p>
        </w:tc>
        <w:tc>
          <w:tcPr>
            <w:tcW w:type="dxa" w:w="3600"/>
            <w:tcMar>
              <w:top w:w="90" w:type="dxa"/>
              <w:start w:w="100" w:type="dxa"/>
              <w:bottom w:w="90" w:type="dxa"/>
              <w:end w:w="100" w:type="dxa"/>
            </w:tcMar>
          </w:tcPr>
          <w:p>
            <w:r>
              <w:t>2. A01 Broken Access Control</w:t>
            </w:r>
          </w:p>
        </w:tc>
        <w:tc>
          <w:tcPr>
            <w:tcW w:type="dxa" w:w="5256"/>
            <w:tcMar>
              <w:top w:w="90" w:type="dxa"/>
              <w:start w:w="100" w:type="dxa"/>
              <w:bottom w:w="90" w:type="dxa"/>
              <w:end w:w="100" w:type="dxa"/>
            </w:tcMar>
          </w:tcPr>
          <w:p>
            <w:r>
              <w:t>IDOR, privilege escalation, access enforcement failures.</w:t>
            </w:r>
          </w:p>
        </w:tc>
      </w:tr>
      <w:tr>
        <w:tc>
          <w:tcPr>
            <w:tcW w:type="dxa" w:w="792"/>
            <w:tcMar>
              <w:top w:w="90" w:type="dxa"/>
              <w:start w:w="100" w:type="dxa"/>
              <w:bottom w:w="90" w:type="dxa"/>
              <w:end w:w="100" w:type="dxa"/>
            </w:tcMar>
          </w:tcPr>
          <w:p>
            <w:pPr>
              <w:jc w:val="center"/>
            </w:pPr>
            <w:r>
              <w:t>3</w:t>
            </w:r>
          </w:p>
        </w:tc>
        <w:tc>
          <w:tcPr>
            <w:tcW w:type="dxa" w:w="3600"/>
            <w:tcMar>
              <w:top w:w="90" w:type="dxa"/>
              <w:start w:w="100" w:type="dxa"/>
              <w:bottom w:w="90" w:type="dxa"/>
              <w:end w:w="100" w:type="dxa"/>
            </w:tcMar>
          </w:tcPr>
          <w:p>
            <w:r>
              <w:t>3. A02 Cryptographic Failures</w:t>
            </w:r>
          </w:p>
        </w:tc>
        <w:tc>
          <w:tcPr>
            <w:tcW w:type="dxa" w:w="5256"/>
            <w:tcMar>
              <w:top w:w="90" w:type="dxa"/>
              <w:start w:w="100" w:type="dxa"/>
              <w:bottom w:w="90" w:type="dxa"/>
              <w:end w:w="100" w:type="dxa"/>
            </w:tcMar>
          </w:tcPr>
          <w:p>
            <w:r>
              <w:t>Weak encryption, bad key handling, plaintext exposure.</w:t>
            </w:r>
          </w:p>
        </w:tc>
      </w:tr>
      <w:tr>
        <w:tc>
          <w:tcPr>
            <w:tcW w:type="dxa" w:w="792"/>
            <w:tcMar>
              <w:top w:w="90" w:type="dxa"/>
              <w:start w:w="100" w:type="dxa"/>
              <w:bottom w:w="90" w:type="dxa"/>
              <w:end w:w="100" w:type="dxa"/>
            </w:tcMar>
          </w:tcPr>
          <w:p>
            <w:pPr>
              <w:jc w:val="center"/>
            </w:pPr>
            <w:r>
              <w:t>4</w:t>
            </w:r>
          </w:p>
        </w:tc>
        <w:tc>
          <w:tcPr>
            <w:tcW w:type="dxa" w:w="3600"/>
            <w:tcMar>
              <w:top w:w="90" w:type="dxa"/>
              <w:start w:w="100" w:type="dxa"/>
              <w:bottom w:w="90" w:type="dxa"/>
              <w:end w:w="100" w:type="dxa"/>
            </w:tcMar>
          </w:tcPr>
          <w:p>
            <w:r>
              <w:t>4. A03 Injection</w:t>
            </w:r>
          </w:p>
        </w:tc>
        <w:tc>
          <w:tcPr>
            <w:tcW w:type="dxa" w:w="5256"/>
            <w:tcMar>
              <w:top w:w="90" w:type="dxa"/>
              <w:start w:w="100" w:type="dxa"/>
              <w:bottom w:w="90" w:type="dxa"/>
              <w:end w:w="100" w:type="dxa"/>
            </w:tcMar>
          </w:tcPr>
          <w:p>
            <w:r>
              <w:t>SQL, NoSQL, OS command, and LDAP injection concepts.</w:t>
            </w:r>
          </w:p>
        </w:tc>
      </w:tr>
      <w:tr>
        <w:tc>
          <w:tcPr>
            <w:tcW w:type="dxa" w:w="792"/>
            <w:tcMar>
              <w:top w:w="90" w:type="dxa"/>
              <w:start w:w="100" w:type="dxa"/>
              <w:bottom w:w="90" w:type="dxa"/>
              <w:end w:w="100" w:type="dxa"/>
            </w:tcMar>
          </w:tcPr>
          <w:p>
            <w:pPr>
              <w:jc w:val="center"/>
            </w:pPr>
            <w:r>
              <w:t>5</w:t>
            </w:r>
          </w:p>
        </w:tc>
        <w:tc>
          <w:tcPr>
            <w:tcW w:type="dxa" w:w="3600"/>
            <w:tcMar>
              <w:top w:w="90" w:type="dxa"/>
              <w:start w:w="100" w:type="dxa"/>
              <w:bottom w:w="90" w:type="dxa"/>
              <w:end w:w="100" w:type="dxa"/>
            </w:tcMar>
          </w:tcPr>
          <w:p>
            <w:r>
              <w:t>5. A04 Insecure Design</w:t>
            </w:r>
          </w:p>
        </w:tc>
        <w:tc>
          <w:tcPr>
            <w:tcW w:type="dxa" w:w="5256"/>
            <w:tcMar>
              <w:top w:w="90" w:type="dxa"/>
              <w:start w:w="100" w:type="dxa"/>
              <w:bottom w:w="90" w:type="dxa"/>
              <w:end w:w="100" w:type="dxa"/>
            </w:tcMar>
          </w:tcPr>
          <w:p>
            <w:r>
              <w:t>Threat modeling and design-level security thinking.</w:t>
            </w:r>
          </w:p>
        </w:tc>
      </w:tr>
      <w:tr>
        <w:tc>
          <w:tcPr>
            <w:tcW w:type="dxa" w:w="792"/>
            <w:tcMar>
              <w:top w:w="90" w:type="dxa"/>
              <w:start w:w="100" w:type="dxa"/>
              <w:bottom w:w="90" w:type="dxa"/>
              <w:end w:w="100" w:type="dxa"/>
            </w:tcMar>
          </w:tcPr>
          <w:p>
            <w:pPr>
              <w:jc w:val="center"/>
            </w:pPr>
            <w:r>
              <w:t>6</w:t>
            </w:r>
          </w:p>
        </w:tc>
        <w:tc>
          <w:tcPr>
            <w:tcW w:type="dxa" w:w="3600"/>
            <w:tcMar>
              <w:top w:w="90" w:type="dxa"/>
              <w:start w:w="100" w:type="dxa"/>
              <w:bottom w:w="90" w:type="dxa"/>
              <w:end w:w="100" w:type="dxa"/>
            </w:tcMar>
          </w:tcPr>
          <w:p>
            <w:r>
              <w:t>6. A05 Security Misconfiguration</w:t>
            </w:r>
          </w:p>
        </w:tc>
        <w:tc>
          <w:tcPr>
            <w:tcW w:type="dxa" w:w="5256"/>
            <w:tcMar>
              <w:top w:w="90" w:type="dxa"/>
              <w:start w:w="100" w:type="dxa"/>
              <w:bottom w:w="90" w:type="dxa"/>
              <w:end w:w="100" w:type="dxa"/>
            </w:tcMar>
          </w:tcPr>
          <w:p>
            <w:r>
              <w:t>Defaults, error handling, exposure, and unsafe settings.</w:t>
            </w:r>
          </w:p>
        </w:tc>
      </w:tr>
      <w:tr>
        <w:tc>
          <w:tcPr>
            <w:tcW w:type="dxa" w:w="792"/>
            <w:tcMar>
              <w:top w:w="90" w:type="dxa"/>
              <w:start w:w="100" w:type="dxa"/>
              <w:bottom w:w="90" w:type="dxa"/>
              <w:end w:w="100" w:type="dxa"/>
            </w:tcMar>
          </w:tcPr>
          <w:p>
            <w:pPr>
              <w:jc w:val="center"/>
            </w:pPr>
            <w:r>
              <w:t>7</w:t>
            </w:r>
          </w:p>
        </w:tc>
        <w:tc>
          <w:tcPr>
            <w:tcW w:type="dxa" w:w="3600"/>
            <w:tcMar>
              <w:top w:w="90" w:type="dxa"/>
              <w:start w:w="100" w:type="dxa"/>
              <w:bottom w:w="90" w:type="dxa"/>
              <w:end w:w="100" w:type="dxa"/>
            </w:tcMar>
          </w:tcPr>
          <w:p>
            <w:r>
              <w:t>7. A06 Vulnerable Components</w:t>
            </w:r>
          </w:p>
        </w:tc>
        <w:tc>
          <w:tcPr>
            <w:tcW w:type="dxa" w:w="5256"/>
            <w:tcMar>
              <w:top w:w="90" w:type="dxa"/>
              <w:start w:w="100" w:type="dxa"/>
              <w:bottom w:w="90" w:type="dxa"/>
              <w:end w:w="100" w:type="dxa"/>
            </w:tcMar>
          </w:tcPr>
          <w:p>
            <w:r>
              <w:t>Dependency risk, patching, and CVE awareness.</w:t>
            </w:r>
          </w:p>
        </w:tc>
      </w:tr>
      <w:tr>
        <w:tc>
          <w:tcPr>
            <w:tcW w:type="dxa" w:w="792"/>
            <w:tcMar>
              <w:top w:w="90" w:type="dxa"/>
              <w:start w:w="100" w:type="dxa"/>
              <w:bottom w:w="90" w:type="dxa"/>
              <w:end w:w="100" w:type="dxa"/>
            </w:tcMar>
          </w:tcPr>
          <w:p>
            <w:pPr>
              <w:jc w:val="center"/>
            </w:pPr>
            <w:r>
              <w:t>8</w:t>
            </w:r>
          </w:p>
        </w:tc>
        <w:tc>
          <w:tcPr>
            <w:tcW w:type="dxa" w:w="3600"/>
            <w:tcMar>
              <w:top w:w="90" w:type="dxa"/>
              <w:start w:w="100" w:type="dxa"/>
              <w:bottom w:w="90" w:type="dxa"/>
              <w:end w:w="100" w:type="dxa"/>
            </w:tcMar>
          </w:tcPr>
          <w:p>
            <w:r>
              <w:t>8. A07 Authentication Failures</w:t>
            </w:r>
          </w:p>
        </w:tc>
        <w:tc>
          <w:tcPr>
            <w:tcW w:type="dxa" w:w="5256"/>
            <w:tcMar>
              <w:top w:w="90" w:type="dxa"/>
              <w:start w:w="100" w:type="dxa"/>
              <w:bottom w:w="90" w:type="dxa"/>
              <w:end w:w="100" w:type="dxa"/>
            </w:tcMar>
          </w:tcPr>
          <w:p>
            <w:r>
              <w:t>Weak auth flows, brute force risk, sessions.</w:t>
            </w:r>
          </w:p>
        </w:tc>
      </w:tr>
      <w:tr>
        <w:tc>
          <w:tcPr>
            <w:tcW w:type="dxa" w:w="792"/>
            <w:tcMar>
              <w:top w:w="90" w:type="dxa"/>
              <w:start w:w="100" w:type="dxa"/>
              <w:bottom w:w="90" w:type="dxa"/>
              <w:end w:w="100" w:type="dxa"/>
            </w:tcMar>
          </w:tcPr>
          <w:p>
            <w:pPr>
              <w:jc w:val="center"/>
            </w:pPr>
            <w:r>
              <w:t>9</w:t>
            </w:r>
          </w:p>
        </w:tc>
        <w:tc>
          <w:tcPr>
            <w:tcW w:type="dxa" w:w="3600"/>
            <w:tcMar>
              <w:top w:w="90" w:type="dxa"/>
              <w:start w:w="100" w:type="dxa"/>
              <w:bottom w:w="90" w:type="dxa"/>
              <w:end w:w="100" w:type="dxa"/>
            </w:tcMar>
          </w:tcPr>
          <w:p>
            <w:r>
              <w:t>9. A08 Data Integrity Failures</w:t>
            </w:r>
          </w:p>
        </w:tc>
        <w:tc>
          <w:tcPr>
            <w:tcW w:type="dxa" w:w="5256"/>
            <w:tcMar>
              <w:top w:w="90" w:type="dxa"/>
              <w:start w:w="100" w:type="dxa"/>
              <w:bottom w:w="90" w:type="dxa"/>
              <w:end w:w="100" w:type="dxa"/>
            </w:tcMar>
          </w:tcPr>
          <w:p>
            <w:r>
              <w:t>Insecure deserialization and software supply-chain trust.</w:t>
            </w:r>
          </w:p>
        </w:tc>
      </w:tr>
      <w:tr>
        <w:tc>
          <w:tcPr>
            <w:tcW w:type="dxa" w:w="792"/>
            <w:tcMar>
              <w:top w:w="90" w:type="dxa"/>
              <w:start w:w="100" w:type="dxa"/>
              <w:bottom w:w="90" w:type="dxa"/>
              <w:end w:w="100" w:type="dxa"/>
            </w:tcMar>
          </w:tcPr>
          <w:p>
            <w:pPr>
              <w:jc w:val="center"/>
            </w:pPr>
            <w:r>
              <w:t>10</w:t>
            </w:r>
          </w:p>
        </w:tc>
        <w:tc>
          <w:tcPr>
            <w:tcW w:type="dxa" w:w="3600"/>
            <w:tcMar>
              <w:top w:w="90" w:type="dxa"/>
              <w:start w:w="100" w:type="dxa"/>
              <w:bottom w:w="90" w:type="dxa"/>
              <w:end w:w="100" w:type="dxa"/>
            </w:tcMar>
          </w:tcPr>
          <w:p>
            <w:r>
              <w:t>10. A09 Logging &amp; Monitoring Failures</w:t>
            </w:r>
          </w:p>
        </w:tc>
        <w:tc>
          <w:tcPr>
            <w:tcW w:type="dxa" w:w="5256"/>
            <w:tcMar>
              <w:top w:w="90" w:type="dxa"/>
              <w:start w:w="100" w:type="dxa"/>
              <w:bottom w:w="90" w:type="dxa"/>
              <w:end w:w="100" w:type="dxa"/>
            </w:tcMar>
          </w:tcPr>
          <w:p>
            <w:r>
              <w:t>Poor visibility, poor alerting, delayed response.</w:t>
            </w:r>
          </w:p>
        </w:tc>
      </w:tr>
      <w:tr>
        <w:tc>
          <w:tcPr>
            <w:tcW w:type="dxa" w:w="792"/>
            <w:tcMar>
              <w:top w:w="90" w:type="dxa"/>
              <w:start w:w="100" w:type="dxa"/>
              <w:bottom w:w="90" w:type="dxa"/>
              <w:end w:w="100" w:type="dxa"/>
            </w:tcMar>
          </w:tcPr>
          <w:p>
            <w:pPr>
              <w:jc w:val="center"/>
            </w:pPr>
            <w:r>
              <w:t>11</w:t>
            </w:r>
          </w:p>
        </w:tc>
        <w:tc>
          <w:tcPr>
            <w:tcW w:type="dxa" w:w="3600"/>
            <w:tcMar>
              <w:top w:w="90" w:type="dxa"/>
              <w:start w:w="100" w:type="dxa"/>
              <w:bottom w:w="90" w:type="dxa"/>
              <w:end w:w="100" w:type="dxa"/>
            </w:tcMar>
          </w:tcPr>
          <w:p>
            <w:r>
              <w:t>11. A10 SSRF</w:t>
            </w:r>
          </w:p>
        </w:tc>
        <w:tc>
          <w:tcPr>
            <w:tcW w:type="dxa" w:w="5256"/>
            <w:tcMar>
              <w:top w:w="90" w:type="dxa"/>
              <w:start w:w="100" w:type="dxa"/>
              <w:bottom w:w="90" w:type="dxa"/>
              <w:end w:w="100" w:type="dxa"/>
            </w:tcMar>
          </w:tcPr>
          <w:p>
            <w:r>
              <w:t>Server-side requests abused to reach unintended resources.</w:t>
            </w:r>
          </w:p>
        </w:tc>
      </w:tr>
      <w:tr>
        <w:tc>
          <w:tcPr>
            <w:tcW w:type="dxa" w:w="792"/>
            <w:tcMar>
              <w:top w:w="90" w:type="dxa"/>
              <w:start w:w="100" w:type="dxa"/>
              <w:bottom w:w="90" w:type="dxa"/>
              <w:end w:w="100" w:type="dxa"/>
            </w:tcMar>
          </w:tcPr>
          <w:p>
            <w:pPr>
              <w:jc w:val="center"/>
            </w:pPr>
            <w:r>
              <w:t>12</w:t>
            </w:r>
          </w:p>
        </w:tc>
        <w:tc>
          <w:tcPr>
            <w:tcW w:type="dxa" w:w="3600"/>
            <w:tcMar>
              <w:top w:w="90" w:type="dxa"/>
              <w:start w:w="100" w:type="dxa"/>
              <w:bottom w:w="90" w:type="dxa"/>
              <w:end w:w="100" w:type="dxa"/>
            </w:tcMar>
          </w:tcPr>
          <w:p>
            <w:r>
              <w:t>12. Mitigation Strategy Matrix</w:t>
            </w:r>
          </w:p>
        </w:tc>
        <w:tc>
          <w:tcPr>
            <w:tcW w:type="dxa" w:w="5256"/>
            <w:tcMar>
              <w:top w:w="90" w:type="dxa"/>
              <w:start w:w="100" w:type="dxa"/>
              <w:bottom w:w="90" w:type="dxa"/>
              <w:end w:w="100" w:type="dxa"/>
            </w:tcMar>
          </w:tcPr>
          <w:p>
            <w:r>
              <w:t>Cross-cutting defensive controls for each category.</w:t>
            </w:r>
          </w:p>
        </w:tc>
      </w:tr>
      <w:tr>
        <w:tc>
          <w:tcPr>
            <w:tcW w:type="dxa" w:w="792"/>
            <w:tcMar>
              <w:top w:w="90" w:type="dxa"/>
              <w:start w:w="100" w:type="dxa"/>
              <w:bottom w:w="90" w:type="dxa"/>
              <w:end w:w="100" w:type="dxa"/>
            </w:tcMar>
          </w:tcPr>
          <w:p>
            <w:pPr>
              <w:jc w:val="center"/>
            </w:pPr>
            <w:r>
              <w:t>13</w:t>
            </w:r>
          </w:p>
        </w:tc>
        <w:tc>
          <w:tcPr>
            <w:tcW w:type="dxa" w:w="3600"/>
            <w:tcMar>
              <w:top w:w="90" w:type="dxa"/>
              <w:start w:w="100" w:type="dxa"/>
              <w:bottom w:w="90" w:type="dxa"/>
              <w:end w:w="100" w:type="dxa"/>
            </w:tcMar>
          </w:tcPr>
          <w:p>
            <w:r>
              <w:t>13. OWASP Testing Guide Methodology</w:t>
            </w:r>
          </w:p>
        </w:tc>
        <w:tc>
          <w:tcPr>
            <w:tcW w:type="dxa" w:w="5256"/>
            <w:tcMar>
              <w:top w:w="90" w:type="dxa"/>
              <w:start w:w="100" w:type="dxa"/>
              <w:bottom w:w="90" w:type="dxa"/>
              <w:end w:w="100" w:type="dxa"/>
            </w:tcMar>
          </w:tcPr>
          <w:p>
            <w:r>
              <w:t>How to test ethically and systematically.</w:t>
            </w:r>
          </w:p>
        </w:tc>
      </w:tr>
    </w:tbl>
    <w:p>
      <w:pPr>
        <w:pStyle w:val="Heading1"/>
      </w:pPr>
      <w:r>
        <w:t>1. What the OWASP Top 10 Represents</w:t>
      </w:r>
    </w:p>
    <w:p>
      <w:r>
        <w:rPr>
          <w:b/>
        </w:rPr>
        <w:t xml:space="preserve">Overview: </w:t>
      </w:r>
      <w:r>
        <w:t>The OWASP Top 10 is a widely used awareness document describing broad categories of common and impactful web application security risks.</w:t>
      </w:r>
    </w:p>
    <w:p>
      <w:r>
        <w:rPr>
          <w:b/>
        </w:rPr>
        <w:t xml:space="preserve">Why it matters: </w:t>
      </w:r>
      <w:r>
        <w:t>Teams often fail when they memorize labels but do not understand the underlying engineering weakness. The goal is to recognize patterns of failure early in design, code, deployment, and operations.</w:t>
      </w:r>
    </w:p>
    <w:p>
      <w:r>
        <w:t>The Top 10 is best used as a prioritization and education tool. It is not a complete checklist, not a guarantee of coverage, and not a substitute for architecture review, threat modeling, code review, dynamic testing, and secure SDLC practices.</w:t>
      </w:r>
    </w:p>
    <w:p>
      <w:pPr>
        <w:pStyle w:val="Heading2"/>
      </w:pPr>
      <w:r>
        <w:t>1.1 How to interpret categories correctly</w:t>
      </w:r>
    </w:p>
    <w:p>
      <w:pPr>
        <w:pStyle w:val="ListBullet"/>
        <w:spacing w:after="40"/>
      </w:pPr>
      <w:r>
        <w:t>A category may contain multiple technical root causes.</w:t>
      </w:r>
    </w:p>
    <w:p>
      <w:pPr>
        <w:pStyle w:val="ListBullet"/>
        <w:spacing w:after="40"/>
      </w:pPr>
      <w:r>
        <w:t>One application issue can fit more than one category.</w:t>
      </w:r>
    </w:p>
    <w:p>
      <w:pPr>
        <w:pStyle w:val="ListBullet"/>
        <w:spacing w:after="40"/>
      </w:pPr>
      <w:r>
        <w:t>A category name is a conversation starter, not the full diagnosis.</w:t>
      </w:r>
    </w:p>
    <w:p>
      <w:pPr>
        <w:pStyle w:val="ListBullet"/>
        <w:spacing w:after="40"/>
      </w:pPr>
      <w:r>
        <w:t>Mitigation almost always requires process, design, implementation, and operational controls together.</w:t>
      </w:r>
    </w:p>
    <w:p>
      <w:pPr>
        <w:pStyle w:val="Heading1"/>
      </w:pPr>
      <w:r>
        <w:t>2. A01: Broken Access Control</w:t>
      </w:r>
    </w:p>
    <w:p>
      <w:r>
        <w:rPr>
          <w:b/>
        </w:rPr>
        <w:t xml:space="preserve">Overview: </w:t>
      </w:r>
      <w:r>
        <w:t>Broken access control occurs when the application fails to properly enforce what authenticated or unauthenticated users are allowed to do.</w:t>
      </w:r>
    </w:p>
    <w:p>
      <w:r>
        <w:rPr>
          <w:b/>
        </w:rPr>
        <w:t xml:space="preserve">Why it matters: </w:t>
      </w:r>
      <w:r>
        <w:t>Access control failures often lead directly to unauthorized data access, account takeover impact expansion, privilege escalation, or destructive actions across tenants or users.</w:t>
      </w:r>
    </w:p>
    <w:p>
      <w:pPr>
        <w:pStyle w:val="Heading2"/>
      </w:pPr>
      <w:r>
        <w:t>2.1 Key concepts</w:t>
      </w:r>
    </w:p>
    <w:p>
      <w:pPr>
        <w:pStyle w:val="ListBullet"/>
        <w:spacing w:after="40"/>
      </w:pPr>
      <w:r>
        <w:t>Horizontal access control: stopping one user from accessing another user's records.</w:t>
      </w:r>
    </w:p>
    <w:p>
      <w:pPr>
        <w:pStyle w:val="ListBullet"/>
        <w:spacing w:after="40"/>
      </w:pPr>
      <w:r>
        <w:t>Vertical access control: restricting higher-privilege functions to the correct roles only.</w:t>
      </w:r>
    </w:p>
    <w:p>
      <w:pPr>
        <w:pStyle w:val="ListBullet"/>
        <w:spacing w:after="40"/>
      </w:pPr>
      <w:r>
        <w:t>Context-sensitive access control: decisions based on ownership, business rules, organization boundaries, or workflow state.</w:t>
      </w:r>
    </w:p>
    <w:p>
      <w:pPr>
        <w:pStyle w:val="Heading2"/>
      </w:pPr>
      <w:r>
        <w:t>2.2 IDOR explained</w:t>
      </w:r>
    </w:p>
    <w:p>
      <w:r>
        <w:t>Insecure Direct Object Reference, or IDOR, is a common example of broken access control. The application references an internal object such as a document, invoice, ticket, user record, or file identifier, but fails to verify that the current user is authorized to access that specific object.</w:t>
      </w:r>
    </w:p>
    <w:p>
      <w:r>
        <w:t>The root problem is not the identifier format itself. The real failure is missing or inconsistent authorization enforcement.</w:t>
      </w:r>
    </w:p>
    <w:p>
      <w:pPr>
        <w:pStyle w:val="Heading2"/>
      </w:pPr>
      <w:r>
        <w:t>2.3 Privilege escalation explained</w:t>
      </w:r>
    </w:p>
    <w:p>
      <w:r>
        <w:t>Privilege escalation occurs when a user gains actions or data intended for a more privileged role, such as an administrator, approver, finance reviewer, or system operator.</w:t>
      </w:r>
    </w:p>
    <w:p>
      <w:pPr>
        <w:pStyle w:val="Heading2"/>
      </w:pPr>
      <w:r>
        <w:t>2.4 Common causes</w:t>
      </w:r>
    </w:p>
    <w:p>
      <w:pPr>
        <w:pStyle w:val="ListBullet"/>
        <w:spacing w:after="40"/>
      </w:pPr>
      <w:r>
        <w:t>Authorization checks performed only in the UI, not on the server.</w:t>
      </w:r>
    </w:p>
    <w:p>
      <w:pPr>
        <w:pStyle w:val="ListBullet"/>
        <w:spacing w:after="40"/>
      </w:pPr>
      <w:r>
        <w:t>Role checks scattered inconsistently across endpoints.</w:t>
      </w:r>
    </w:p>
    <w:p>
      <w:pPr>
        <w:pStyle w:val="ListBullet"/>
        <w:spacing w:after="40"/>
      </w:pPr>
      <w:r>
        <w:t>Assuming obscurity of identifiers is sufficient protection.</w:t>
      </w:r>
    </w:p>
    <w:p>
      <w:pPr>
        <w:pStyle w:val="ListBullet"/>
        <w:spacing w:after="40"/>
      </w:pPr>
      <w:r>
        <w:t>Missing tenant or ownership validation in multi-user systems.</w:t>
      </w:r>
    </w:p>
    <w:p>
      <w:pPr>
        <w:pStyle w:val="ListBullet"/>
        <w:spacing w:after="40"/>
      </w:pPr>
      <w:r>
        <w:t>Cached access decisions that are not refreshed when roles or membership change.</w:t>
      </w:r>
    </w:p>
    <w:p>
      <w:pPr>
        <w:pStyle w:val="Heading2"/>
      </w:pPr>
      <w:r>
        <w:t>2.5 Safe review questions</w:t>
      </w:r>
    </w:p>
    <w:p>
      <w:pPr>
        <w:pStyle w:val="ListBullet"/>
        <w:spacing w:after="40"/>
      </w:pPr>
      <w:r>
        <w:t>Can one user view, modify, or delete another user's resources?</w:t>
      </w:r>
    </w:p>
    <w:p>
      <w:pPr>
        <w:pStyle w:val="ListBullet"/>
        <w:spacing w:after="40"/>
      </w:pPr>
      <w:r>
        <w:t>Do all sensitive endpoints enforce authorization on the server side?</w:t>
      </w:r>
    </w:p>
    <w:p>
      <w:pPr>
        <w:pStyle w:val="ListBullet"/>
        <w:spacing w:after="40"/>
      </w:pPr>
      <w:r>
        <w:t>Are admin-only workflows and role transitions explicitly checked?</w:t>
      </w:r>
    </w:p>
    <w:p>
      <w:pPr>
        <w:pStyle w:val="ListBullet"/>
        <w:spacing w:after="40"/>
      </w:pPr>
      <w:r>
        <w:t>Are file downloads, API endpoints, and background actions protected the same way as visible UI actions?</w:t>
      </w:r>
    </w:p>
    <w:p>
      <w:pPr>
        <w:pStyle w:val="Heading2"/>
      </w:pPr>
      <w:r>
        <w:t>2.6 Mitigation strategies</w:t>
      </w:r>
    </w:p>
    <w:p>
      <w:pPr>
        <w:pStyle w:val="ListBullet"/>
        <w:spacing w:after="40"/>
      </w:pPr>
      <w:r>
        <w:t>Enforce authorization centrally and server-side for every request.</w:t>
      </w:r>
    </w:p>
    <w:p>
      <w:pPr>
        <w:pStyle w:val="ListBullet"/>
        <w:spacing w:after="40"/>
      </w:pPr>
      <w:r>
        <w:t>Use deny-by-default logic and explicit policy rules.</w:t>
      </w:r>
    </w:p>
    <w:p>
      <w:pPr>
        <w:pStyle w:val="ListBullet"/>
        <w:spacing w:after="40"/>
      </w:pPr>
      <w:r>
        <w:t>Validate object ownership, tenant boundary, and workflow eligibility on each access.</w:t>
      </w:r>
    </w:p>
    <w:p>
      <w:pPr>
        <w:pStyle w:val="ListBullet"/>
        <w:spacing w:after="40"/>
      </w:pPr>
      <w:r>
        <w:t>Test every sensitive endpoint with multiple roles and account contexts.</w:t>
      </w:r>
    </w:p>
    <w:p>
      <w:pPr>
        <w:pStyle w:val="ListBullet"/>
        <w:spacing w:after="40"/>
      </w:pPr>
      <w:r>
        <w:t>Log authorization failures and review them for patterns.</w:t>
      </w:r>
    </w:p>
    <w:p>
      <w:pPr>
        <w:pStyle w:val="Heading1"/>
      </w:pPr>
      <w:r>
        <w:t>3. A02: Cryptographic Failures</w:t>
      </w:r>
    </w:p>
    <w:p>
      <w:r>
        <w:rPr>
          <w:b/>
        </w:rPr>
        <w:t xml:space="preserve">Overview: </w:t>
      </w:r>
      <w:r>
        <w:t>Cryptographic failures happen when sensitive data is not properly protected in transit, at rest, or during processing.</w:t>
      </w:r>
    </w:p>
    <w:p>
      <w:r>
        <w:rPr>
          <w:b/>
        </w:rPr>
        <w:t xml:space="preserve">Why it matters: </w:t>
      </w:r>
      <w:r>
        <w:t>Teams often believe 'we use HTTPS' is enough, but failures can still occur through poor algorithm choice, missing encryption, bad key management, or exposure of secrets elsewhere in the stack.</w:t>
      </w:r>
    </w:p>
    <w:p>
      <w:pPr>
        <w:pStyle w:val="Heading2"/>
      </w:pPr>
      <w:r>
        <w:t>3.1 Typical failure patterns</w:t>
      </w:r>
    </w:p>
    <w:p>
      <w:pPr>
        <w:pStyle w:val="ListBullet"/>
        <w:spacing w:after="40"/>
      </w:pPr>
      <w:r>
        <w:t>Sensitive data stored in plaintext or reversible weakly protected form.</w:t>
      </w:r>
    </w:p>
    <w:p>
      <w:pPr>
        <w:pStyle w:val="ListBullet"/>
        <w:spacing w:after="40"/>
      </w:pPr>
      <w:r>
        <w:t>Use of deprecated or weak cryptographic algorithms or modes.</w:t>
      </w:r>
    </w:p>
    <w:p>
      <w:pPr>
        <w:pStyle w:val="ListBullet"/>
        <w:spacing w:after="40"/>
      </w:pPr>
      <w:r>
        <w:t>Poor key generation, storage, rotation, or access control.</w:t>
      </w:r>
    </w:p>
    <w:p>
      <w:pPr>
        <w:pStyle w:val="ListBullet"/>
        <w:spacing w:after="40"/>
      </w:pPr>
      <w:r>
        <w:t>Improper certificate validation or broken TLS configuration.</w:t>
      </w:r>
    </w:p>
    <w:p>
      <w:pPr>
        <w:pStyle w:val="ListBullet"/>
        <w:spacing w:after="40"/>
      </w:pPr>
      <w:r>
        <w:t>Password storage that is not designed for password hashing.</w:t>
      </w:r>
    </w:p>
    <w:p>
      <w:pPr>
        <w:pStyle w:val="Heading2"/>
      </w:pPr>
      <w:r>
        <w:t>3.2 What counts as sensitive data</w:t>
      </w:r>
    </w:p>
    <w:p>
      <w:pPr>
        <w:pStyle w:val="ListBullet"/>
        <w:spacing w:after="40"/>
      </w:pPr>
      <w:r>
        <w:t>Passwords and password reset tokens.</w:t>
      </w:r>
    </w:p>
    <w:p>
      <w:pPr>
        <w:pStyle w:val="ListBullet"/>
        <w:spacing w:after="40"/>
      </w:pPr>
      <w:r>
        <w:t>Session tokens and API keys.</w:t>
      </w:r>
    </w:p>
    <w:p>
      <w:pPr>
        <w:pStyle w:val="ListBullet"/>
        <w:spacing w:after="40"/>
      </w:pPr>
      <w:r>
        <w:t>Personally identifiable information and financial data.</w:t>
      </w:r>
    </w:p>
    <w:p>
      <w:pPr>
        <w:pStyle w:val="ListBullet"/>
        <w:spacing w:after="40"/>
      </w:pPr>
      <w:r>
        <w:t>Private files, health data, internal secrets, and configuration secrets.</w:t>
      </w:r>
    </w:p>
    <w:p>
      <w:pPr>
        <w:pStyle w:val="Heading2"/>
      </w:pPr>
      <w:r>
        <w:t>3.3 Mitigation strategies</w:t>
      </w:r>
    </w:p>
    <w:p>
      <w:pPr>
        <w:pStyle w:val="ListBullet"/>
        <w:spacing w:after="40"/>
      </w:pPr>
      <w:r>
        <w:t>Use current, well-vetted cryptographic libraries and defaults.</w:t>
      </w:r>
    </w:p>
    <w:p>
      <w:pPr>
        <w:pStyle w:val="ListBullet"/>
        <w:spacing w:after="40"/>
      </w:pPr>
      <w:r>
        <w:t>Encrypt sensitive data in transit with strong TLS configurations.</w:t>
      </w:r>
    </w:p>
    <w:p>
      <w:pPr>
        <w:pStyle w:val="ListBullet"/>
        <w:spacing w:after="40"/>
      </w:pPr>
      <w:r>
        <w:t>Hash passwords with purpose-built password hashing algorithms and proper parameters.</w:t>
      </w:r>
    </w:p>
    <w:p>
      <w:pPr>
        <w:pStyle w:val="ListBullet"/>
        <w:spacing w:after="40"/>
      </w:pPr>
      <w:r>
        <w:t>Manage keys securely with separation of duties, rotation, and least privilege.</w:t>
      </w:r>
    </w:p>
    <w:p>
      <w:pPr>
        <w:pStyle w:val="ListBullet"/>
        <w:spacing w:after="40"/>
      </w:pPr>
      <w:r>
        <w:t>Minimize retention of sensitive data and classify it explicitly.</w:t>
      </w:r>
    </w:p>
    <w:p>
      <w:pPr>
        <w:pStyle w:val="Heading1"/>
      </w:pPr>
      <w:r>
        <w:t>4. A03: Injection</w:t>
      </w:r>
    </w:p>
    <w:p>
      <w:r>
        <w:rPr>
          <w:b/>
        </w:rPr>
        <w:t xml:space="preserve">Overview: </w:t>
      </w:r>
      <w:r>
        <w:t>Injection occurs when untrusted input is interpreted as commands or queries by another component instead of being treated purely as data.</w:t>
      </w:r>
    </w:p>
    <w:p>
      <w:r>
        <w:rPr>
          <w:b/>
        </w:rPr>
        <w:t xml:space="preserve">Why it matters: </w:t>
      </w:r>
      <w:r>
        <w:t>Injection flaws can lead to unauthorized data access, altered queries, system command execution, directory access, or logic corruption depending on the interpreter involved.</w:t>
      </w:r>
    </w:p>
    <w:p>
      <w:pPr>
        <w:pStyle w:val="Heading2"/>
      </w:pPr>
      <w:r>
        <w:t>4.1 Major types in this curriculum</w:t>
      </w:r>
    </w:p>
    <w:tbl>
      <w:tblPr>
        <w:tblStyle w:val="TableGrid"/>
        <w:tblW w:type="auto" w:w="0"/>
        <w:jc w:val="center"/>
        <w:tblLayout w:type="fixed"/>
        <w:tblLook w:firstColumn="1" w:firstRow="1" w:lastColumn="0" w:lastRow="0" w:noHBand="0" w:noVBand="1" w:val="04A0"/>
      </w:tblPr>
      <w:tblGrid>
        <w:gridCol w:w="1728"/>
        <w:gridCol w:w="3168"/>
        <w:gridCol w:w="4752"/>
      </w:tblGrid>
      <w:tr>
        <w:tc>
          <w:tcPr>
            <w:tcW w:type="dxa" w:w="3312"/>
            <w:shd w:fill="F4DADA"/>
          </w:tcPr>
          <w:p>
            <w:r>
              <w:rPr>
                <w:b/>
              </w:rPr>
              <w:t>Type</w:t>
            </w:r>
          </w:p>
        </w:tc>
        <w:tc>
          <w:tcPr>
            <w:tcW w:type="dxa" w:w="3312"/>
            <w:shd w:fill="F4DADA"/>
          </w:tcPr>
          <w:p>
            <w:r>
              <w:rPr>
                <w:b/>
              </w:rPr>
              <w:t>What gets interpreted</w:t>
            </w:r>
          </w:p>
        </w:tc>
        <w:tc>
          <w:tcPr>
            <w:tcW w:type="dxa" w:w="3312"/>
            <w:shd w:fill="F4DADA"/>
          </w:tcPr>
          <w:p>
            <w:r>
              <w:rPr>
                <w:b/>
              </w:rPr>
              <w:t>Typical risk</w:t>
            </w:r>
          </w:p>
        </w:tc>
      </w:tr>
      <w:tr>
        <w:tc>
          <w:tcPr>
            <w:tcW w:type="dxa" w:w="1728"/>
            <w:tcMar>
              <w:top w:w="90" w:type="dxa"/>
              <w:start w:w="100" w:type="dxa"/>
              <w:bottom w:w="90" w:type="dxa"/>
              <w:end w:w="100" w:type="dxa"/>
            </w:tcMar>
          </w:tcPr>
          <w:p>
            <w:r>
              <w:t>SQL injection</w:t>
            </w:r>
          </w:p>
        </w:tc>
        <w:tc>
          <w:tcPr>
            <w:tcW w:type="dxa" w:w="3168"/>
            <w:tcMar>
              <w:top w:w="90" w:type="dxa"/>
              <w:start w:w="100" w:type="dxa"/>
              <w:bottom w:w="90" w:type="dxa"/>
              <w:end w:w="100" w:type="dxa"/>
            </w:tcMar>
          </w:tcPr>
          <w:p>
            <w:r>
              <w:t>Database query syntax</w:t>
            </w:r>
          </w:p>
        </w:tc>
        <w:tc>
          <w:tcPr>
            <w:tcW w:type="dxa" w:w="4752"/>
            <w:tcMar>
              <w:top w:w="90" w:type="dxa"/>
              <w:start w:w="100" w:type="dxa"/>
              <w:bottom w:w="90" w:type="dxa"/>
              <w:end w:w="100" w:type="dxa"/>
            </w:tcMar>
          </w:tcPr>
          <w:p>
            <w:r>
              <w:t>Data exposure, data tampering, auth bypass</w:t>
            </w:r>
          </w:p>
        </w:tc>
      </w:tr>
      <w:tr>
        <w:tc>
          <w:tcPr>
            <w:tcW w:type="dxa" w:w="1728"/>
            <w:tcMar>
              <w:top w:w="90" w:type="dxa"/>
              <w:start w:w="100" w:type="dxa"/>
              <w:bottom w:w="90" w:type="dxa"/>
              <w:end w:w="100" w:type="dxa"/>
            </w:tcMar>
          </w:tcPr>
          <w:p>
            <w:r>
              <w:t>NoSQL injection</w:t>
            </w:r>
          </w:p>
        </w:tc>
        <w:tc>
          <w:tcPr>
            <w:tcW w:type="dxa" w:w="3168"/>
            <w:tcMar>
              <w:top w:w="90" w:type="dxa"/>
              <w:start w:w="100" w:type="dxa"/>
              <w:bottom w:w="90" w:type="dxa"/>
              <w:end w:w="100" w:type="dxa"/>
            </w:tcMar>
          </w:tcPr>
          <w:p>
            <w:r>
              <w:t>Document or query operators</w:t>
            </w:r>
          </w:p>
        </w:tc>
        <w:tc>
          <w:tcPr>
            <w:tcW w:type="dxa" w:w="4752"/>
            <w:tcMar>
              <w:top w:w="90" w:type="dxa"/>
              <w:start w:w="100" w:type="dxa"/>
              <w:bottom w:w="90" w:type="dxa"/>
              <w:end w:w="100" w:type="dxa"/>
            </w:tcMar>
          </w:tcPr>
          <w:p>
            <w:r>
              <w:t>Unexpected query behavior and data access</w:t>
            </w:r>
          </w:p>
        </w:tc>
      </w:tr>
      <w:tr>
        <w:tc>
          <w:tcPr>
            <w:tcW w:type="dxa" w:w="1728"/>
            <w:tcMar>
              <w:top w:w="90" w:type="dxa"/>
              <w:start w:w="100" w:type="dxa"/>
              <w:bottom w:w="90" w:type="dxa"/>
              <w:end w:w="100" w:type="dxa"/>
            </w:tcMar>
          </w:tcPr>
          <w:p>
            <w:r>
              <w:t>OS command injection</w:t>
            </w:r>
          </w:p>
        </w:tc>
        <w:tc>
          <w:tcPr>
            <w:tcW w:type="dxa" w:w="3168"/>
            <w:tcMar>
              <w:top w:w="90" w:type="dxa"/>
              <w:start w:w="100" w:type="dxa"/>
              <w:bottom w:w="90" w:type="dxa"/>
              <w:end w:w="100" w:type="dxa"/>
            </w:tcMar>
          </w:tcPr>
          <w:p>
            <w:r>
              <w:t>Shell or process arguments</w:t>
            </w:r>
          </w:p>
        </w:tc>
        <w:tc>
          <w:tcPr>
            <w:tcW w:type="dxa" w:w="4752"/>
            <w:tcMar>
              <w:top w:w="90" w:type="dxa"/>
              <w:start w:w="100" w:type="dxa"/>
              <w:bottom w:w="90" w:type="dxa"/>
              <w:end w:w="100" w:type="dxa"/>
            </w:tcMar>
          </w:tcPr>
          <w:p>
            <w:r>
              <w:t>System-level command execution risk</w:t>
            </w:r>
          </w:p>
        </w:tc>
      </w:tr>
      <w:tr>
        <w:tc>
          <w:tcPr>
            <w:tcW w:type="dxa" w:w="1728"/>
            <w:tcMar>
              <w:top w:w="90" w:type="dxa"/>
              <w:start w:w="100" w:type="dxa"/>
              <w:bottom w:w="90" w:type="dxa"/>
              <w:end w:w="100" w:type="dxa"/>
            </w:tcMar>
          </w:tcPr>
          <w:p>
            <w:r>
              <w:t>LDAP injection</w:t>
            </w:r>
          </w:p>
        </w:tc>
        <w:tc>
          <w:tcPr>
            <w:tcW w:type="dxa" w:w="3168"/>
            <w:tcMar>
              <w:top w:w="90" w:type="dxa"/>
              <w:start w:w="100" w:type="dxa"/>
              <w:bottom w:w="90" w:type="dxa"/>
              <w:end w:w="100" w:type="dxa"/>
            </w:tcMar>
          </w:tcPr>
          <w:p>
            <w:r>
              <w:t>Directory query syntax</w:t>
            </w:r>
          </w:p>
        </w:tc>
        <w:tc>
          <w:tcPr>
            <w:tcW w:type="dxa" w:w="4752"/>
            <w:tcMar>
              <w:top w:w="90" w:type="dxa"/>
              <w:start w:w="100" w:type="dxa"/>
              <w:bottom w:w="90" w:type="dxa"/>
              <w:end w:w="100" w:type="dxa"/>
            </w:tcMar>
          </w:tcPr>
          <w:p>
            <w:r>
              <w:t>Directory enumeration or auth logic distortion</w:t>
            </w:r>
          </w:p>
        </w:tc>
      </w:tr>
    </w:tbl>
    <w:p>
      <w:pPr>
        <w:pStyle w:val="Heading2"/>
      </w:pPr>
      <w:r>
        <w:t>4.2 Root causes</w:t>
      </w:r>
    </w:p>
    <w:p>
      <w:pPr>
        <w:pStyle w:val="ListBullet"/>
        <w:spacing w:after="40"/>
      </w:pPr>
      <w:r>
        <w:t>Unsafe string concatenation with untrusted input.</w:t>
      </w:r>
    </w:p>
    <w:p>
      <w:pPr>
        <w:pStyle w:val="ListBullet"/>
        <w:spacing w:after="40"/>
      </w:pPr>
      <w:r>
        <w:t>Lack of parameterization or prepared statements where supported.</w:t>
      </w:r>
    </w:p>
    <w:p>
      <w:pPr>
        <w:pStyle w:val="ListBullet"/>
        <w:spacing w:after="40"/>
      </w:pPr>
      <w:r>
        <w:t>Insufficient input validation and context-aware encoding.</w:t>
      </w:r>
    </w:p>
    <w:p>
      <w:pPr>
        <w:pStyle w:val="ListBullet"/>
        <w:spacing w:after="40"/>
      </w:pPr>
      <w:r>
        <w:t>Calling shells or interpreters when safer APIs exist.</w:t>
      </w:r>
    </w:p>
    <w:p>
      <w:pPr>
        <w:pStyle w:val="Heading2"/>
      </w:pPr>
      <w:r>
        <w:t>4.3 Defensive design principles</w:t>
      </w:r>
    </w:p>
    <w:p>
      <w:pPr>
        <w:pStyle w:val="ListBullet"/>
        <w:spacing w:after="40"/>
      </w:pPr>
      <w:r>
        <w:t>Use parameterized queries for database access.</w:t>
      </w:r>
    </w:p>
    <w:p>
      <w:pPr>
        <w:pStyle w:val="ListBullet"/>
        <w:spacing w:after="40"/>
      </w:pPr>
      <w:r>
        <w:t>Use safe APIs that avoid shell interpretation entirely where possible.</w:t>
      </w:r>
    </w:p>
    <w:p>
      <w:pPr>
        <w:pStyle w:val="ListBullet"/>
        <w:spacing w:after="40"/>
      </w:pPr>
      <w:r>
        <w:t>Validate input structure, type, and allowed values before it reaches sensitive interpreters.</w:t>
      </w:r>
    </w:p>
    <w:p>
      <w:pPr>
        <w:pStyle w:val="ListBullet"/>
        <w:spacing w:after="40"/>
      </w:pPr>
      <w:r>
        <w:t>Apply least privilege to backend accounts so impact is reduced if a flaw exists.</w:t>
      </w:r>
    </w:p>
    <w:p>
      <w:pPr>
        <w:pStyle w:val="Heading2"/>
      </w:pPr>
      <w:r>
        <w:t>4.4 Safe testing approach</w:t>
      </w:r>
    </w:p>
    <w:p>
      <w:r>
        <w:t>In authorized testing, reviewers look for unsafe input handling patterns, inconsistent validation, unexpected interpreter behavior, and signs of query or command context confusion. The emphasis should remain on proof of weakness without unnecessary harmful actions.</w:t>
      </w:r>
    </w:p>
    <w:p>
      <w:pPr>
        <w:pStyle w:val="Heading1"/>
      </w:pPr>
      <w:r>
        <w:t>5. A04: Insecure Design</w:t>
      </w:r>
    </w:p>
    <w:p>
      <w:r>
        <w:rPr>
          <w:b/>
        </w:rPr>
        <w:t xml:space="preserve">Overview: </w:t>
      </w:r>
      <w:r>
        <w:t>Insecure design refers to missing or weak security controls at the architecture and business-logic level, even when code is technically clean.</w:t>
      </w:r>
    </w:p>
    <w:p>
      <w:r>
        <w:rPr>
          <w:b/>
        </w:rPr>
        <w:t xml:space="preserve">Why it matters: </w:t>
      </w:r>
      <w:r>
        <w:t>A secure implementation cannot compensate for a fundamentally unsafe design. Design failures often survive code reviews because the system behaves exactly as designed, just unsafely.</w:t>
      </w:r>
    </w:p>
    <w:p>
      <w:pPr>
        <w:pStyle w:val="Heading2"/>
      </w:pPr>
      <w:r>
        <w:t>5.1 Threat modeling</w:t>
      </w:r>
    </w:p>
    <w:p>
      <w:r>
        <w:t>Threat modeling is a structured way to ask what assets matter, who could misuse the system, what trust boundaries exist, what assumptions may fail, and what controls should exist before implementation.</w:t>
      </w:r>
    </w:p>
    <w:p>
      <w:pPr>
        <w:pStyle w:val="Heading2"/>
      </w:pPr>
      <w:r>
        <w:t>5.2 Secure design patterns</w:t>
      </w:r>
    </w:p>
    <w:p>
      <w:pPr>
        <w:pStyle w:val="ListBullet"/>
        <w:spacing w:after="40"/>
      </w:pPr>
      <w:r>
        <w:t>Least privilege and separation of duties.</w:t>
      </w:r>
    </w:p>
    <w:p>
      <w:pPr>
        <w:pStyle w:val="ListBullet"/>
        <w:spacing w:after="40"/>
      </w:pPr>
      <w:r>
        <w:t>Trust-boundary validation between clients, services, and third-party integrations.</w:t>
      </w:r>
    </w:p>
    <w:p>
      <w:pPr>
        <w:pStyle w:val="ListBullet"/>
        <w:spacing w:after="40"/>
      </w:pPr>
      <w:r>
        <w:t>Secure defaults with opt-in exposure rather than open-by-default behavior.</w:t>
      </w:r>
    </w:p>
    <w:p>
      <w:pPr>
        <w:pStyle w:val="ListBullet"/>
        <w:spacing w:after="40"/>
      </w:pPr>
      <w:r>
        <w:t>Rate limiting and abuse-case handling for high-risk workflows.</w:t>
      </w:r>
    </w:p>
    <w:p>
      <w:pPr>
        <w:pStyle w:val="ListBullet"/>
        <w:spacing w:after="40"/>
      </w:pPr>
      <w:r>
        <w:t>Workflow constraints such as approval steps, ownership checks, and step-up verification for sensitive actions.</w:t>
      </w:r>
    </w:p>
    <w:p>
      <w:pPr>
        <w:pStyle w:val="Heading2"/>
      </w:pPr>
      <w:r>
        <w:t>5.3 Design review questions</w:t>
      </w:r>
    </w:p>
    <w:p>
      <w:pPr>
        <w:pStyle w:val="ListBullet"/>
        <w:spacing w:after="40"/>
      </w:pPr>
      <w:r>
        <w:t>What are the highest-value assets and workflows?</w:t>
      </w:r>
    </w:p>
    <w:p>
      <w:pPr>
        <w:pStyle w:val="ListBullet"/>
        <w:spacing w:after="40"/>
      </w:pPr>
      <w:r>
        <w:t>Where are the trust boundaries and privilege boundaries?</w:t>
      </w:r>
    </w:p>
    <w:p>
      <w:pPr>
        <w:pStyle w:val="ListBullet"/>
        <w:spacing w:after="40"/>
      </w:pPr>
      <w:r>
        <w:t>How could a user abuse the intended business flow without breaking technical controls?</w:t>
      </w:r>
    </w:p>
    <w:p>
      <w:pPr>
        <w:pStyle w:val="ListBullet"/>
        <w:spacing w:after="40"/>
      </w:pPr>
      <w:r>
        <w:t>What happens if automation, integration, or external input is malicious or unexpected?</w:t>
      </w:r>
    </w:p>
    <w:p>
      <w:pPr>
        <w:pStyle w:val="Heading2"/>
      </w:pPr>
      <w:r>
        <w:t>5.4 Mitigation strategies</w:t>
      </w:r>
    </w:p>
    <w:p>
      <w:pPr>
        <w:pStyle w:val="ListBullet"/>
        <w:spacing w:after="40"/>
      </w:pPr>
      <w:r>
        <w:t>Perform threat modeling during design and before major feature releases.</w:t>
      </w:r>
    </w:p>
    <w:p>
      <w:pPr>
        <w:pStyle w:val="ListBullet"/>
        <w:spacing w:after="40"/>
      </w:pPr>
      <w:r>
        <w:t>Define abuse cases and misuse cases, not only happy-path use cases.</w:t>
      </w:r>
    </w:p>
    <w:p>
      <w:pPr>
        <w:pStyle w:val="ListBullet"/>
        <w:spacing w:after="40"/>
      </w:pPr>
      <w:r>
        <w:t>Use reference architectures and reusable security patterns for common workflows.</w:t>
      </w:r>
    </w:p>
    <w:p>
      <w:pPr>
        <w:pStyle w:val="ListBullet"/>
        <w:spacing w:after="40"/>
      </w:pPr>
      <w:r>
        <w:t>Treat business logic as a security surface, not only input fields and endpoints.</w:t>
      </w:r>
    </w:p>
    <w:p>
      <w:pPr>
        <w:pStyle w:val="Heading1"/>
      </w:pPr>
      <w:r>
        <w:t>6. A05: Security Misconfiguration</w:t>
      </w:r>
    </w:p>
    <w:p>
      <w:r>
        <w:rPr>
          <w:b/>
        </w:rPr>
        <w:t xml:space="preserve">Overview: </w:t>
      </w:r>
      <w:r>
        <w:t>Security misconfiguration occurs when systems, frameworks, cloud services, or applications are deployed with unsafe settings, default behavior, or unnecessary exposure.</w:t>
      </w:r>
    </w:p>
    <w:p>
      <w:r>
        <w:rPr>
          <w:b/>
        </w:rPr>
        <w:t xml:space="preserve">Why it matters: </w:t>
      </w:r>
      <w:r>
        <w:t>Misconfiguration is common because it grows over time across environments, feature flags, cloud policies, containers, admin consoles, and debugging settings.</w:t>
      </w:r>
    </w:p>
    <w:p>
      <w:pPr>
        <w:pStyle w:val="Heading2"/>
      </w:pPr>
      <w:r>
        <w:t>6.1 Typical examples</w:t>
      </w:r>
    </w:p>
    <w:p>
      <w:pPr>
        <w:pStyle w:val="ListBullet"/>
        <w:spacing w:after="40"/>
      </w:pPr>
      <w:r>
        <w:t>Default credentials or unchanged vendor defaults.</w:t>
      </w:r>
    </w:p>
    <w:p>
      <w:pPr>
        <w:pStyle w:val="ListBullet"/>
        <w:spacing w:after="40"/>
      </w:pPr>
      <w:r>
        <w:t>Verbose error messages that expose stack traces, file paths, or internal details.</w:t>
      </w:r>
    </w:p>
    <w:p>
      <w:pPr>
        <w:pStyle w:val="ListBullet"/>
        <w:spacing w:after="40"/>
      </w:pPr>
      <w:r>
        <w:t>Unneeded services, endpoints, or admin interfaces exposed.</w:t>
      </w:r>
    </w:p>
    <w:p>
      <w:pPr>
        <w:pStyle w:val="ListBullet"/>
        <w:spacing w:after="40"/>
      </w:pPr>
      <w:r>
        <w:t>Excessive permissions in cloud or container runtime configuration.</w:t>
      </w:r>
    </w:p>
    <w:p>
      <w:pPr>
        <w:pStyle w:val="ListBullet"/>
        <w:spacing w:after="40"/>
      </w:pPr>
      <w:r>
        <w:t>Debug mode, directory listing, or insecure CORS settings left enabled.</w:t>
      </w:r>
    </w:p>
    <w:p>
      <w:pPr>
        <w:pStyle w:val="Heading2"/>
      </w:pPr>
      <w:r>
        <w:t>6.2 Root causes</w:t>
      </w:r>
    </w:p>
    <w:p>
      <w:pPr>
        <w:pStyle w:val="ListBullet"/>
        <w:spacing w:after="40"/>
      </w:pPr>
      <w:r>
        <w:t>Configuration drift between development, staging, and production.</w:t>
      </w:r>
    </w:p>
    <w:p>
      <w:pPr>
        <w:pStyle w:val="ListBullet"/>
        <w:spacing w:after="40"/>
      </w:pPr>
      <w:r>
        <w:t>Manual setup without hardened baselines.</w:t>
      </w:r>
    </w:p>
    <w:p>
      <w:pPr>
        <w:pStyle w:val="ListBullet"/>
        <w:spacing w:after="40"/>
      </w:pPr>
      <w:r>
        <w:t>Lack of automated configuration review and secret scanning.</w:t>
      </w:r>
    </w:p>
    <w:p>
      <w:pPr>
        <w:pStyle w:val="ListBullet"/>
        <w:spacing w:after="40"/>
      </w:pPr>
      <w:r>
        <w:t>Poor inventory of externally reachable services and settings.</w:t>
      </w:r>
    </w:p>
    <w:p>
      <w:pPr>
        <w:pStyle w:val="Heading2"/>
      </w:pPr>
      <w:r>
        <w:t>6.3 Mitigation strategies</w:t>
      </w:r>
    </w:p>
    <w:p>
      <w:pPr>
        <w:pStyle w:val="ListBullet"/>
        <w:spacing w:after="40"/>
      </w:pPr>
      <w:r>
        <w:t>Harden defaults and remove unnecessary features and services.</w:t>
      </w:r>
    </w:p>
    <w:p>
      <w:pPr>
        <w:pStyle w:val="ListBullet"/>
        <w:spacing w:after="40"/>
      </w:pPr>
      <w:r>
        <w:t>Use environment-specific secure baselines and infrastructure as code.</w:t>
      </w:r>
    </w:p>
    <w:p>
      <w:pPr>
        <w:pStyle w:val="ListBullet"/>
        <w:spacing w:after="40"/>
      </w:pPr>
      <w:r>
        <w:t>Disable verbose errors in production and centralize safe diagnostic logging.</w:t>
      </w:r>
    </w:p>
    <w:p>
      <w:pPr>
        <w:pStyle w:val="ListBullet"/>
        <w:spacing w:after="40"/>
      </w:pPr>
      <w:r>
        <w:t>Review cloud permissions, network exposure, and admin interfaces regularly.</w:t>
      </w:r>
    </w:p>
    <w:p>
      <w:pPr>
        <w:pStyle w:val="ListBullet"/>
        <w:spacing w:after="40"/>
      </w:pPr>
      <w:r>
        <w:t>Automate configuration scanning where possible.</w:t>
      </w:r>
    </w:p>
    <w:p>
      <w:pPr>
        <w:pStyle w:val="Heading1"/>
      </w:pPr>
      <w:r>
        <w:t>7. A06: Vulnerable and Outdated Components</w:t>
      </w:r>
    </w:p>
    <w:p>
      <w:r>
        <w:rPr>
          <w:b/>
        </w:rPr>
        <w:t xml:space="preserve">Overview: </w:t>
      </w:r>
      <w:r>
        <w:t>Applications depend on libraries, frameworks, containers, operating systems, and services that may contain known vulnerabilities.</w:t>
      </w:r>
    </w:p>
    <w:p>
      <w:r>
        <w:rPr>
          <w:b/>
        </w:rPr>
        <w:t xml:space="preserve">Why it matters: </w:t>
      </w:r>
      <w:r>
        <w:t>Component risk grows quickly when teams lose track of what they use, how old it is, and which known flaws affect it.</w:t>
      </w:r>
    </w:p>
    <w:p>
      <w:pPr>
        <w:pStyle w:val="Heading2"/>
      </w:pPr>
      <w:r>
        <w:t>7.1 What component risk looks like</w:t>
      </w:r>
    </w:p>
    <w:p>
      <w:pPr>
        <w:pStyle w:val="ListBullet"/>
        <w:spacing w:after="40"/>
      </w:pPr>
      <w:r>
        <w:t>A framework or plugin version with publicly known vulnerabilities.</w:t>
      </w:r>
    </w:p>
    <w:p>
      <w:pPr>
        <w:pStyle w:val="ListBullet"/>
        <w:spacing w:after="40"/>
      </w:pPr>
      <w:r>
        <w:t>Transitive dependencies inherited indirectly and never reviewed.</w:t>
      </w:r>
    </w:p>
    <w:p>
      <w:pPr>
        <w:pStyle w:val="ListBullet"/>
        <w:spacing w:after="40"/>
      </w:pPr>
      <w:r>
        <w:t>Unsupported software with no security updates available.</w:t>
      </w:r>
    </w:p>
    <w:p>
      <w:pPr>
        <w:pStyle w:val="ListBullet"/>
        <w:spacing w:after="40"/>
      </w:pPr>
      <w:r>
        <w:t>Container images or base images that are old or unmaintained.</w:t>
      </w:r>
    </w:p>
    <w:p>
      <w:pPr>
        <w:pStyle w:val="Heading2"/>
      </w:pPr>
      <w:r>
        <w:t>7.2 CVE monitoring and asset awareness</w:t>
      </w:r>
    </w:p>
    <w:p>
      <w:r>
        <w:t>A CVE is a public identifier for a disclosed vulnerability. Monitoring advisories, release notes, SBOMs, vendor alerts, and vulnerability feeds helps teams determine whether their stack is affected.</w:t>
      </w:r>
    </w:p>
    <w:p>
      <w:pPr>
        <w:pStyle w:val="Heading2"/>
      </w:pPr>
      <w:r>
        <w:t>7.3 Mitigation strategies</w:t>
      </w:r>
    </w:p>
    <w:p>
      <w:pPr>
        <w:pStyle w:val="ListBullet"/>
        <w:spacing w:after="40"/>
      </w:pPr>
      <w:r>
        <w:t>Maintain an accurate inventory of dependencies and versions.</w:t>
      </w:r>
    </w:p>
    <w:p>
      <w:pPr>
        <w:pStyle w:val="ListBullet"/>
        <w:spacing w:after="40"/>
      </w:pPr>
      <w:r>
        <w:t>Use supported versions and patch on a defined cadence.</w:t>
      </w:r>
    </w:p>
    <w:p>
      <w:pPr>
        <w:pStyle w:val="ListBullet"/>
        <w:spacing w:after="40"/>
      </w:pPr>
      <w:r>
        <w:t>Prioritize updates for internet-facing, privileged, or sensitive components.</w:t>
      </w:r>
    </w:p>
    <w:p>
      <w:pPr>
        <w:pStyle w:val="ListBullet"/>
        <w:spacing w:after="40"/>
      </w:pPr>
      <w:r>
        <w:t>Use software composition analysis and dependency review pipelines.</w:t>
      </w:r>
    </w:p>
    <w:p>
      <w:pPr>
        <w:pStyle w:val="ListBullet"/>
        <w:spacing w:after="40"/>
      </w:pPr>
      <w:r>
        <w:t>Remove unused libraries and reduce the component footprint.</w:t>
      </w:r>
    </w:p>
    <w:p>
      <w:pPr>
        <w:pStyle w:val="Heading1"/>
      </w:pPr>
      <w:r>
        <w:t>8. A07: Identification and Authentication Failures</w:t>
      </w:r>
    </w:p>
    <w:p>
      <w:r>
        <w:rPr>
          <w:b/>
        </w:rPr>
        <w:t xml:space="preserve">Overview: </w:t>
      </w:r>
      <w:r>
        <w:t>Authentication failures happen when systems do not adequately verify identity, protect credentials, or manage sessions securely.</w:t>
      </w:r>
    </w:p>
    <w:p>
      <w:r>
        <w:rPr>
          <w:b/>
        </w:rPr>
        <w:t xml:space="preserve">Why it matters: </w:t>
      </w:r>
      <w:r>
        <w:t>Weak authentication opens the door to account compromise, unauthorized actions, and privilege abuse even if authorization logic is otherwise strong.</w:t>
      </w:r>
    </w:p>
    <w:p>
      <w:pPr>
        <w:pStyle w:val="Heading2"/>
      </w:pPr>
      <w:r>
        <w:t>8.1 Common issues</w:t>
      </w:r>
    </w:p>
    <w:p>
      <w:pPr>
        <w:pStyle w:val="ListBullet"/>
        <w:spacing w:after="40"/>
      </w:pPr>
      <w:r>
        <w:t>Weak password policy or poor password storage.</w:t>
      </w:r>
    </w:p>
    <w:p>
      <w:pPr>
        <w:pStyle w:val="ListBullet"/>
        <w:spacing w:after="40"/>
      </w:pPr>
      <w:r>
        <w:t>Brute force susceptibility due to missing throttling or rate limiting.</w:t>
      </w:r>
    </w:p>
    <w:p>
      <w:pPr>
        <w:pStyle w:val="ListBullet"/>
        <w:spacing w:after="40"/>
      </w:pPr>
      <w:r>
        <w:t>Credential stuffing exposure due to reused passwords and no secondary protection.</w:t>
      </w:r>
    </w:p>
    <w:p>
      <w:pPr>
        <w:pStyle w:val="ListBullet"/>
        <w:spacing w:after="40"/>
      </w:pPr>
      <w:r>
        <w:t>Session identifiers that are predictable, long-lived, or not invalidated properly.</w:t>
      </w:r>
    </w:p>
    <w:p>
      <w:pPr>
        <w:pStyle w:val="ListBullet"/>
        <w:spacing w:after="40"/>
      </w:pPr>
      <w:r>
        <w:t>Password reset or account recovery flows that are easier to abuse than the main login flow.</w:t>
      </w:r>
    </w:p>
    <w:p>
      <w:pPr>
        <w:pStyle w:val="Heading2"/>
      </w:pPr>
      <w:r>
        <w:t>8.2 Session management concerns</w:t>
      </w:r>
    </w:p>
    <w:p>
      <w:pPr>
        <w:pStyle w:val="ListBullet"/>
        <w:spacing w:after="40"/>
      </w:pPr>
      <w:r>
        <w:t>Session tokens should be protected, rotated when appropriate, and invalidated on logout or major privilege changes.</w:t>
      </w:r>
    </w:p>
    <w:p>
      <w:pPr>
        <w:pStyle w:val="ListBullet"/>
        <w:spacing w:after="40"/>
      </w:pPr>
      <w:r>
        <w:t>Authentication context should be bound correctly so session fixation and similar issues are less likely.</w:t>
      </w:r>
    </w:p>
    <w:p>
      <w:pPr>
        <w:pStyle w:val="ListBullet"/>
        <w:spacing w:after="40"/>
      </w:pPr>
      <w:r>
        <w:t>High-risk actions may require step-up verification or reauthentication.</w:t>
      </w:r>
    </w:p>
    <w:p>
      <w:pPr>
        <w:pStyle w:val="Heading2"/>
      </w:pPr>
      <w:r>
        <w:t>8.3 Mitigation strategies</w:t>
      </w:r>
    </w:p>
    <w:p>
      <w:pPr>
        <w:pStyle w:val="ListBullet"/>
        <w:spacing w:after="40"/>
      </w:pPr>
      <w:r>
        <w:t>Use MFA where appropriate, especially for administrative or sensitive workflows.</w:t>
      </w:r>
    </w:p>
    <w:p>
      <w:pPr>
        <w:pStyle w:val="ListBullet"/>
        <w:spacing w:after="40"/>
      </w:pPr>
      <w:r>
        <w:t>Apply rate limiting, account protection, and anomaly detection for login and recovery flows.</w:t>
      </w:r>
    </w:p>
    <w:p>
      <w:pPr>
        <w:pStyle w:val="ListBullet"/>
        <w:spacing w:after="40"/>
      </w:pPr>
      <w:r>
        <w:t>Use secure session cookies and strong password hashing.</w:t>
      </w:r>
    </w:p>
    <w:p>
      <w:pPr>
        <w:pStyle w:val="ListBullet"/>
        <w:spacing w:after="40"/>
      </w:pPr>
      <w:r>
        <w:t>Review password reset and email verification logic with the same rigor as login itself.</w:t>
      </w:r>
    </w:p>
    <w:p>
      <w:pPr>
        <w:pStyle w:val="ListBullet"/>
        <w:spacing w:after="40"/>
      </w:pPr>
      <w:r>
        <w:t>Log and monitor suspicious authentication events.</w:t>
      </w:r>
    </w:p>
    <w:p>
      <w:pPr>
        <w:pStyle w:val="Heading1"/>
      </w:pPr>
      <w:r>
        <w:t>9. A08: Software and Data Integrity Failures</w:t>
      </w:r>
    </w:p>
    <w:p>
      <w:r>
        <w:rPr>
          <w:b/>
        </w:rPr>
        <w:t xml:space="preserve">Overview: </w:t>
      </w:r>
      <w:r>
        <w:t>Integrity failures occur when software, updates, data, or serialized objects cannot be trusted because the system accepts unverified or unsafe content.</w:t>
      </w:r>
    </w:p>
    <w:p>
      <w:r>
        <w:rPr>
          <w:b/>
        </w:rPr>
        <w:t xml:space="preserve">Why it matters: </w:t>
      </w:r>
      <w:r>
        <w:t>These failures are especially dangerous because they can compromise whole application paths, build pipelines, or privileged processing layers.</w:t>
      </w:r>
    </w:p>
    <w:p>
      <w:pPr>
        <w:pStyle w:val="Heading2"/>
      </w:pPr>
      <w:r>
        <w:t>9.1 Insecure deserialization</w:t>
      </w:r>
    </w:p>
    <w:p>
      <w:r>
        <w:t>Insecure deserialization refers to unsafe handling of serialized data structures. If the application trusts complex objects from untrusted sources, unexpected behavior or logic execution may occur depending on the platform and serializer.</w:t>
      </w:r>
    </w:p>
    <w:p>
      <w:pPr>
        <w:pStyle w:val="Heading2"/>
      </w:pPr>
      <w:r>
        <w:t>9.2 CI/CD and supply-chain integrity</w:t>
      </w:r>
    </w:p>
    <w:p>
      <w:r>
        <w:t>Modern applications depend heavily on build pipelines, package registries, signed artifacts, container images, and automation. Weak integrity controls in CI/CD can allow tampered code, malicious packages, or unauthorized deployment changes.</w:t>
      </w:r>
    </w:p>
    <w:p>
      <w:pPr>
        <w:pStyle w:val="Heading2"/>
      </w:pPr>
      <w:r>
        <w:t>9.3 Mitigation strategies</w:t>
      </w:r>
    </w:p>
    <w:p>
      <w:pPr>
        <w:pStyle w:val="ListBullet"/>
        <w:spacing w:after="40"/>
      </w:pPr>
      <w:r>
        <w:t>Avoid deserializing untrusted data into unsafe object graphs.</w:t>
      </w:r>
    </w:p>
    <w:p>
      <w:pPr>
        <w:pStyle w:val="ListBullet"/>
        <w:spacing w:after="40"/>
      </w:pPr>
      <w:r>
        <w:t>Prefer simple, well-validated formats and strict schemas where possible.</w:t>
      </w:r>
    </w:p>
    <w:p>
      <w:pPr>
        <w:pStyle w:val="ListBullet"/>
        <w:spacing w:after="40"/>
      </w:pPr>
      <w:r>
        <w:t>Use signed artifacts, verified pipelines, and protected build environments.</w:t>
      </w:r>
    </w:p>
    <w:p>
      <w:pPr>
        <w:pStyle w:val="ListBullet"/>
        <w:spacing w:after="40"/>
      </w:pPr>
      <w:r>
        <w:t>Restrict who can modify deployment workflows, secrets, and release branches.</w:t>
      </w:r>
    </w:p>
    <w:p>
      <w:pPr>
        <w:pStyle w:val="ListBullet"/>
        <w:spacing w:after="40"/>
      </w:pPr>
      <w:r>
        <w:t>Record build provenance and review third-party package trust.</w:t>
      </w:r>
    </w:p>
    <w:p>
      <w:pPr>
        <w:pStyle w:val="Heading1"/>
      </w:pPr>
      <w:r>
        <w:t>10. A09: Security Logging and Monitoring Failures</w:t>
      </w:r>
    </w:p>
    <w:p>
      <w:r>
        <w:rPr>
          <w:b/>
        </w:rPr>
        <w:t xml:space="preserve">Overview: </w:t>
      </w:r>
      <w:r>
        <w:t>Logging and monitoring failures occur when important events are not captured, retained, reviewed, correlated, or alerted on in time.</w:t>
      </w:r>
    </w:p>
    <w:p>
      <w:r>
        <w:rPr>
          <w:b/>
        </w:rPr>
        <w:t xml:space="preserve">Why it matters: </w:t>
      </w:r>
      <w:r>
        <w:t>Without visibility, many attacks and misuse events remain invisible until damage is extensive or external parties report the issue.</w:t>
      </w:r>
    </w:p>
    <w:p>
      <w:pPr>
        <w:pStyle w:val="Heading2"/>
      </w:pPr>
      <w:r>
        <w:t>10.1 What should generally be logged</w:t>
      </w:r>
    </w:p>
    <w:p>
      <w:pPr>
        <w:pStyle w:val="ListBullet"/>
        <w:spacing w:after="40"/>
      </w:pPr>
      <w:r>
        <w:t>Authentication events such as success, failure, lockout, password reset, and MFA activity.</w:t>
      </w:r>
    </w:p>
    <w:p>
      <w:pPr>
        <w:pStyle w:val="ListBullet"/>
        <w:spacing w:after="40"/>
      </w:pPr>
      <w:r>
        <w:t>Authorization failures and role changes.</w:t>
      </w:r>
    </w:p>
    <w:p>
      <w:pPr>
        <w:pStyle w:val="ListBullet"/>
        <w:spacing w:after="40"/>
      </w:pPr>
      <w:r>
        <w:t>Sensitive administrative actions and high-risk workflow events.</w:t>
      </w:r>
    </w:p>
    <w:p>
      <w:pPr>
        <w:pStyle w:val="ListBullet"/>
        <w:spacing w:after="40"/>
      </w:pPr>
      <w:r>
        <w:t>Input validation failures and application exceptions tied to security-sensitive paths.</w:t>
      </w:r>
    </w:p>
    <w:p>
      <w:pPr>
        <w:pStyle w:val="ListBullet"/>
        <w:spacing w:after="40"/>
      </w:pPr>
      <w:r>
        <w:t>Changes to configuration, deployment, secrets, or access policies.</w:t>
      </w:r>
    </w:p>
    <w:p>
      <w:pPr>
        <w:pStyle w:val="Heading2"/>
      </w:pPr>
      <w:r>
        <w:t>10.2 Common failures</w:t>
      </w:r>
    </w:p>
    <w:p>
      <w:pPr>
        <w:pStyle w:val="ListBullet"/>
        <w:spacing w:after="40"/>
      </w:pPr>
      <w:r>
        <w:t>Important events never logged at all.</w:t>
      </w:r>
    </w:p>
    <w:p>
      <w:pPr>
        <w:pStyle w:val="ListBullet"/>
        <w:spacing w:after="40"/>
      </w:pPr>
      <w:r>
        <w:t>Logs exist but lack enough context to investigate.</w:t>
      </w:r>
    </w:p>
    <w:p>
      <w:pPr>
        <w:pStyle w:val="ListBullet"/>
        <w:spacing w:after="40"/>
      </w:pPr>
      <w:r>
        <w:t>No alerting or correlation for repeated suspicious events.</w:t>
      </w:r>
    </w:p>
    <w:p>
      <w:pPr>
        <w:pStyle w:val="ListBullet"/>
        <w:spacing w:after="40"/>
      </w:pPr>
      <w:r>
        <w:t>Logs are easy to tamper with or are not retained long enough.</w:t>
      </w:r>
    </w:p>
    <w:p>
      <w:pPr>
        <w:pStyle w:val="ListBullet"/>
        <w:spacing w:after="40"/>
      </w:pPr>
      <w:r>
        <w:t>Monitoring exists only for infrastructure, not for application abuse patterns.</w:t>
      </w:r>
    </w:p>
    <w:p>
      <w:pPr>
        <w:pStyle w:val="Heading2"/>
      </w:pPr>
      <w:r>
        <w:t>10.3 Mitigation strategies</w:t>
      </w:r>
    </w:p>
    <w:p>
      <w:pPr>
        <w:pStyle w:val="ListBullet"/>
        <w:spacing w:after="40"/>
      </w:pPr>
      <w:r>
        <w:t>Define security-relevant events and log them consistently.</w:t>
      </w:r>
    </w:p>
    <w:p>
      <w:pPr>
        <w:pStyle w:val="ListBullet"/>
        <w:spacing w:after="40"/>
      </w:pPr>
      <w:r>
        <w:t>Protect log integrity and centralize collection where possible.</w:t>
      </w:r>
    </w:p>
    <w:p>
      <w:pPr>
        <w:pStyle w:val="ListBullet"/>
        <w:spacing w:after="40"/>
      </w:pPr>
      <w:r>
        <w:t>Alert on suspicious patterns, especially auth abuse, privilege changes, and sensitive admin actions.</w:t>
      </w:r>
    </w:p>
    <w:p>
      <w:pPr>
        <w:pStyle w:val="ListBullet"/>
        <w:spacing w:after="40"/>
      </w:pPr>
      <w:r>
        <w:t>Include enough context for response without logging secrets or excessive personal data.</w:t>
      </w:r>
    </w:p>
    <w:p>
      <w:pPr>
        <w:pStyle w:val="ListBullet"/>
        <w:spacing w:after="40"/>
      </w:pPr>
      <w:r>
        <w:t>Test detection and incident workflow, not just log generation.</w:t>
      </w:r>
    </w:p>
    <w:p>
      <w:pPr>
        <w:pStyle w:val="Heading1"/>
      </w:pPr>
      <w:r>
        <w:t>11. A10: Server-Side Request Forgery (SSRF)</w:t>
      </w:r>
    </w:p>
    <w:p>
      <w:r>
        <w:rPr>
          <w:b/>
        </w:rPr>
        <w:t xml:space="preserve">Overview: </w:t>
      </w:r>
      <w:r>
        <w:t>SSRF occurs when a server makes outbound requests based on user-controlled input and can be tricked into contacting unintended internal or external resources.</w:t>
      </w:r>
    </w:p>
    <w:p>
      <w:r>
        <w:rPr>
          <w:b/>
        </w:rPr>
        <w:t xml:space="preserve">Why it matters: </w:t>
      </w:r>
      <w:r>
        <w:t>Because the request originates from the server, it may reach destinations the attacker cannot access directly, such as internal services, metadata endpoints, or trusted network zones.</w:t>
      </w:r>
    </w:p>
    <w:p>
      <w:pPr>
        <w:pStyle w:val="Heading2"/>
      </w:pPr>
      <w:r>
        <w:t>11.1 Common risk patterns</w:t>
      </w:r>
    </w:p>
    <w:p>
      <w:pPr>
        <w:pStyle w:val="ListBullet"/>
        <w:spacing w:after="40"/>
      </w:pPr>
      <w:r>
        <w:t>Features that fetch URLs or webhooks supplied by users.</w:t>
      </w:r>
    </w:p>
    <w:p>
      <w:pPr>
        <w:pStyle w:val="ListBullet"/>
        <w:spacing w:after="40"/>
      </w:pPr>
      <w:r>
        <w:t>Document importers, image fetchers, preview generators, or integration connectors.</w:t>
      </w:r>
    </w:p>
    <w:p>
      <w:pPr>
        <w:pStyle w:val="ListBullet"/>
        <w:spacing w:after="40"/>
      </w:pPr>
      <w:r>
        <w:t>Server-side access to internal networks or cloud metadata services.</w:t>
      </w:r>
    </w:p>
    <w:p>
      <w:pPr>
        <w:pStyle w:val="ListBullet"/>
        <w:spacing w:after="40"/>
      </w:pPr>
      <w:r>
        <w:t>Weak validation that checks format superficially but not actual destination safety.</w:t>
      </w:r>
    </w:p>
    <w:p>
      <w:pPr>
        <w:pStyle w:val="Heading2"/>
      </w:pPr>
      <w:r>
        <w:t>11.2 Why SSRF is dangerous</w:t>
      </w:r>
    </w:p>
    <w:p>
      <w:pPr>
        <w:pStyle w:val="ListBullet"/>
        <w:spacing w:after="40"/>
      </w:pPr>
      <w:r>
        <w:t>The server may have network reachability and trust that the user does not.</w:t>
      </w:r>
    </w:p>
    <w:p>
      <w:pPr>
        <w:pStyle w:val="ListBullet"/>
        <w:spacing w:after="40"/>
      </w:pPr>
      <w:r>
        <w:t>Internal service discovery can leak architecture details.</w:t>
      </w:r>
    </w:p>
    <w:p>
      <w:pPr>
        <w:pStyle w:val="ListBullet"/>
        <w:spacing w:after="40"/>
      </w:pPr>
      <w:r>
        <w:t>Requests may carry application credentials, network trust, or privileged context.</w:t>
      </w:r>
    </w:p>
    <w:p>
      <w:pPr>
        <w:pStyle w:val="ListBullet"/>
        <w:spacing w:after="40"/>
      </w:pPr>
      <w:r>
        <w:t>Cloud metadata access can expose sensitive instance or role information in badly protected environments.</w:t>
      </w:r>
    </w:p>
    <w:p>
      <w:pPr>
        <w:pStyle w:val="Heading2"/>
      </w:pPr>
      <w:r>
        <w:t>11.3 Mitigation strategies</w:t>
      </w:r>
    </w:p>
    <w:p>
      <w:pPr>
        <w:pStyle w:val="ListBullet"/>
        <w:spacing w:after="40"/>
      </w:pPr>
      <w:r>
        <w:t>Avoid direct arbitrary URL fetching where possible.</w:t>
      </w:r>
    </w:p>
    <w:p>
      <w:pPr>
        <w:pStyle w:val="ListBullet"/>
        <w:spacing w:after="40"/>
      </w:pPr>
      <w:r>
        <w:t>Use allowlists of approved destinations or trusted integration endpoints.</w:t>
      </w:r>
    </w:p>
    <w:p>
      <w:pPr>
        <w:pStyle w:val="ListBullet"/>
        <w:spacing w:after="40"/>
      </w:pPr>
      <w:r>
        <w:t>Separate external fetch services from sensitive internal networks.</w:t>
      </w:r>
    </w:p>
    <w:p>
      <w:pPr>
        <w:pStyle w:val="ListBullet"/>
        <w:spacing w:after="40"/>
      </w:pPr>
      <w:r>
        <w:t>Restrict outbound network access and block metadata endpoints where appropriate.</w:t>
      </w:r>
    </w:p>
    <w:p>
      <w:pPr>
        <w:pStyle w:val="ListBullet"/>
        <w:spacing w:after="40"/>
      </w:pPr>
      <w:r>
        <w:t>Validate scheme, host, resolved destination, and redirect behavior carefully.</w:t>
      </w:r>
    </w:p>
    <w:p>
      <w:pPr>
        <w:pStyle w:val="Heading1"/>
      </w:pPr>
      <w:r>
        <w:t>12. Mitigation Strategy Matrix</w:t>
      </w:r>
    </w:p>
    <w:tbl>
      <w:tblPr>
        <w:tblStyle w:val="TableGrid"/>
        <w:tblW w:type="auto" w:w="0"/>
        <w:jc w:val="center"/>
        <w:tblLayout w:type="fixed"/>
        <w:tblLook w:firstColumn="1" w:firstRow="1" w:lastColumn="0" w:lastRow="0" w:noHBand="0" w:noVBand="1" w:val="04A0"/>
      </w:tblPr>
      <w:tblGrid>
        <w:gridCol w:w="3168"/>
        <w:gridCol w:w="3456"/>
        <w:gridCol w:w="3168"/>
      </w:tblGrid>
      <w:tr>
        <w:tc>
          <w:tcPr>
            <w:tcW w:type="dxa" w:w="3312"/>
            <w:shd w:fill="8A1F1F"/>
          </w:tcPr>
          <w:p>
            <w:r>
              <w:rPr>
                <w:b/>
                <w:color w:val="FFFFFF"/>
              </w:rPr>
              <w:t>Category</w:t>
            </w:r>
          </w:p>
        </w:tc>
        <w:tc>
          <w:tcPr>
            <w:tcW w:type="dxa" w:w="3312"/>
            <w:shd w:fill="8A1F1F"/>
          </w:tcPr>
          <w:p>
            <w:r>
              <w:rPr>
                <w:b/>
                <w:color w:val="FFFFFF"/>
              </w:rPr>
              <w:t>Primary prevention focus</w:t>
            </w:r>
          </w:p>
        </w:tc>
        <w:tc>
          <w:tcPr>
            <w:tcW w:type="dxa" w:w="3312"/>
            <w:shd w:fill="8A1F1F"/>
          </w:tcPr>
          <w:p>
            <w:r>
              <w:rPr>
                <w:b/>
                <w:color w:val="FFFFFF"/>
              </w:rPr>
              <w:t>Operational reinforcement</w:t>
            </w:r>
          </w:p>
        </w:tc>
      </w:tr>
      <w:tr>
        <w:tc>
          <w:tcPr>
            <w:tcW w:type="dxa" w:w="3168"/>
            <w:tcMar>
              <w:top w:w="90" w:type="dxa"/>
              <w:start w:w="100" w:type="dxa"/>
              <w:bottom w:w="90" w:type="dxa"/>
              <w:end w:w="100" w:type="dxa"/>
            </w:tcMar>
          </w:tcPr>
          <w:p>
            <w:r>
              <w:t>Broken Access Control</w:t>
            </w:r>
          </w:p>
        </w:tc>
        <w:tc>
          <w:tcPr>
            <w:tcW w:type="dxa" w:w="3456"/>
            <w:tcMar>
              <w:top w:w="90" w:type="dxa"/>
              <w:start w:w="100" w:type="dxa"/>
              <w:bottom w:w="90" w:type="dxa"/>
              <w:end w:w="100" w:type="dxa"/>
            </w:tcMar>
          </w:tcPr>
          <w:p>
            <w:r>
              <w:t>Centralized authorization, deny by default, ownership and tenant checks</w:t>
            </w:r>
          </w:p>
        </w:tc>
        <w:tc>
          <w:tcPr>
            <w:tcW w:type="dxa" w:w="3168"/>
            <w:tcMar>
              <w:top w:w="90" w:type="dxa"/>
              <w:start w:w="100" w:type="dxa"/>
              <w:bottom w:w="90" w:type="dxa"/>
              <w:end w:w="100" w:type="dxa"/>
            </w:tcMar>
          </w:tcPr>
          <w:p>
            <w:r>
              <w:t>Role-based testing, auth failure logging</w:t>
            </w:r>
          </w:p>
        </w:tc>
      </w:tr>
      <w:tr>
        <w:tc>
          <w:tcPr>
            <w:tcW w:type="dxa" w:w="3168"/>
            <w:tcMar>
              <w:top w:w="90" w:type="dxa"/>
              <w:start w:w="100" w:type="dxa"/>
              <w:bottom w:w="90" w:type="dxa"/>
              <w:end w:w="100" w:type="dxa"/>
            </w:tcMar>
          </w:tcPr>
          <w:p>
            <w:r>
              <w:t>Cryptographic Failures</w:t>
            </w:r>
          </w:p>
        </w:tc>
        <w:tc>
          <w:tcPr>
            <w:tcW w:type="dxa" w:w="3456"/>
            <w:tcMar>
              <w:top w:w="90" w:type="dxa"/>
              <w:start w:w="100" w:type="dxa"/>
              <w:bottom w:w="90" w:type="dxa"/>
              <w:end w:w="100" w:type="dxa"/>
            </w:tcMar>
          </w:tcPr>
          <w:p>
            <w:r>
              <w:t>Strong modern crypto, secure key management, data minimization</w:t>
            </w:r>
          </w:p>
        </w:tc>
        <w:tc>
          <w:tcPr>
            <w:tcW w:type="dxa" w:w="3168"/>
            <w:tcMar>
              <w:top w:w="90" w:type="dxa"/>
              <w:start w:w="100" w:type="dxa"/>
              <w:bottom w:w="90" w:type="dxa"/>
              <w:end w:w="100" w:type="dxa"/>
            </w:tcMar>
          </w:tcPr>
          <w:p>
            <w:r>
              <w:t>Certificate review, secret rotation, storage review</w:t>
            </w:r>
          </w:p>
        </w:tc>
      </w:tr>
      <w:tr>
        <w:tc>
          <w:tcPr>
            <w:tcW w:type="dxa" w:w="3168"/>
            <w:tcMar>
              <w:top w:w="90" w:type="dxa"/>
              <w:start w:w="100" w:type="dxa"/>
              <w:bottom w:w="90" w:type="dxa"/>
              <w:end w:w="100" w:type="dxa"/>
            </w:tcMar>
          </w:tcPr>
          <w:p>
            <w:r>
              <w:t>Injection</w:t>
            </w:r>
          </w:p>
        </w:tc>
        <w:tc>
          <w:tcPr>
            <w:tcW w:type="dxa" w:w="3456"/>
            <w:tcMar>
              <w:top w:w="90" w:type="dxa"/>
              <w:start w:w="100" w:type="dxa"/>
              <w:bottom w:w="90" w:type="dxa"/>
              <w:end w:w="100" w:type="dxa"/>
            </w:tcMar>
          </w:tcPr>
          <w:p>
            <w:r>
              <w:t>Parameterized queries, safe APIs, strict validation</w:t>
            </w:r>
          </w:p>
        </w:tc>
        <w:tc>
          <w:tcPr>
            <w:tcW w:type="dxa" w:w="3168"/>
            <w:tcMar>
              <w:top w:w="90" w:type="dxa"/>
              <w:start w:w="100" w:type="dxa"/>
              <w:bottom w:w="90" w:type="dxa"/>
              <w:end w:w="100" w:type="dxa"/>
            </w:tcMar>
          </w:tcPr>
          <w:p>
            <w:r>
              <w:t>Code review, least-privileged service accounts</w:t>
            </w:r>
          </w:p>
        </w:tc>
      </w:tr>
      <w:tr>
        <w:tc>
          <w:tcPr>
            <w:tcW w:type="dxa" w:w="3168"/>
            <w:tcMar>
              <w:top w:w="90" w:type="dxa"/>
              <w:start w:w="100" w:type="dxa"/>
              <w:bottom w:w="90" w:type="dxa"/>
              <w:end w:w="100" w:type="dxa"/>
            </w:tcMar>
          </w:tcPr>
          <w:p>
            <w:r>
              <w:t>Insecure Design</w:t>
            </w:r>
          </w:p>
        </w:tc>
        <w:tc>
          <w:tcPr>
            <w:tcW w:type="dxa" w:w="3456"/>
            <w:tcMar>
              <w:top w:w="90" w:type="dxa"/>
              <w:start w:w="100" w:type="dxa"/>
              <w:bottom w:w="90" w:type="dxa"/>
              <w:end w:w="100" w:type="dxa"/>
            </w:tcMar>
          </w:tcPr>
          <w:p>
            <w:r>
              <w:t>Threat modeling, abuse-case analysis, secure patterns</w:t>
            </w:r>
          </w:p>
        </w:tc>
        <w:tc>
          <w:tcPr>
            <w:tcW w:type="dxa" w:w="3168"/>
            <w:tcMar>
              <w:top w:w="90" w:type="dxa"/>
              <w:start w:w="100" w:type="dxa"/>
              <w:bottom w:w="90" w:type="dxa"/>
              <w:end w:w="100" w:type="dxa"/>
            </w:tcMar>
          </w:tcPr>
          <w:p>
            <w:r>
              <w:t>Architecture review and security sign-off</w:t>
            </w:r>
          </w:p>
        </w:tc>
      </w:tr>
      <w:tr>
        <w:tc>
          <w:tcPr>
            <w:tcW w:type="dxa" w:w="3168"/>
            <w:tcMar>
              <w:top w:w="90" w:type="dxa"/>
              <w:start w:w="100" w:type="dxa"/>
              <w:bottom w:w="90" w:type="dxa"/>
              <w:end w:w="100" w:type="dxa"/>
            </w:tcMar>
          </w:tcPr>
          <w:p>
            <w:r>
              <w:t>Security Misconfiguration</w:t>
            </w:r>
          </w:p>
        </w:tc>
        <w:tc>
          <w:tcPr>
            <w:tcW w:type="dxa" w:w="3456"/>
            <w:tcMar>
              <w:top w:w="90" w:type="dxa"/>
              <w:start w:w="100" w:type="dxa"/>
              <w:bottom w:w="90" w:type="dxa"/>
              <w:end w:w="100" w:type="dxa"/>
            </w:tcMar>
          </w:tcPr>
          <w:p>
            <w:r>
              <w:t>Hardened baselines, safe defaults, IaC</w:t>
            </w:r>
          </w:p>
        </w:tc>
        <w:tc>
          <w:tcPr>
            <w:tcW w:type="dxa" w:w="3168"/>
            <w:tcMar>
              <w:top w:w="90" w:type="dxa"/>
              <w:start w:w="100" w:type="dxa"/>
              <w:bottom w:w="90" w:type="dxa"/>
              <w:end w:w="100" w:type="dxa"/>
            </w:tcMar>
          </w:tcPr>
          <w:p>
            <w:r>
              <w:t>Automated scanning and drift review</w:t>
            </w:r>
          </w:p>
        </w:tc>
      </w:tr>
      <w:tr>
        <w:tc>
          <w:tcPr>
            <w:tcW w:type="dxa" w:w="3168"/>
            <w:tcMar>
              <w:top w:w="90" w:type="dxa"/>
              <w:start w:w="100" w:type="dxa"/>
              <w:bottom w:w="90" w:type="dxa"/>
              <w:end w:w="100" w:type="dxa"/>
            </w:tcMar>
          </w:tcPr>
          <w:p>
            <w:r>
              <w:t>Vulnerable Components</w:t>
            </w:r>
          </w:p>
        </w:tc>
        <w:tc>
          <w:tcPr>
            <w:tcW w:type="dxa" w:w="3456"/>
            <w:tcMar>
              <w:top w:w="90" w:type="dxa"/>
              <w:start w:w="100" w:type="dxa"/>
              <w:bottom w:w="90" w:type="dxa"/>
              <w:end w:w="100" w:type="dxa"/>
            </w:tcMar>
          </w:tcPr>
          <w:p>
            <w:r>
              <w:t>Inventory, supported versions, patching</w:t>
            </w:r>
          </w:p>
        </w:tc>
        <w:tc>
          <w:tcPr>
            <w:tcW w:type="dxa" w:w="3168"/>
            <w:tcMar>
              <w:top w:w="90" w:type="dxa"/>
              <w:start w:w="100" w:type="dxa"/>
              <w:bottom w:w="90" w:type="dxa"/>
              <w:end w:w="100" w:type="dxa"/>
            </w:tcMar>
          </w:tcPr>
          <w:p>
            <w:r>
              <w:t>SCA tooling, advisory review, SBOM use</w:t>
            </w:r>
          </w:p>
        </w:tc>
      </w:tr>
      <w:tr>
        <w:tc>
          <w:tcPr>
            <w:tcW w:type="dxa" w:w="3168"/>
            <w:tcMar>
              <w:top w:w="90" w:type="dxa"/>
              <w:start w:w="100" w:type="dxa"/>
              <w:bottom w:w="90" w:type="dxa"/>
              <w:end w:w="100" w:type="dxa"/>
            </w:tcMar>
          </w:tcPr>
          <w:p>
            <w:r>
              <w:t>Authentication Failures</w:t>
            </w:r>
          </w:p>
        </w:tc>
        <w:tc>
          <w:tcPr>
            <w:tcW w:type="dxa" w:w="3456"/>
            <w:tcMar>
              <w:top w:w="90" w:type="dxa"/>
              <w:start w:w="100" w:type="dxa"/>
              <w:bottom w:w="90" w:type="dxa"/>
              <w:end w:w="100" w:type="dxa"/>
            </w:tcMar>
          </w:tcPr>
          <w:p>
            <w:r>
              <w:t>MFA, rate limiting, secure sessions</w:t>
            </w:r>
          </w:p>
        </w:tc>
        <w:tc>
          <w:tcPr>
            <w:tcW w:type="dxa" w:w="3168"/>
            <w:tcMar>
              <w:top w:w="90" w:type="dxa"/>
              <w:start w:w="100" w:type="dxa"/>
              <w:bottom w:w="90" w:type="dxa"/>
              <w:end w:w="100" w:type="dxa"/>
            </w:tcMar>
          </w:tcPr>
          <w:p>
            <w:r>
              <w:t>Auth anomaly monitoring and recovery-flow review</w:t>
            </w:r>
          </w:p>
        </w:tc>
      </w:tr>
      <w:tr>
        <w:tc>
          <w:tcPr>
            <w:tcW w:type="dxa" w:w="3168"/>
            <w:tcMar>
              <w:top w:w="90" w:type="dxa"/>
              <w:start w:w="100" w:type="dxa"/>
              <w:bottom w:w="90" w:type="dxa"/>
              <w:end w:w="100" w:type="dxa"/>
            </w:tcMar>
          </w:tcPr>
          <w:p>
            <w:r>
              <w:t>Data Integrity Failures</w:t>
            </w:r>
          </w:p>
        </w:tc>
        <w:tc>
          <w:tcPr>
            <w:tcW w:type="dxa" w:w="3456"/>
            <w:tcMar>
              <w:top w:w="90" w:type="dxa"/>
              <w:start w:w="100" w:type="dxa"/>
              <w:bottom w:w="90" w:type="dxa"/>
              <w:end w:w="100" w:type="dxa"/>
            </w:tcMar>
          </w:tcPr>
          <w:p>
            <w:r>
              <w:t>Trusted pipelines, signed artifacts, safe serialization</w:t>
            </w:r>
          </w:p>
        </w:tc>
        <w:tc>
          <w:tcPr>
            <w:tcW w:type="dxa" w:w="3168"/>
            <w:tcMar>
              <w:top w:w="90" w:type="dxa"/>
              <w:start w:w="100" w:type="dxa"/>
              <w:bottom w:w="90" w:type="dxa"/>
              <w:end w:w="100" w:type="dxa"/>
            </w:tcMar>
          </w:tcPr>
          <w:p>
            <w:r>
              <w:t>Release control, dependency trust review</w:t>
            </w:r>
          </w:p>
        </w:tc>
      </w:tr>
      <w:tr>
        <w:tc>
          <w:tcPr>
            <w:tcW w:type="dxa" w:w="3168"/>
            <w:tcMar>
              <w:top w:w="90" w:type="dxa"/>
              <w:start w:w="100" w:type="dxa"/>
              <w:bottom w:w="90" w:type="dxa"/>
              <w:end w:w="100" w:type="dxa"/>
            </w:tcMar>
          </w:tcPr>
          <w:p>
            <w:r>
              <w:t>Logging &amp; Monitoring Failures</w:t>
            </w:r>
          </w:p>
        </w:tc>
        <w:tc>
          <w:tcPr>
            <w:tcW w:type="dxa" w:w="3456"/>
            <w:tcMar>
              <w:top w:w="90" w:type="dxa"/>
              <w:start w:w="100" w:type="dxa"/>
              <w:bottom w:w="90" w:type="dxa"/>
              <w:end w:w="100" w:type="dxa"/>
            </w:tcMar>
          </w:tcPr>
          <w:p>
            <w:r>
              <w:t>Meaningful event logging and alerting</w:t>
            </w:r>
          </w:p>
        </w:tc>
        <w:tc>
          <w:tcPr>
            <w:tcW w:type="dxa" w:w="3168"/>
            <w:tcMar>
              <w:top w:w="90" w:type="dxa"/>
              <w:start w:w="100" w:type="dxa"/>
              <w:bottom w:w="90" w:type="dxa"/>
              <w:end w:w="100" w:type="dxa"/>
            </w:tcMar>
          </w:tcPr>
          <w:p>
            <w:r>
              <w:t>Centralized logging, detection engineering, exercises</w:t>
            </w:r>
          </w:p>
        </w:tc>
      </w:tr>
      <w:tr>
        <w:tc>
          <w:tcPr>
            <w:tcW w:type="dxa" w:w="3168"/>
            <w:tcMar>
              <w:top w:w="90" w:type="dxa"/>
              <w:start w:w="100" w:type="dxa"/>
              <w:bottom w:w="90" w:type="dxa"/>
              <w:end w:w="100" w:type="dxa"/>
            </w:tcMar>
          </w:tcPr>
          <w:p>
            <w:r>
              <w:t>SSRF</w:t>
            </w:r>
          </w:p>
        </w:tc>
        <w:tc>
          <w:tcPr>
            <w:tcW w:type="dxa" w:w="3456"/>
            <w:tcMar>
              <w:top w:w="90" w:type="dxa"/>
              <w:start w:w="100" w:type="dxa"/>
              <w:bottom w:w="90" w:type="dxa"/>
              <w:end w:w="100" w:type="dxa"/>
            </w:tcMar>
          </w:tcPr>
          <w:p>
            <w:r>
              <w:t>Destination allowlists and outbound network controls</w:t>
            </w:r>
          </w:p>
        </w:tc>
        <w:tc>
          <w:tcPr>
            <w:tcW w:type="dxa" w:w="3168"/>
            <w:tcMar>
              <w:top w:w="90" w:type="dxa"/>
              <w:start w:w="100" w:type="dxa"/>
              <w:bottom w:w="90" w:type="dxa"/>
              <w:end w:w="100" w:type="dxa"/>
            </w:tcMar>
          </w:tcPr>
          <w:p>
            <w:r>
              <w:t>Metadata protection, egress filtering, review of fetch features</w:t>
            </w:r>
          </w:p>
        </w:tc>
      </w:tr>
    </w:tbl>
    <w:p>
      <w:pPr>
        <w:pStyle w:val="Heading1"/>
      </w:pPr>
      <w:r>
        <w:t>13. OWASP Testing Guide Methodology</w:t>
      </w:r>
    </w:p>
    <w:p>
      <w:r>
        <w:rPr>
          <w:b/>
        </w:rPr>
        <w:t xml:space="preserve">Overview: </w:t>
      </w:r>
      <w:r>
        <w:t>The OWASP Testing Guide supports structured, ethical security assessment by organizing how a reviewer approaches application testing across information gathering, configuration, identity, session, input handling, business logic, and client/server interactions.</w:t>
      </w:r>
    </w:p>
    <w:p>
      <w:r>
        <w:rPr>
          <w:b/>
        </w:rPr>
        <w:t xml:space="preserve">Why it matters: </w:t>
      </w:r>
      <w:r>
        <w:t>A good methodology prevents random testing, reduces blind spots, improves reproducibility, and helps reviewers communicate results clearly and responsibly.</w:t>
      </w:r>
    </w:p>
    <w:p>
      <w:pPr>
        <w:pStyle w:val="Heading2"/>
      </w:pPr>
      <w:r>
        <w:t>13.1 Core methodology principles</w:t>
      </w:r>
    </w:p>
    <w:p>
      <w:pPr>
        <w:pStyle w:val="ListBullet"/>
        <w:spacing w:after="40"/>
      </w:pPr>
      <w:r>
        <w:t>Work only within explicit scope, rules of engagement, and authorization.</w:t>
      </w:r>
    </w:p>
    <w:p>
      <w:pPr>
        <w:pStyle w:val="ListBullet"/>
        <w:spacing w:after="40"/>
      </w:pPr>
      <w:r>
        <w:t>Understand the application architecture, roles, trust boundaries, and data flows before deep testing.</w:t>
      </w:r>
    </w:p>
    <w:p>
      <w:pPr>
        <w:pStyle w:val="ListBullet"/>
        <w:spacing w:after="40"/>
      </w:pPr>
      <w:r>
        <w:t>Test systematically by category so that gaps are less likely.</w:t>
      </w:r>
    </w:p>
    <w:p>
      <w:pPr>
        <w:pStyle w:val="ListBullet"/>
        <w:spacing w:after="40"/>
      </w:pPr>
      <w:r>
        <w:t>Document evidence, impact, affected components, and remediation clearly.</w:t>
      </w:r>
    </w:p>
    <w:p>
      <w:pPr>
        <w:pStyle w:val="ListBullet"/>
        <w:spacing w:after="40"/>
      </w:pPr>
      <w:r>
        <w:t>Prefer minimal proof needed to demonstrate the issue without causing harm.</w:t>
      </w:r>
    </w:p>
    <w:p>
      <w:pPr>
        <w:pStyle w:val="Heading2"/>
      </w:pPr>
      <w:r>
        <w:t>13.2 Typical phases</w:t>
      </w:r>
    </w:p>
    <w:p>
      <w:pPr>
        <w:pStyle w:val="ListNumber"/>
        <w:spacing w:after="40"/>
      </w:pPr>
      <w:r>
        <w:t>Information gathering: identify technologies, entry points, trust boundaries, authentication flows, and exposed functionality.</w:t>
      </w:r>
    </w:p>
    <w:p>
      <w:pPr>
        <w:pStyle w:val="ListNumber"/>
        <w:spacing w:after="40"/>
      </w:pPr>
      <w:r>
        <w:t>Configuration and deployment review: inspect exposed services, headers, framework behavior, cloud exposure, and environment settings.</w:t>
      </w:r>
    </w:p>
    <w:p>
      <w:pPr>
        <w:pStyle w:val="ListNumber"/>
        <w:spacing w:after="40"/>
      </w:pPr>
      <w:r>
        <w:t>Identity and session review: evaluate authentication workflows, session management, recovery flows, and privilege models.</w:t>
      </w:r>
    </w:p>
    <w:p>
      <w:pPr>
        <w:pStyle w:val="ListNumber"/>
        <w:spacing w:after="40"/>
      </w:pPr>
      <w:r>
        <w:t>Input handling and data flow review: examine how input is validated, encoded, parameterized, stored, and forwarded between components.</w:t>
      </w:r>
    </w:p>
    <w:p>
      <w:pPr>
        <w:pStyle w:val="ListNumber"/>
        <w:spacing w:after="40"/>
      </w:pPr>
      <w:r>
        <w:t>Business logic review: look for misuse paths, workflow bypasses, ownership problems, and privilege confusion.</w:t>
      </w:r>
    </w:p>
    <w:p>
      <w:pPr>
        <w:pStyle w:val="ListNumber"/>
        <w:spacing w:after="40"/>
      </w:pPr>
      <w:r>
        <w:t>Client-side and browser-facing review: examine tokens, storage, CSP, CORS, and trust assumptions between browser and backend.</w:t>
      </w:r>
    </w:p>
    <w:p>
      <w:pPr>
        <w:pStyle w:val="ListNumber"/>
        <w:spacing w:after="40"/>
      </w:pPr>
      <w:r>
        <w:t>Reporting and remediation validation: write clear findings, prioritize fixes, and verify that corrections work without regressions.</w:t>
      </w:r>
    </w:p>
    <w:p>
      <w:pPr>
        <w:pStyle w:val="Heading2"/>
      </w:pPr>
      <w:r>
        <w:t>13.3 Evidence collection</w:t>
      </w:r>
    </w:p>
    <w:p>
      <w:pPr>
        <w:pStyle w:val="ListBullet"/>
        <w:spacing w:after="40"/>
      </w:pPr>
      <w:r>
        <w:t>Record request and response context at a high level without exposing unnecessary secrets.</w:t>
      </w:r>
    </w:p>
    <w:p>
      <w:pPr>
        <w:pStyle w:val="ListBullet"/>
        <w:spacing w:after="40"/>
      </w:pPr>
      <w:r>
        <w:t>Capture the role, account type, and workflow state used during testing.</w:t>
      </w:r>
    </w:p>
    <w:p>
      <w:pPr>
        <w:pStyle w:val="ListBullet"/>
        <w:spacing w:after="40"/>
      </w:pPr>
      <w:r>
        <w:t>Describe reproduction steps responsibly and minimally.</w:t>
      </w:r>
    </w:p>
    <w:p>
      <w:pPr>
        <w:pStyle w:val="ListBullet"/>
        <w:spacing w:after="40"/>
      </w:pPr>
      <w:r>
        <w:t>State business impact, technical impact, and realistic preconditions separately.</w:t>
      </w:r>
    </w:p>
    <w:p>
      <w:pPr>
        <w:pStyle w:val="Heading2"/>
      </w:pPr>
      <w:r>
        <w:t>13.4 What strong remediation advice looks like</w:t>
      </w:r>
    </w:p>
    <w:p>
      <w:pPr>
        <w:pStyle w:val="ListBullet"/>
        <w:spacing w:after="40"/>
      </w:pPr>
      <w:r>
        <w:t>It identifies the real root cause, not just a symptom.</w:t>
      </w:r>
    </w:p>
    <w:p>
      <w:pPr>
        <w:pStyle w:val="ListBullet"/>
        <w:spacing w:after="40"/>
      </w:pPr>
      <w:r>
        <w:t>It recommends preventive controls, not only detective controls.</w:t>
      </w:r>
    </w:p>
    <w:p>
      <w:pPr>
        <w:pStyle w:val="ListBullet"/>
        <w:spacing w:after="40"/>
      </w:pPr>
      <w:r>
        <w:t>It considers architecture, code, configuration, and operational process together.</w:t>
      </w:r>
    </w:p>
    <w:p>
      <w:pPr>
        <w:pStyle w:val="ListBullet"/>
        <w:spacing w:after="40"/>
      </w:pPr>
      <w:r>
        <w:t>It includes validation guidance so teams can confirm the fix safely.</w:t>
      </w:r>
    </w:p>
    <w:p>
      <w:pPr>
        <w:pStyle w:val="Heading1"/>
      </w:pPr>
      <w:r>
        <w:t>Mastery Checklist</w:t>
      </w:r>
    </w:p>
    <w:p>
      <w:pPr>
        <w:pStyle w:val="ListBullet"/>
        <w:spacing w:after="40"/>
      </w:pPr>
      <w:r>
        <w:t>You can explain each OWASP Top 10 category in plain language.</w:t>
      </w:r>
    </w:p>
    <w:p>
      <w:pPr>
        <w:pStyle w:val="ListBullet"/>
        <w:spacing w:after="40"/>
      </w:pPr>
      <w:r>
        <w:t>You can distinguish design failures from implementation bugs and from operational weaknesses.</w:t>
      </w:r>
    </w:p>
    <w:p>
      <w:pPr>
        <w:pStyle w:val="ListBullet"/>
        <w:spacing w:after="40"/>
      </w:pPr>
      <w:r>
        <w:t>You can describe safe mitigation strategies for access control, cryptography, injection, authentication, and SSRF.</w:t>
      </w:r>
    </w:p>
    <w:p>
      <w:pPr>
        <w:pStyle w:val="ListBullet"/>
        <w:spacing w:after="40"/>
      </w:pPr>
      <w:r>
        <w:t>You can explain why logging, monitoring, and integrity controls are part of application security, not just infrastructure security.</w:t>
      </w:r>
    </w:p>
    <w:p>
      <w:pPr>
        <w:pStyle w:val="ListBullet"/>
        <w:spacing w:after="40"/>
      </w:pPr>
      <w:r>
        <w:t>You can review a web feature by asking what assets it handles, what trust boundaries it crosses, and what misuse cases exist.</w:t>
      </w:r>
    </w:p>
    <w:p>
      <w:pPr>
        <w:pStyle w:val="ListBullet"/>
        <w:spacing w:after="40"/>
      </w:pPr>
      <w:r>
        <w:t>You can structure an authorized assessment using a consistent methodology and clear reporting.</w:t>
      </w:r>
    </w:p>
    <w:p>
      <w:pPr>
        <w:pStyle w:val="Heading1"/>
      </w:pPr>
      <w:r>
        <w:t>Recommended Practice Activities</w:t>
      </w:r>
    </w:p>
    <w:p>
      <w:pPr>
        <w:pStyle w:val="ListBullet"/>
        <w:spacing w:after="40"/>
      </w:pPr>
      <w:r>
        <w:t>Perform a threat-model workshop on a small web application and identify trust boundaries, privileged actions, and abuse cases.</w:t>
      </w:r>
    </w:p>
    <w:p>
      <w:pPr>
        <w:pStyle w:val="ListBullet"/>
        <w:spacing w:after="40"/>
      </w:pPr>
      <w:r>
        <w:t>Review an API for object ownership checks, role checks, and multi-tenant separation logic.</w:t>
      </w:r>
    </w:p>
    <w:p>
      <w:pPr>
        <w:pStyle w:val="ListBullet"/>
        <w:spacing w:after="40"/>
      </w:pPr>
      <w:r>
        <w:t>Audit a sample application's secrets, TLS settings, and password storage approach.</w:t>
      </w:r>
    </w:p>
    <w:p>
      <w:pPr>
        <w:pStyle w:val="ListBullet"/>
        <w:spacing w:after="40"/>
      </w:pPr>
      <w:r>
        <w:t>Review framework and cloud configuration against a hardened baseline.</w:t>
      </w:r>
    </w:p>
    <w:p>
      <w:pPr>
        <w:pStyle w:val="ListBullet"/>
        <w:spacing w:after="40"/>
      </w:pPr>
      <w:r>
        <w:t>Inventory dependencies and identify unsupported or high-risk components needing upgrade planning.</w:t>
      </w:r>
    </w:p>
    <w:p>
      <w:pPr>
        <w:pStyle w:val="ListBullet"/>
        <w:spacing w:after="40"/>
      </w:pPr>
      <w:r>
        <w:t>Define a security event logging matrix for login, privilege change, admin action, and error conditions.</w:t>
      </w:r>
    </w:p>
    <w:p>
      <w:pPr>
        <w:pStyle w:val="ListBullet"/>
        <w:spacing w:after="40"/>
      </w:pPr>
      <w:r>
        <w:t>Walk through a safe architecture review of any server-side URL fetch feature and identify SSRF protections.</w:t>
      </w:r>
    </w:p>
    <w:p>
      <w:pPr>
        <w:pStyle w:val="Heading1"/>
      </w:pPr>
      <w:r>
        <w:t>Final Note</w:t>
      </w:r>
    </w:p>
    <w:p>
      <w:r>
        <w:t>OWASP mastery is not about memorizing ten labels. It is about learning to see how design choices, code paths, deployment settings, and operational blind spots combine into exploitable risk. The strongest practitioners learn to spot those patterns early, explain them clearly, and help teams build systems that fail safely.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8A1F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A12C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8A1F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4F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360"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