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48"/>
        </w:rPr>
        <w:t>Cryptography Basics Study Guide</w:t>
      </w:r>
    </w:p>
    <w:p>
      <w:pPr>
        <w:jc w:val="center"/>
      </w:pPr>
      <w:r>
        <w:rPr>
          <w:i/>
        </w:rPr>
        <w:t>Module 2: Symmetric Encryption, AES, block cipher modes, AEAD, IVs, and key management</w:t>
      </w:r>
    </w:p>
    <w:tbl>
      <w:tblPr>
        <w:tblW w:type="auto" w:w="0"/>
        <w:jc w:val="center"/>
        <w:tblLayout w:type="fixed"/>
        <w:tblLook w:firstColumn="1" w:firstRow="1" w:lastColumn="0" w:lastRow="0" w:noHBand="0" w:noVBand="1" w:val="04A0"/>
      </w:tblPr>
      <w:tblGrid>
        <w:gridCol w:w="4968"/>
        <w:gridCol w:w="4968"/>
      </w:tblGrid>
      <w:tr>
        <w:tc>
          <w:tcPr>
            <w:tcW w:type="dxa" w:w="2592"/>
            <w:shd w:fill="DDEBFA"/>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practical understanding of symmetric encryption concepts, secure modes of operation, authenticated encryption, and safe key management.</w:t>
            </w:r>
          </w:p>
        </w:tc>
      </w:tr>
      <w:tr>
        <w:tc>
          <w:tcPr>
            <w:tcW w:type="dxa" w:w="2592"/>
            <w:shd w:fill="DDEBFA"/>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studying foundational cryptography for secure software design, infrastructure protection, and application security.</w:t>
            </w:r>
          </w:p>
        </w:tc>
      </w:tr>
      <w:tr>
        <w:tc>
          <w:tcPr>
            <w:tcW w:type="dxa" w:w="2592"/>
            <w:shd w:fill="DDEBFA"/>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defensive use, mode selection, misuse risks, and operational controls rather than offensive cryptanalysis.</w:t>
            </w:r>
          </w:p>
        </w:tc>
      </w:tr>
      <w:tr>
        <w:tc>
          <w:tcPr>
            <w:tcW w:type="dxa" w:w="2592"/>
            <w:shd w:fill="DDEBFA"/>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Encryption can fail catastrophically when keys, IVs, or modes are used incorrectly. Correct operational usage matters as much as the algorithm.</w:t>
            </w:r>
          </w:p>
        </w:tc>
      </w:tr>
    </w:tbl>
    <w:p>
      <w:pPr>
        <w:pStyle w:val="Heading1"/>
      </w:pPr>
      <w:r>
        <w:t>How to Use This Guide</w:t>
      </w:r>
    </w:p>
    <w:p>
      <w:pPr>
        <w:pStyle w:val="ListBullet"/>
        <w:spacing w:after="40"/>
      </w:pPr>
      <w:r>
        <w:t>Keep three ideas separate: confidentiality, integrity, and authenticity. Encryption does not automatically provide all three.</w:t>
      </w:r>
    </w:p>
    <w:p>
      <w:pPr>
        <w:pStyle w:val="ListBullet"/>
        <w:spacing w:after="40"/>
      </w:pPr>
      <w:r>
        <w:t>Study each mode of operation by asking what it needs to be used safely and what can go wrong if misused.</w:t>
      </w:r>
    </w:p>
    <w:p>
      <w:pPr>
        <w:pStyle w:val="ListBullet"/>
        <w:spacing w:after="40"/>
      </w:pPr>
      <w:r>
        <w:t>When evaluating a design, ask where keys come from, where IVs or nonces come from, and how the system prevents reuse.</w:t>
      </w:r>
    </w:p>
    <w:p>
      <w:pPr>
        <w:pStyle w:val="ListBullet"/>
        <w:spacing w:after="40"/>
      </w:pPr>
      <w:r>
        <w:t>Treat key management as part of cryptography, not as an afterthought.</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1565C0"/>
          </w:tcPr>
          <w:p>
            <w:pPr>
              <w:jc w:val="center"/>
            </w:pPr>
            <w:r>
              <w:rPr>
                <w:b/>
                <w:color w:val="FFFFFF"/>
              </w:rPr>
              <w:t>#</w:t>
            </w:r>
          </w:p>
        </w:tc>
        <w:tc>
          <w:tcPr>
            <w:tcW w:type="dxa" w:w="3312"/>
            <w:shd w:fill="1565C0"/>
          </w:tcPr>
          <w:p>
            <w:pPr>
              <w:jc w:val="center"/>
            </w:pPr>
            <w:r>
              <w:rPr>
                <w:b/>
                <w:color w:val="FFFFFF"/>
              </w:rPr>
              <w:t>Module</w:t>
            </w:r>
          </w:p>
        </w:tc>
        <w:tc>
          <w:tcPr>
            <w:tcW w:type="dxa" w:w="3312"/>
            <w:shd w:fill="1565C0"/>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Symmetric encryption</w:t>
            </w:r>
          </w:p>
        </w:tc>
        <w:tc>
          <w:tcPr>
            <w:tcW w:type="dxa" w:w="5616"/>
            <w:tcMar>
              <w:top w:w="90" w:type="dxa"/>
              <w:start w:w="100" w:type="dxa"/>
              <w:bottom w:w="90" w:type="dxa"/>
              <w:end w:w="100" w:type="dxa"/>
            </w:tcMar>
          </w:tcPr>
          <w:p>
            <w:r>
              <w:t>Same key for encryption and decryption.</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AES fundamentals</w:t>
            </w:r>
          </w:p>
        </w:tc>
        <w:tc>
          <w:tcPr>
            <w:tcW w:type="dxa" w:w="5616"/>
            <w:tcMar>
              <w:top w:w="90" w:type="dxa"/>
              <w:start w:w="100" w:type="dxa"/>
              <w:bottom w:w="90" w:type="dxa"/>
              <w:end w:w="100" w:type="dxa"/>
            </w:tcMar>
          </w:tcPr>
          <w:p>
            <w:r>
              <w:t>128-, 192-, and 256-bit keys; industry-standard block cipher.</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Block cipher modes</w:t>
            </w:r>
          </w:p>
        </w:tc>
        <w:tc>
          <w:tcPr>
            <w:tcW w:type="dxa" w:w="5616"/>
            <w:tcMar>
              <w:top w:w="90" w:type="dxa"/>
              <w:start w:w="100" w:type="dxa"/>
              <w:bottom w:w="90" w:type="dxa"/>
              <w:end w:w="100" w:type="dxa"/>
            </w:tcMar>
          </w:tcPr>
          <w:p>
            <w:r>
              <w:t>ECB, CBC, GCM, CTR and what they change.</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AEAD</w:t>
            </w:r>
          </w:p>
        </w:tc>
        <w:tc>
          <w:tcPr>
            <w:tcW w:type="dxa" w:w="5616"/>
            <w:tcMar>
              <w:top w:w="90" w:type="dxa"/>
              <w:start w:w="100" w:type="dxa"/>
              <w:bottom w:w="90" w:type="dxa"/>
              <w:end w:w="100" w:type="dxa"/>
            </w:tcMar>
          </w:tcPr>
          <w:p>
            <w:r>
              <w:t>Authenticated encryption with associated data.</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IVs and nonces</w:t>
            </w:r>
          </w:p>
        </w:tc>
        <w:tc>
          <w:tcPr>
            <w:tcW w:type="dxa" w:w="5616"/>
            <w:tcMar>
              <w:top w:w="90" w:type="dxa"/>
              <w:start w:w="100" w:type="dxa"/>
              <w:bottom w:w="90" w:type="dxa"/>
              <w:end w:w="100" w:type="dxa"/>
            </w:tcMar>
          </w:tcPr>
          <w:p>
            <w:r>
              <w:t>Uniqueness requirements and reuse risk.</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Key management</w:t>
            </w:r>
          </w:p>
        </w:tc>
        <w:tc>
          <w:tcPr>
            <w:tcW w:type="dxa" w:w="5616"/>
            <w:tcMar>
              <w:top w:w="90" w:type="dxa"/>
              <w:start w:w="100" w:type="dxa"/>
              <w:bottom w:w="90" w:type="dxa"/>
              <w:end w:w="100" w:type="dxa"/>
            </w:tcMar>
          </w:tcPr>
          <w:p>
            <w:r>
              <w:t>Storage, rotation, access control, KMS, Vault, HSM.</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Which choice to use when</w:t>
            </w:r>
          </w:p>
        </w:tc>
        <w:tc>
          <w:tcPr>
            <w:tcW w:type="dxa" w:w="5616"/>
            <w:tcMar>
              <w:top w:w="90" w:type="dxa"/>
              <w:start w:w="100" w:type="dxa"/>
              <w:bottom w:w="90" w:type="dxa"/>
              <w:end w:w="100" w:type="dxa"/>
            </w:tcMar>
          </w:tcPr>
          <w:p>
            <w:r>
              <w:t>Recommended design decisions and common mistakes.</w:t>
            </w:r>
          </w:p>
        </w:tc>
      </w:tr>
    </w:tbl>
    <w:p>
      <w:pPr>
        <w:pStyle w:val="Heading1"/>
      </w:pPr>
      <w:r>
        <w:t>1. Symmetric Encryption Fundamentals</w:t>
      </w:r>
    </w:p>
    <w:p>
      <w:r>
        <w:rPr>
          <w:b/>
        </w:rPr>
        <w:t xml:space="preserve">Overview: </w:t>
      </w:r>
      <w:r>
        <w:t>Symmetric encryption uses the same secret key to encrypt plaintext into ciphertext and to decrypt ciphertext back into plaintext.</w:t>
      </w:r>
    </w:p>
    <w:p>
      <w:r>
        <w:rPr>
          <w:b/>
        </w:rPr>
        <w:t xml:space="preserve">Why it matters: </w:t>
      </w:r>
      <w:r>
        <w:t>This is one of the most widely used forms of encryption in real systems because it is fast, efficient, and practical for large amounts of data.</w:t>
      </w:r>
    </w:p>
    <w:p>
      <w:pPr>
        <w:pStyle w:val="Heading2"/>
      </w:pPr>
      <w:r>
        <w:t>1.1 What symmetric encryption solves</w:t>
      </w:r>
    </w:p>
    <w:p>
      <w:pPr>
        <w:pStyle w:val="ListBullet"/>
        <w:spacing w:after="40"/>
      </w:pPr>
      <w:r>
        <w:t>Confidentiality: protecting data so unauthorized parties cannot read it.</w:t>
      </w:r>
    </w:p>
    <w:p>
      <w:pPr>
        <w:pStyle w:val="ListBullet"/>
        <w:spacing w:after="40"/>
      </w:pPr>
      <w:r>
        <w:t>Efficient bulk encryption for files, databases, disks, backups, and network sessions.</w:t>
      </w:r>
    </w:p>
    <w:p>
      <w:pPr>
        <w:pStyle w:val="ListBullet"/>
        <w:spacing w:after="40"/>
      </w:pPr>
      <w:r>
        <w:t>Fast runtime performance compared with public-key encryption for large payloads.</w:t>
      </w:r>
    </w:p>
    <w:p>
      <w:pPr>
        <w:pStyle w:val="Heading2"/>
      </w:pPr>
      <w:r>
        <w:t>1.2 What it does not automatically solve</w:t>
      </w:r>
    </w:p>
    <w:p>
      <w:pPr>
        <w:pStyle w:val="ListBullet"/>
        <w:spacing w:after="40"/>
      </w:pPr>
      <w:r>
        <w:t>Encryption alone does not guarantee integrity unless the mode or construction includes authentication.</w:t>
      </w:r>
    </w:p>
    <w:p>
      <w:pPr>
        <w:pStyle w:val="ListBullet"/>
        <w:spacing w:after="40"/>
      </w:pPr>
      <w:r>
        <w:t>Encryption alone does not guarantee the sender is legitimate.</w:t>
      </w:r>
    </w:p>
    <w:p>
      <w:pPr>
        <w:pStyle w:val="ListBullet"/>
        <w:spacing w:after="40"/>
      </w:pPr>
      <w:r>
        <w:t>Encryption alone does not manage keys; secure key generation, storage, rotation, and access control are separate requirements.</w:t>
      </w:r>
    </w:p>
    <w:p>
      <w:pPr>
        <w:pStyle w:val="Heading2"/>
      </w:pPr>
      <w:r>
        <w:t>1.3 Plaintext, ciphertext, and key</w:t>
      </w:r>
    </w:p>
    <w:p>
      <w:r>
        <w:t>Plaintext is the readable original data. Ciphertext is the encrypted form. The secret key controls the transformation in both directions. Security depends on protecting that key and using the algorithm and mode correctly.</w:t>
      </w:r>
    </w:p>
    <w:p>
      <w:pPr>
        <w:pStyle w:val="Heading2"/>
      </w:pPr>
      <w:r>
        <w:t>1.4 Symmetric versus asymmetric at a glance</w:t>
      </w:r>
    </w:p>
    <w:tbl>
      <w:tblPr>
        <w:tblStyle w:val="TableGrid"/>
        <w:tblW w:type="auto" w:w="0"/>
        <w:jc w:val="center"/>
        <w:tblLayout w:type="fixed"/>
        <w:tblLook w:firstColumn="1" w:firstRow="1" w:lastColumn="0" w:lastRow="0" w:noHBand="0" w:noVBand="1" w:val="04A0"/>
      </w:tblPr>
      <w:tblGrid>
        <w:gridCol w:w="2304"/>
        <w:gridCol w:w="3456"/>
        <w:gridCol w:w="3888"/>
      </w:tblGrid>
      <w:tr>
        <w:tc>
          <w:tcPr>
            <w:tcW w:type="dxa" w:w="3312"/>
            <w:shd w:fill="DDEBFA"/>
          </w:tcPr>
          <w:p>
            <w:r>
              <w:rPr>
                <w:b/>
              </w:rPr>
              <w:t>Aspect</w:t>
            </w:r>
          </w:p>
        </w:tc>
        <w:tc>
          <w:tcPr>
            <w:tcW w:type="dxa" w:w="3312"/>
            <w:shd w:fill="DDEBFA"/>
          </w:tcPr>
          <w:p>
            <w:r>
              <w:rPr>
                <w:b/>
              </w:rPr>
              <w:t>Symmetric encryption</w:t>
            </w:r>
          </w:p>
        </w:tc>
        <w:tc>
          <w:tcPr>
            <w:tcW w:type="dxa" w:w="3312"/>
            <w:shd w:fill="DDEBFA"/>
          </w:tcPr>
          <w:p>
            <w:r>
              <w:rPr>
                <w:b/>
              </w:rPr>
              <w:t>Asymmetric encryption</w:t>
            </w:r>
          </w:p>
        </w:tc>
      </w:tr>
      <w:tr>
        <w:tc>
          <w:tcPr>
            <w:tcW w:type="dxa" w:w="2304"/>
            <w:tcMar>
              <w:top w:w="90" w:type="dxa"/>
              <w:start w:w="100" w:type="dxa"/>
              <w:bottom w:w="90" w:type="dxa"/>
              <w:end w:w="100" w:type="dxa"/>
            </w:tcMar>
          </w:tcPr>
          <w:p>
            <w:r>
              <w:t>Keys</w:t>
            </w:r>
          </w:p>
        </w:tc>
        <w:tc>
          <w:tcPr>
            <w:tcW w:type="dxa" w:w="3456"/>
            <w:tcMar>
              <w:top w:w="90" w:type="dxa"/>
              <w:start w:w="100" w:type="dxa"/>
              <w:bottom w:w="90" w:type="dxa"/>
              <w:end w:w="100" w:type="dxa"/>
            </w:tcMar>
          </w:tcPr>
          <w:p>
            <w:r>
              <w:t>Same secret key encrypts and decrypts</w:t>
            </w:r>
          </w:p>
        </w:tc>
        <w:tc>
          <w:tcPr>
            <w:tcW w:type="dxa" w:w="3888"/>
            <w:tcMar>
              <w:top w:w="90" w:type="dxa"/>
              <w:start w:w="100" w:type="dxa"/>
              <w:bottom w:w="90" w:type="dxa"/>
              <w:end w:w="100" w:type="dxa"/>
            </w:tcMar>
          </w:tcPr>
          <w:p>
            <w:r>
              <w:t>Different public and private keys</w:t>
            </w:r>
          </w:p>
        </w:tc>
      </w:tr>
      <w:tr>
        <w:tc>
          <w:tcPr>
            <w:tcW w:type="dxa" w:w="2304"/>
            <w:tcMar>
              <w:top w:w="90" w:type="dxa"/>
              <w:start w:w="100" w:type="dxa"/>
              <w:bottom w:w="90" w:type="dxa"/>
              <w:end w:w="100" w:type="dxa"/>
            </w:tcMar>
          </w:tcPr>
          <w:p>
            <w:r>
              <w:t>Performance</w:t>
            </w:r>
          </w:p>
        </w:tc>
        <w:tc>
          <w:tcPr>
            <w:tcW w:type="dxa" w:w="3456"/>
            <w:tcMar>
              <w:top w:w="90" w:type="dxa"/>
              <w:start w:w="100" w:type="dxa"/>
              <w:bottom w:w="90" w:type="dxa"/>
              <w:end w:w="100" w:type="dxa"/>
            </w:tcMar>
          </w:tcPr>
          <w:p>
            <w:r>
              <w:t>Very fast, suitable for bulk data</w:t>
            </w:r>
          </w:p>
        </w:tc>
        <w:tc>
          <w:tcPr>
            <w:tcW w:type="dxa" w:w="3888"/>
            <w:tcMar>
              <w:top w:w="90" w:type="dxa"/>
              <w:start w:w="100" w:type="dxa"/>
              <w:bottom w:w="90" w:type="dxa"/>
              <w:end w:w="100" w:type="dxa"/>
            </w:tcMar>
          </w:tcPr>
          <w:p>
            <w:r>
              <w:t>Slower, often used for key exchange or signatures</w:t>
            </w:r>
          </w:p>
        </w:tc>
      </w:tr>
      <w:tr>
        <w:tc>
          <w:tcPr>
            <w:tcW w:type="dxa" w:w="2304"/>
            <w:tcMar>
              <w:top w:w="90" w:type="dxa"/>
              <w:start w:w="100" w:type="dxa"/>
              <w:bottom w:w="90" w:type="dxa"/>
              <w:end w:w="100" w:type="dxa"/>
            </w:tcMar>
          </w:tcPr>
          <w:p>
            <w:r>
              <w:t>Typical use</w:t>
            </w:r>
          </w:p>
        </w:tc>
        <w:tc>
          <w:tcPr>
            <w:tcW w:type="dxa" w:w="3456"/>
            <w:tcMar>
              <w:top w:w="90" w:type="dxa"/>
              <w:start w:w="100" w:type="dxa"/>
              <w:bottom w:w="90" w:type="dxa"/>
              <w:end w:w="100" w:type="dxa"/>
            </w:tcMar>
          </w:tcPr>
          <w:p>
            <w:r>
              <w:t>Disk, file, and session encryption</w:t>
            </w:r>
          </w:p>
        </w:tc>
        <w:tc>
          <w:tcPr>
            <w:tcW w:type="dxa" w:w="3888"/>
            <w:tcMar>
              <w:top w:w="90" w:type="dxa"/>
              <w:start w:w="100" w:type="dxa"/>
              <w:bottom w:w="90" w:type="dxa"/>
              <w:end w:w="100" w:type="dxa"/>
            </w:tcMar>
          </w:tcPr>
          <w:p>
            <w:r>
              <w:t>TLS handshake, signatures, key distribution</w:t>
            </w:r>
          </w:p>
        </w:tc>
      </w:tr>
    </w:tbl>
    <w:p>
      <w:pPr>
        <w:pStyle w:val="Heading1"/>
      </w:pPr>
      <w:r>
        <w:t>2. AES (Advanced Encryption Standard)</w:t>
      </w:r>
    </w:p>
    <w:p>
      <w:r>
        <w:rPr>
          <w:b/>
        </w:rPr>
        <w:t xml:space="preserve">Overview: </w:t>
      </w:r>
      <w:r>
        <w:t>AES is the dominant industry-standard symmetric block cipher used across applications, protocols, storage systems, and hardware implementations.</w:t>
      </w:r>
    </w:p>
    <w:p>
      <w:r>
        <w:rPr>
          <w:b/>
        </w:rPr>
        <w:t xml:space="preserve">Why it matters: </w:t>
      </w:r>
      <w:r>
        <w:t>Understanding AES matters because many real systems rely on it, but safe use depends heavily on mode selection and operational handling.</w:t>
      </w:r>
    </w:p>
    <w:p>
      <w:pPr>
        <w:pStyle w:val="Heading2"/>
      </w:pPr>
      <w:r>
        <w:t>2.1 AES key sizes</w:t>
      </w:r>
    </w:p>
    <w:p>
      <w:pPr>
        <w:pStyle w:val="ListBullet"/>
        <w:spacing w:after="40"/>
      </w:pPr>
      <w:r>
        <w:t>AES-128 uses a 128-bit key.</w:t>
      </w:r>
    </w:p>
    <w:p>
      <w:pPr>
        <w:pStyle w:val="ListBullet"/>
        <w:spacing w:after="40"/>
      </w:pPr>
      <w:r>
        <w:t>AES-192 uses a 192-bit key.</w:t>
      </w:r>
    </w:p>
    <w:p>
      <w:pPr>
        <w:pStyle w:val="ListBullet"/>
        <w:spacing w:after="40"/>
      </w:pPr>
      <w:r>
        <w:t>AES-256 uses a 256-bit key.</w:t>
      </w:r>
    </w:p>
    <w:p>
      <w:r>
        <w:t>Larger key sizes increase brute-force search space, but the practical security of a system depends on more than key length. Mode selection, authentication, key management, and IV handling can matter just as much.</w:t>
      </w:r>
    </w:p>
    <w:p>
      <w:pPr>
        <w:pStyle w:val="Heading2"/>
      </w:pPr>
      <w:r>
        <w:t>2.2 AES as a block cipher</w:t>
      </w:r>
    </w:p>
    <w:p>
      <w:r>
        <w:t>AES operates on fixed-size blocks of data. In practice, it is almost never used 'raw' by itself for application design. Instead, it is used within a mode of operation that defines how multiple blocks are processed and how randomness or counters are incorporated.</w:t>
      </w:r>
    </w:p>
    <w:p>
      <w:pPr>
        <w:pStyle w:val="Heading2"/>
      </w:pPr>
      <w:r>
        <w:t>2.3 Why AES is trusted</w:t>
      </w:r>
    </w:p>
    <w:p>
      <w:pPr>
        <w:pStyle w:val="ListBullet"/>
        <w:spacing w:after="40"/>
      </w:pPr>
      <w:r>
        <w:t>It is standardized and widely reviewed.</w:t>
      </w:r>
    </w:p>
    <w:p>
      <w:pPr>
        <w:pStyle w:val="ListBullet"/>
        <w:spacing w:after="40"/>
      </w:pPr>
      <w:r>
        <w:t>It is supported efficiently in software and hardware.</w:t>
      </w:r>
    </w:p>
    <w:p>
      <w:pPr>
        <w:pStyle w:val="ListBullet"/>
        <w:spacing w:after="40"/>
      </w:pPr>
      <w:r>
        <w:t>It has strong ecosystem support across libraries, protocols, and platforms.</w:t>
      </w:r>
    </w:p>
    <w:p>
      <w:pPr>
        <w:pStyle w:val="Heading1"/>
      </w:pPr>
      <w:r>
        <w:t>3. Block Cipher Modes of Operation</w:t>
      </w:r>
    </w:p>
    <w:p>
      <w:r>
        <w:rPr>
          <w:b/>
        </w:rPr>
        <w:t xml:space="preserve">Overview: </w:t>
      </w:r>
      <w:r>
        <w:t>A block cipher mode tells you how to apply a block cipher such as AES to messages longer than one block and what security properties the resulting construction has.</w:t>
      </w:r>
    </w:p>
    <w:p>
      <w:r>
        <w:rPr>
          <w:b/>
        </w:rPr>
        <w:t xml:space="preserve">Why it matters: </w:t>
      </w:r>
      <w:r>
        <w:t>Most real-world encryption failures around AES are actually failures of mode choice, IV/nonce handling, or missing authentication, not failures of AES itself.</w:t>
      </w:r>
    </w:p>
    <w:p>
      <w:pPr>
        <w:pStyle w:val="Heading2"/>
      </w:pPr>
      <w:r>
        <w:t>3.1 Why modes exist</w:t>
      </w:r>
    </w:p>
    <w:p>
      <w:r>
        <w:t>A block cipher transforms one fixed-size block at a time. Real data is longer and often variable-length, so a mode defines how blocks relate to each other, how randomness or counters are introduced, and whether integrity protection is included.</w:t>
      </w:r>
    </w:p>
    <w:p>
      <w:pPr>
        <w:pStyle w:val="Heading2"/>
      </w:pPr>
      <w:r>
        <w:t>3.2 Mode comparison overview</w:t>
      </w:r>
    </w:p>
    <w:tbl>
      <w:tblPr>
        <w:tblStyle w:val="TableGrid"/>
        <w:tblW w:type="auto" w:w="0"/>
        <w:jc w:val="center"/>
        <w:tblLayout w:type="fixed"/>
        <w:tblLook w:firstColumn="1" w:firstRow="1" w:lastColumn="0" w:lastRow="0" w:noHBand="0" w:noVBand="1" w:val="04A0"/>
      </w:tblPr>
      <w:tblGrid>
        <w:gridCol w:w="1296"/>
        <w:gridCol w:w="1584"/>
        <w:gridCol w:w="2448"/>
        <w:gridCol w:w="2016"/>
        <w:gridCol w:w="2304"/>
      </w:tblGrid>
      <w:tr>
        <w:tc>
          <w:tcPr>
            <w:tcW w:type="dxa" w:w="1987"/>
            <w:shd w:fill="DDEBFA"/>
          </w:tcPr>
          <w:p>
            <w:r>
              <w:rPr>
                <w:b/>
              </w:rPr>
              <w:t>Mode</w:t>
            </w:r>
          </w:p>
        </w:tc>
        <w:tc>
          <w:tcPr>
            <w:tcW w:type="dxa" w:w="1987"/>
            <w:shd w:fill="DDEBFA"/>
          </w:tcPr>
          <w:p>
            <w:r>
              <w:rPr>
                <w:b/>
              </w:rPr>
              <w:t>Safe today?</w:t>
            </w:r>
          </w:p>
        </w:tc>
        <w:tc>
          <w:tcPr>
            <w:tcW w:type="dxa" w:w="1987"/>
            <w:shd w:fill="DDEBFA"/>
          </w:tcPr>
          <w:p>
            <w:r>
              <w:rPr>
                <w:b/>
              </w:rPr>
              <w:t>Main property</w:t>
            </w:r>
          </w:p>
        </w:tc>
        <w:tc>
          <w:tcPr>
            <w:tcW w:type="dxa" w:w="1987"/>
            <w:shd w:fill="DDEBFA"/>
          </w:tcPr>
          <w:p>
            <w:r>
              <w:rPr>
                <w:b/>
              </w:rPr>
              <w:t>Needs IV/nonce?</w:t>
            </w:r>
          </w:p>
        </w:tc>
        <w:tc>
          <w:tcPr>
            <w:tcW w:type="dxa" w:w="1987"/>
            <w:shd w:fill="DDEBFA"/>
          </w:tcPr>
          <w:p>
            <w:r>
              <w:rPr>
                <w:b/>
              </w:rPr>
              <w:t>Key caution</w:t>
            </w:r>
          </w:p>
        </w:tc>
      </w:tr>
      <w:tr>
        <w:tc>
          <w:tcPr>
            <w:tcW w:type="dxa" w:w="1296"/>
            <w:tcMar>
              <w:top w:w="90" w:type="dxa"/>
              <w:start w:w="100" w:type="dxa"/>
              <w:bottom w:w="90" w:type="dxa"/>
              <w:end w:w="100" w:type="dxa"/>
            </w:tcMar>
          </w:tcPr>
          <w:p>
            <w:r>
              <w:t>ECB</w:t>
            </w:r>
          </w:p>
        </w:tc>
        <w:tc>
          <w:tcPr>
            <w:tcW w:type="dxa" w:w="1584"/>
            <w:tcMar>
              <w:top w:w="90" w:type="dxa"/>
              <w:start w:w="100" w:type="dxa"/>
              <w:bottom w:w="90" w:type="dxa"/>
              <w:end w:w="100" w:type="dxa"/>
            </w:tcMar>
          </w:tcPr>
          <w:p>
            <w:r>
              <w:t>No</w:t>
            </w:r>
          </w:p>
        </w:tc>
        <w:tc>
          <w:tcPr>
            <w:tcW w:type="dxa" w:w="2448"/>
            <w:tcMar>
              <w:top w:w="90" w:type="dxa"/>
              <w:start w:w="100" w:type="dxa"/>
              <w:bottom w:w="90" w:type="dxa"/>
              <w:end w:w="100" w:type="dxa"/>
            </w:tcMar>
          </w:tcPr>
          <w:p>
            <w:r>
              <w:t>Independent block encryption</w:t>
            </w:r>
          </w:p>
        </w:tc>
        <w:tc>
          <w:tcPr>
            <w:tcW w:type="dxa" w:w="2016"/>
            <w:tcMar>
              <w:top w:w="90" w:type="dxa"/>
              <w:start w:w="100" w:type="dxa"/>
              <w:bottom w:w="90" w:type="dxa"/>
              <w:end w:w="100" w:type="dxa"/>
            </w:tcMar>
          </w:tcPr>
          <w:p>
            <w:r>
              <w:t>No random IV</w:t>
            </w:r>
          </w:p>
        </w:tc>
        <w:tc>
          <w:tcPr>
            <w:tcW w:type="dxa" w:w="2304"/>
            <w:tcMar>
              <w:top w:w="90" w:type="dxa"/>
              <w:start w:w="100" w:type="dxa"/>
              <w:bottom w:w="90" w:type="dxa"/>
              <w:end w:w="100" w:type="dxa"/>
            </w:tcMar>
          </w:tcPr>
          <w:p>
            <w:r>
              <w:t>Reveals patterns; never use for real data</w:t>
            </w:r>
          </w:p>
        </w:tc>
      </w:tr>
      <w:tr>
        <w:tc>
          <w:tcPr>
            <w:tcW w:type="dxa" w:w="1296"/>
            <w:tcMar>
              <w:top w:w="90" w:type="dxa"/>
              <w:start w:w="100" w:type="dxa"/>
              <w:bottom w:w="90" w:type="dxa"/>
              <w:end w:w="100" w:type="dxa"/>
            </w:tcMar>
          </w:tcPr>
          <w:p>
            <w:r>
              <w:t>CBC</w:t>
            </w:r>
          </w:p>
        </w:tc>
        <w:tc>
          <w:tcPr>
            <w:tcW w:type="dxa" w:w="1584"/>
            <w:tcMar>
              <w:top w:w="90" w:type="dxa"/>
              <w:start w:w="100" w:type="dxa"/>
              <w:bottom w:w="90" w:type="dxa"/>
              <w:end w:w="100" w:type="dxa"/>
            </w:tcMar>
          </w:tcPr>
          <w:p>
            <w:r>
              <w:t>Legacy / careful use</w:t>
            </w:r>
          </w:p>
        </w:tc>
        <w:tc>
          <w:tcPr>
            <w:tcW w:type="dxa" w:w="2448"/>
            <w:tcMar>
              <w:top w:w="90" w:type="dxa"/>
              <w:start w:w="100" w:type="dxa"/>
              <w:bottom w:w="90" w:type="dxa"/>
              <w:end w:w="100" w:type="dxa"/>
            </w:tcMar>
          </w:tcPr>
          <w:p>
            <w:r>
              <w:t>Chains blocks with IV</w:t>
            </w:r>
          </w:p>
        </w:tc>
        <w:tc>
          <w:tcPr>
            <w:tcW w:type="dxa" w:w="2016"/>
            <w:tcMar>
              <w:top w:w="90" w:type="dxa"/>
              <w:start w:w="100" w:type="dxa"/>
              <w:bottom w:w="90" w:type="dxa"/>
              <w:end w:w="100" w:type="dxa"/>
            </w:tcMar>
          </w:tcPr>
          <w:p>
            <w:r>
              <w:t>Yes, IV required</w:t>
            </w:r>
          </w:p>
        </w:tc>
        <w:tc>
          <w:tcPr>
            <w:tcW w:type="dxa" w:w="2304"/>
            <w:tcMar>
              <w:top w:w="90" w:type="dxa"/>
              <w:start w:w="100" w:type="dxa"/>
              <w:bottom w:w="90" w:type="dxa"/>
              <w:end w:w="100" w:type="dxa"/>
            </w:tcMar>
          </w:tcPr>
          <w:p>
            <w:r>
              <w:t>Needs padding; can be vulnerable if integrity handling is wrong</w:t>
            </w:r>
          </w:p>
        </w:tc>
      </w:tr>
      <w:tr>
        <w:tc>
          <w:tcPr>
            <w:tcW w:type="dxa" w:w="1296"/>
            <w:tcMar>
              <w:top w:w="90" w:type="dxa"/>
              <w:start w:w="100" w:type="dxa"/>
              <w:bottom w:w="90" w:type="dxa"/>
              <w:end w:w="100" w:type="dxa"/>
            </w:tcMar>
          </w:tcPr>
          <w:p>
            <w:r>
              <w:t>CTR</w:t>
            </w:r>
          </w:p>
        </w:tc>
        <w:tc>
          <w:tcPr>
            <w:tcW w:type="dxa" w:w="1584"/>
            <w:tcMar>
              <w:top w:w="90" w:type="dxa"/>
              <w:start w:w="100" w:type="dxa"/>
              <w:bottom w:w="90" w:type="dxa"/>
              <w:end w:w="100" w:type="dxa"/>
            </w:tcMar>
          </w:tcPr>
          <w:p>
            <w:r>
              <w:t>Yes with care</w:t>
            </w:r>
          </w:p>
        </w:tc>
        <w:tc>
          <w:tcPr>
            <w:tcW w:type="dxa" w:w="2448"/>
            <w:tcMar>
              <w:top w:w="90" w:type="dxa"/>
              <w:start w:w="100" w:type="dxa"/>
              <w:bottom w:w="90" w:type="dxa"/>
              <w:end w:w="100" w:type="dxa"/>
            </w:tcMar>
          </w:tcPr>
          <w:p>
            <w:r>
              <w:t>Turns cipher into keystream mode</w:t>
            </w:r>
          </w:p>
        </w:tc>
        <w:tc>
          <w:tcPr>
            <w:tcW w:type="dxa" w:w="2016"/>
            <w:tcMar>
              <w:top w:w="90" w:type="dxa"/>
              <w:start w:w="100" w:type="dxa"/>
              <w:bottom w:w="90" w:type="dxa"/>
              <w:end w:w="100" w:type="dxa"/>
            </w:tcMar>
          </w:tcPr>
          <w:p>
            <w:r>
              <w:t>Yes, unique counter/nonce</w:t>
            </w:r>
          </w:p>
        </w:tc>
        <w:tc>
          <w:tcPr>
            <w:tcW w:type="dxa" w:w="2304"/>
            <w:tcMar>
              <w:top w:w="90" w:type="dxa"/>
              <w:start w:w="100" w:type="dxa"/>
              <w:bottom w:w="90" w:type="dxa"/>
              <w:end w:w="100" w:type="dxa"/>
            </w:tcMar>
          </w:tcPr>
          <w:p>
            <w:r>
              <w:t>Reuse with same key is dangerous</w:t>
            </w:r>
          </w:p>
        </w:tc>
      </w:tr>
      <w:tr>
        <w:tc>
          <w:tcPr>
            <w:tcW w:type="dxa" w:w="1296"/>
            <w:tcMar>
              <w:top w:w="90" w:type="dxa"/>
              <w:start w:w="100" w:type="dxa"/>
              <w:bottom w:w="90" w:type="dxa"/>
              <w:end w:w="100" w:type="dxa"/>
            </w:tcMar>
          </w:tcPr>
          <w:p>
            <w:r>
              <w:t>GCM</w:t>
            </w:r>
          </w:p>
        </w:tc>
        <w:tc>
          <w:tcPr>
            <w:tcW w:type="dxa" w:w="1584"/>
            <w:tcMar>
              <w:top w:w="90" w:type="dxa"/>
              <w:start w:w="100" w:type="dxa"/>
              <w:bottom w:w="90" w:type="dxa"/>
              <w:end w:w="100" w:type="dxa"/>
            </w:tcMar>
          </w:tcPr>
          <w:p>
            <w:r>
              <w:t>Recommended</w:t>
            </w:r>
          </w:p>
        </w:tc>
        <w:tc>
          <w:tcPr>
            <w:tcW w:type="dxa" w:w="2448"/>
            <w:tcMar>
              <w:top w:w="90" w:type="dxa"/>
              <w:start w:w="100" w:type="dxa"/>
              <w:bottom w:w="90" w:type="dxa"/>
              <w:end w:w="100" w:type="dxa"/>
            </w:tcMar>
          </w:tcPr>
          <w:p>
            <w:r>
              <w:t>Encryption plus authentication</w:t>
            </w:r>
          </w:p>
        </w:tc>
        <w:tc>
          <w:tcPr>
            <w:tcW w:type="dxa" w:w="2016"/>
            <w:tcMar>
              <w:top w:w="90" w:type="dxa"/>
              <w:start w:w="100" w:type="dxa"/>
              <w:bottom w:w="90" w:type="dxa"/>
              <w:end w:w="100" w:type="dxa"/>
            </w:tcMar>
          </w:tcPr>
          <w:p>
            <w:r>
              <w:t>Yes, unique nonce</w:t>
            </w:r>
          </w:p>
        </w:tc>
        <w:tc>
          <w:tcPr>
            <w:tcW w:type="dxa" w:w="2304"/>
            <w:tcMar>
              <w:top w:w="90" w:type="dxa"/>
              <w:start w:w="100" w:type="dxa"/>
              <w:bottom w:w="90" w:type="dxa"/>
              <w:end w:w="100" w:type="dxa"/>
            </w:tcMar>
          </w:tcPr>
          <w:p>
            <w:r>
              <w:t>Nonce reuse is catastrophic</w:t>
            </w:r>
          </w:p>
        </w:tc>
      </w:tr>
    </w:tbl>
    <w:p>
      <w:pPr>
        <w:pStyle w:val="Heading2"/>
      </w:pPr>
      <w:r>
        <w:t>3.3 ECB (Electronic Codebook) — insecure, never use</w:t>
      </w:r>
    </w:p>
    <w:p>
      <w:r>
        <w:t>ECB encrypts each plaintext block independently under the same key. Identical plaintext blocks produce identical ciphertext blocks. This leaks visible structure and patterns, especially in repetitive data.</w:t>
      </w:r>
    </w:p>
    <w:p>
      <w:pPr>
        <w:pStyle w:val="ListBullet"/>
        <w:spacing w:after="40"/>
      </w:pPr>
      <w:r>
        <w:t>ECB does not hide repeated structure well.</w:t>
      </w:r>
    </w:p>
    <w:p>
      <w:pPr>
        <w:pStyle w:val="ListBullet"/>
        <w:spacing w:after="40"/>
      </w:pPr>
      <w:r>
        <w:t>Pattern leakage can reveal layout and correlations even when exact plaintext is not known.</w:t>
      </w:r>
    </w:p>
    <w:p>
      <w:pPr>
        <w:pStyle w:val="ListBullet"/>
        <w:spacing w:after="40"/>
      </w:pPr>
      <w:r>
        <w:t>Because of this, ECB is considered insecure for real application data.</w:t>
      </w:r>
    </w:p>
    <w:p>
      <w:pPr>
        <w:pStyle w:val="Heading2"/>
      </w:pPr>
      <w:r>
        <w:t>3.4 CBC (Cipher Block Chaining)</w:t>
      </w:r>
    </w:p>
    <w:p>
      <w:r>
        <w:t>CBC uses an IV and chains each block to the previous ciphertext block before encryption. This helps remove the obvious repeated-block pattern problem of ECB.</w:t>
      </w:r>
    </w:p>
    <w:p>
      <w:pPr>
        <w:pStyle w:val="ListBullet"/>
        <w:spacing w:after="40"/>
      </w:pPr>
      <w:r>
        <w:t>CBC requires an unpredictable or at least properly generated IV, depending on the design and library guidance.</w:t>
      </w:r>
    </w:p>
    <w:p>
      <w:pPr>
        <w:pStyle w:val="ListBullet"/>
        <w:spacing w:after="40"/>
      </w:pPr>
      <w:r>
        <w:t>CBC uses padding for messages that are not an exact multiple of the block size.</w:t>
      </w:r>
    </w:p>
    <w:p>
      <w:pPr>
        <w:pStyle w:val="ListBullet"/>
        <w:spacing w:after="40"/>
      </w:pPr>
      <w:r>
        <w:t>CBC by itself provides confidentiality only; it does not authenticate the ciphertext.</w:t>
      </w:r>
    </w:p>
    <w:p>
      <w:r>
        <w:t>A major historical risk with CBC-based systems is padding oracle behavior, where a system leaks information through error responses, timing, or handling differences during decryption. The lesson is not merely 'CBC bad'; it is that unauthenticated encryption plus observable validation behavior can become dangerous.</w:t>
      </w:r>
    </w:p>
    <w:p>
      <w:pPr>
        <w:pStyle w:val="Heading2"/>
      </w:pPr>
      <w:r>
        <w:t>3.5 CTR (Counter) mode</w:t>
      </w:r>
    </w:p>
    <w:p>
      <w:r>
        <w:t>CTR mode turns the block cipher into a stream-like construction by encrypting successive counter values and combining them with plaintext. It is efficient and parallelizable.</w:t>
      </w:r>
    </w:p>
    <w:p>
      <w:pPr>
        <w:pStyle w:val="ListBullet"/>
        <w:spacing w:after="40"/>
      </w:pPr>
      <w:r>
        <w:t>CTR does not need padding.</w:t>
      </w:r>
    </w:p>
    <w:p>
      <w:pPr>
        <w:pStyle w:val="ListBullet"/>
        <w:spacing w:after="40"/>
      </w:pPr>
      <w:r>
        <w:t>CTR can be fast and parallel-friendly.</w:t>
      </w:r>
    </w:p>
    <w:p>
      <w:pPr>
        <w:pStyle w:val="ListBullet"/>
        <w:spacing w:after="40"/>
      </w:pPr>
      <w:r>
        <w:t>CTR requires a unique nonce/counter combination for every encryption under the same key.</w:t>
      </w:r>
    </w:p>
    <w:p>
      <w:pPr>
        <w:pStyle w:val="ListBullet"/>
        <w:spacing w:after="40"/>
      </w:pPr>
      <w:r>
        <w:t>CTR provides confidentiality only and must be paired with integrity protection if authenticity is required.</w:t>
      </w:r>
    </w:p>
    <w:p>
      <w:pPr>
        <w:pStyle w:val="Heading2"/>
      </w:pPr>
      <w:r>
        <w:t>3.6 GCM (Galois/Counter Mode)</w:t>
      </w:r>
    </w:p>
    <w:p>
      <w:r>
        <w:t>GCM builds on counter-mode style encryption and adds authentication. It is an example of authenticated encryption and is widely recommended when used correctly.</w:t>
      </w:r>
    </w:p>
    <w:p>
      <w:pPr>
        <w:pStyle w:val="ListBullet"/>
        <w:spacing w:after="40"/>
      </w:pPr>
      <w:r>
        <w:t>Provides confidentiality and integrity together.</w:t>
      </w:r>
    </w:p>
    <w:p>
      <w:pPr>
        <w:pStyle w:val="ListBullet"/>
        <w:spacing w:after="40"/>
      </w:pPr>
      <w:r>
        <w:t>Supports associated data that is authenticated but not encrypted.</w:t>
      </w:r>
    </w:p>
    <w:p>
      <w:pPr>
        <w:pStyle w:val="ListBullet"/>
        <w:spacing w:after="40"/>
      </w:pPr>
      <w:r>
        <w:t>Requires unique nonces for each encryption under the same key.</w:t>
      </w:r>
    </w:p>
    <w:p>
      <w:pPr>
        <w:pStyle w:val="ListBullet"/>
        <w:spacing w:after="40"/>
      </w:pPr>
      <w:r>
        <w:t>Widely used in TLS, cloud services, APIs, and storage systems.</w:t>
      </w:r>
    </w:p>
    <w:p>
      <w:pPr>
        <w:pStyle w:val="Heading1"/>
      </w:pPr>
      <w:r>
        <w:t>4. AEAD: Authenticated Encryption with Associated Data</w:t>
      </w:r>
    </w:p>
    <w:p>
      <w:r>
        <w:rPr>
          <w:b/>
        </w:rPr>
        <w:t xml:space="preserve">Overview: </w:t>
      </w:r>
      <w:r>
        <w:t>AEAD combines encryption and authentication so the receiver can verify both confidentiality and integrity in one construction.</w:t>
      </w:r>
    </w:p>
    <w:p>
      <w:r>
        <w:rPr>
          <w:b/>
        </w:rPr>
        <w:t xml:space="preserve">Why it matters: </w:t>
      </w:r>
      <w:r>
        <w:t>This is the modern default for many application designs because confidentiality without authenticity is often not enough.</w:t>
      </w:r>
    </w:p>
    <w:p>
      <w:pPr>
        <w:pStyle w:val="Heading2"/>
      </w:pPr>
      <w:r>
        <w:t>4.1 What AEAD protects</w:t>
      </w:r>
    </w:p>
    <w:p>
      <w:pPr>
        <w:pStyle w:val="ListBullet"/>
        <w:spacing w:after="40"/>
      </w:pPr>
      <w:r>
        <w:t>Ciphertext confidentiality: unauthorized parties cannot read the plaintext.</w:t>
      </w:r>
    </w:p>
    <w:p>
      <w:pPr>
        <w:pStyle w:val="ListBullet"/>
        <w:spacing w:after="40"/>
      </w:pPr>
      <w:r>
        <w:t>Integrity: unauthorized modifications to ciphertext are detected.</w:t>
      </w:r>
    </w:p>
    <w:p>
      <w:pPr>
        <w:pStyle w:val="ListBullet"/>
        <w:spacing w:after="40"/>
      </w:pPr>
      <w:r>
        <w:t>Associated data authentication: selected metadata can be authenticated without being encrypted.</w:t>
      </w:r>
    </w:p>
    <w:p>
      <w:pPr>
        <w:pStyle w:val="Heading2"/>
      </w:pPr>
      <w:r>
        <w:t>4.2 Common AEAD examples</w:t>
      </w:r>
    </w:p>
    <w:p>
      <w:pPr>
        <w:pStyle w:val="ListBullet"/>
        <w:spacing w:after="40"/>
      </w:pPr>
      <w:r>
        <w:t>AES-GCM — widely used and commonly recommended when implemented correctly.</w:t>
      </w:r>
    </w:p>
    <w:p>
      <w:pPr>
        <w:pStyle w:val="ListBullet"/>
        <w:spacing w:after="40"/>
      </w:pPr>
      <w:r>
        <w:t>ChaCha20-Poly1305 — another modern AEAD option, often favored in some software and mobile contexts.</w:t>
      </w:r>
    </w:p>
    <w:p>
      <w:pPr>
        <w:pStyle w:val="Heading2"/>
      </w:pPr>
      <w:r>
        <w:t>4.3 Why AEAD is usually preferred</w:t>
      </w:r>
    </w:p>
    <w:p>
      <w:pPr>
        <w:pStyle w:val="ListBullet"/>
        <w:spacing w:after="40"/>
      </w:pPr>
      <w:r>
        <w:t>It reduces the risk of forgetting a separate integrity layer.</w:t>
      </w:r>
    </w:p>
    <w:p>
      <w:pPr>
        <w:pStyle w:val="ListBullet"/>
        <w:spacing w:after="40"/>
      </w:pPr>
      <w:r>
        <w:t>It prevents many classic misuse patterns involving encryption without authentication.</w:t>
      </w:r>
    </w:p>
    <w:p>
      <w:pPr>
        <w:pStyle w:val="ListBullet"/>
        <w:spacing w:after="40"/>
      </w:pPr>
      <w:r>
        <w:t>It provides a clearer, safer default for application developers.</w:t>
      </w:r>
    </w:p>
    <w:p>
      <w:pPr>
        <w:pStyle w:val="Heading2"/>
      </w:pPr>
      <w:r>
        <w:t>4.4 Associated data explained</w:t>
      </w:r>
    </w:p>
    <w:p>
      <w:r>
        <w:t>Associated data is information you want authenticated but not encrypted, such as protocol headers, record identifiers, or metadata needed for routing or interpretation. AEAD lets you bind that metadata to the ciphertext so tampering is detected.</w:t>
      </w:r>
    </w:p>
    <w:p>
      <w:pPr>
        <w:pStyle w:val="Heading1"/>
      </w:pPr>
      <w:r>
        <w:t>5. IVs and Nonces</w:t>
      </w:r>
    </w:p>
    <w:p>
      <w:r>
        <w:rPr>
          <w:b/>
        </w:rPr>
        <w:t xml:space="preserve">Overview: </w:t>
      </w:r>
      <w:r>
        <w:t>An IV, or initialization vector, is an extra input used alongside the key to make encryptions of similar plaintext differ safely. Depending on the mode, you may also hear the term nonce.</w:t>
      </w:r>
    </w:p>
    <w:p>
      <w:r>
        <w:rPr>
          <w:b/>
        </w:rPr>
        <w:t xml:space="preserve">Why it matters: </w:t>
      </w:r>
      <w:r>
        <w:t>Many catastrophic encryption failures happen not because the algorithm is weak, but because IVs or nonces are reused incorrectly.</w:t>
      </w:r>
    </w:p>
    <w:p>
      <w:pPr>
        <w:pStyle w:val="Heading2"/>
      </w:pPr>
      <w:r>
        <w:t>5.1 Core rule</w:t>
      </w:r>
    </w:p>
    <w:p>
      <w:r>
        <w:t>For modes that require an IV or nonce, it must satisfy the mode's requirements every time. A common practical rule is uniqueness per encryption under the same key, though some modes also care about unpredictability or format.</w:t>
      </w:r>
    </w:p>
    <w:p>
      <w:pPr>
        <w:pStyle w:val="Heading2"/>
      </w:pPr>
      <w:r>
        <w:t>5.2 Why reuse is dangerous</w:t>
      </w:r>
    </w:p>
    <w:p>
      <w:pPr>
        <w:pStyle w:val="ListBullet"/>
        <w:spacing w:after="40"/>
      </w:pPr>
      <w:r>
        <w:t>Reusing IVs or nonces can expose relationships between plaintexts.</w:t>
      </w:r>
    </w:p>
    <w:p>
      <w:pPr>
        <w:pStyle w:val="ListBullet"/>
        <w:spacing w:after="40"/>
      </w:pPr>
      <w:r>
        <w:t>In counter-based authenticated modes such as GCM, nonce reuse under the same key can be catastrophic.</w:t>
      </w:r>
    </w:p>
    <w:p>
      <w:pPr>
        <w:pStyle w:val="ListBullet"/>
        <w:spacing w:after="40"/>
      </w:pPr>
      <w:r>
        <w:t>Nonce reuse can break confidentiality, integrity, or both, depending on the mode.</w:t>
      </w:r>
    </w:p>
    <w:p>
      <w:pPr>
        <w:pStyle w:val="Heading2"/>
      </w:pPr>
      <w:r>
        <w:t>5.3 IV versus nonce intuition</w:t>
      </w:r>
    </w:p>
    <w:p>
      <w:r>
        <w:t>The exact terminology varies by algorithm and library, but the practical question is always the same: what extra per-encryption value is required, and what are its safety rules? Follow the documented rules of the mode, not informal assumptions.</w:t>
      </w:r>
    </w:p>
    <w:p>
      <w:pPr>
        <w:pStyle w:val="Heading2"/>
      </w:pPr>
      <w:r>
        <w:t>5.4 Good practice</w:t>
      </w:r>
    </w:p>
    <w:p>
      <w:pPr>
        <w:pStyle w:val="ListBullet"/>
        <w:spacing w:after="40"/>
      </w:pPr>
      <w:r>
        <w:t>Use vetted cryptographic libraries that generate IVs or nonces safely when possible.</w:t>
      </w:r>
    </w:p>
    <w:p>
      <w:pPr>
        <w:pStyle w:val="ListBullet"/>
        <w:spacing w:after="40"/>
      </w:pPr>
      <w:r>
        <w:t>Never manually invent random handling if the library already provides correct mechanisms.</w:t>
      </w:r>
    </w:p>
    <w:p>
      <w:pPr>
        <w:pStyle w:val="ListBullet"/>
        <w:spacing w:after="40"/>
      </w:pPr>
      <w:r>
        <w:t>Store or transmit the IV/nonce as needed by the scheme; it is often not secret, but it must be correct.</w:t>
      </w:r>
    </w:p>
    <w:p>
      <w:pPr>
        <w:pStyle w:val="ListBullet"/>
        <w:spacing w:after="40"/>
      </w:pPr>
      <w:r>
        <w:t>Design systems so accidental reuse is structurally prevented.</w:t>
      </w:r>
    </w:p>
    <w:p>
      <w:pPr>
        <w:pStyle w:val="Heading1"/>
      </w:pPr>
      <w:r>
        <w:t>6. Key Management: Rotation, Storage, and Control</w:t>
      </w:r>
    </w:p>
    <w:p>
      <w:r>
        <w:rPr>
          <w:b/>
        </w:rPr>
        <w:t xml:space="preserve">Overview: </w:t>
      </w:r>
      <w:r>
        <w:t>Key management is the operational foundation of encryption. Even perfect algorithms fail if keys are exposed, mishandled, or never rotated.</w:t>
      </w:r>
    </w:p>
    <w:p>
      <w:r>
        <w:rPr>
          <w:b/>
        </w:rPr>
        <w:t xml:space="preserve">Why it matters: </w:t>
      </w:r>
      <w:r>
        <w:t>In real systems, key management is often the difference between theoretical cryptographic strength and actual security.</w:t>
      </w:r>
    </w:p>
    <w:p>
      <w:pPr>
        <w:pStyle w:val="Heading2"/>
      </w:pPr>
      <w:r>
        <w:t>6.1 Key lifecycle stages</w:t>
      </w:r>
    </w:p>
    <w:p>
      <w:pPr>
        <w:pStyle w:val="ListBullet"/>
        <w:spacing w:after="40"/>
      </w:pPr>
      <w:r>
        <w:t>Generation: keys must come from cryptographically secure randomness.</w:t>
      </w:r>
    </w:p>
    <w:p>
      <w:pPr>
        <w:pStyle w:val="ListBullet"/>
        <w:spacing w:after="40"/>
      </w:pPr>
      <w:r>
        <w:t>Storage: keys should be protected against unauthorized access and unnecessary exposure.</w:t>
      </w:r>
    </w:p>
    <w:p>
      <w:pPr>
        <w:pStyle w:val="ListBullet"/>
        <w:spacing w:after="40"/>
      </w:pPr>
      <w:r>
        <w:t>Use: applications should access keys through controlled interfaces and least privilege.</w:t>
      </w:r>
    </w:p>
    <w:p>
      <w:pPr>
        <w:pStyle w:val="ListBullet"/>
        <w:spacing w:after="40"/>
      </w:pPr>
      <w:r>
        <w:t>Rotation: keys should be replaceable on a defined schedule or when compromise is suspected.</w:t>
      </w:r>
    </w:p>
    <w:p>
      <w:pPr>
        <w:pStyle w:val="ListBullet"/>
        <w:spacing w:after="40"/>
      </w:pPr>
      <w:r>
        <w:t>Retirement and destruction: old keys should be revoked and handled safely.</w:t>
      </w:r>
    </w:p>
    <w:p>
      <w:pPr>
        <w:pStyle w:val="Heading2"/>
      </w:pPr>
      <w:r>
        <w:t>6.2 Storage options</w:t>
      </w:r>
    </w:p>
    <w:tbl>
      <w:tblPr>
        <w:tblStyle w:val="TableGrid"/>
        <w:tblW w:type="auto" w:w="0"/>
        <w:jc w:val="center"/>
        <w:tblLayout w:type="fixed"/>
        <w:tblLook w:firstColumn="1" w:firstRow="1" w:lastColumn="0" w:lastRow="0" w:noHBand="0" w:noVBand="1" w:val="04A0"/>
      </w:tblPr>
      <w:tblGrid>
        <w:gridCol w:w="2016"/>
        <w:gridCol w:w="3024"/>
        <w:gridCol w:w="4608"/>
      </w:tblGrid>
      <w:tr>
        <w:tc>
          <w:tcPr>
            <w:tcW w:type="dxa" w:w="3312"/>
            <w:shd w:fill="DDEBFA"/>
          </w:tcPr>
          <w:p>
            <w:r>
              <w:rPr>
                <w:b/>
              </w:rPr>
              <w:t>System</w:t>
            </w:r>
          </w:p>
        </w:tc>
        <w:tc>
          <w:tcPr>
            <w:tcW w:type="dxa" w:w="3312"/>
            <w:shd w:fill="DDEBFA"/>
          </w:tcPr>
          <w:p>
            <w:r>
              <w:rPr>
                <w:b/>
              </w:rPr>
              <w:t>What it does</w:t>
            </w:r>
          </w:p>
        </w:tc>
        <w:tc>
          <w:tcPr>
            <w:tcW w:type="dxa" w:w="3312"/>
            <w:shd w:fill="DDEBFA"/>
          </w:tcPr>
          <w:p>
            <w:r>
              <w:rPr>
                <w:b/>
              </w:rPr>
              <w:t>Why teams use it</w:t>
            </w:r>
          </w:p>
        </w:tc>
      </w:tr>
      <w:tr>
        <w:tc>
          <w:tcPr>
            <w:tcW w:type="dxa" w:w="2016"/>
            <w:tcMar>
              <w:top w:w="90" w:type="dxa"/>
              <w:start w:w="100" w:type="dxa"/>
              <w:bottom w:w="90" w:type="dxa"/>
              <w:end w:w="100" w:type="dxa"/>
            </w:tcMar>
          </w:tcPr>
          <w:p>
            <w:r>
              <w:t>KMS</w:t>
            </w:r>
          </w:p>
        </w:tc>
        <w:tc>
          <w:tcPr>
            <w:tcW w:type="dxa" w:w="3024"/>
            <w:tcMar>
              <w:top w:w="90" w:type="dxa"/>
              <w:start w:w="100" w:type="dxa"/>
              <w:bottom w:w="90" w:type="dxa"/>
              <w:end w:w="100" w:type="dxa"/>
            </w:tcMar>
          </w:tcPr>
          <w:p>
            <w:r>
              <w:t>Managed key service with policy control and audit integration</w:t>
            </w:r>
          </w:p>
        </w:tc>
        <w:tc>
          <w:tcPr>
            <w:tcW w:type="dxa" w:w="4608"/>
            <w:tcMar>
              <w:top w:w="90" w:type="dxa"/>
              <w:start w:w="100" w:type="dxa"/>
              <w:bottom w:w="90" w:type="dxa"/>
              <w:end w:w="100" w:type="dxa"/>
            </w:tcMar>
          </w:tcPr>
          <w:p>
            <w:r>
              <w:t>Centralized control, cloud integration, envelope encryption</w:t>
            </w:r>
          </w:p>
        </w:tc>
      </w:tr>
      <w:tr>
        <w:tc>
          <w:tcPr>
            <w:tcW w:type="dxa" w:w="2016"/>
            <w:tcMar>
              <w:top w:w="90" w:type="dxa"/>
              <w:start w:w="100" w:type="dxa"/>
              <w:bottom w:w="90" w:type="dxa"/>
              <w:end w:w="100" w:type="dxa"/>
            </w:tcMar>
          </w:tcPr>
          <w:p>
            <w:r>
              <w:t>Vault</w:t>
            </w:r>
          </w:p>
        </w:tc>
        <w:tc>
          <w:tcPr>
            <w:tcW w:type="dxa" w:w="3024"/>
            <w:tcMar>
              <w:top w:w="90" w:type="dxa"/>
              <w:start w:w="100" w:type="dxa"/>
              <w:bottom w:w="90" w:type="dxa"/>
              <w:end w:w="100" w:type="dxa"/>
            </w:tcMar>
          </w:tcPr>
          <w:p>
            <w:r>
              <w:t>Secret-management system for application credentials and keys</w:t>
            </w:r>
          </w:p>
        </w:tc>
        <w:tc>
          <w:tcPr>
            <w:tcW w:type="dxa" w:w="4608"/>
            <w:tcMar>
              <w:top w:w="90" w:type="dxa"/>
              <w:start w:w="100" w:type="dxa"/>
              <w:bottom w:w="90" w:type="dxa"/>
              <w:end w:w="100" w:type="dxa"/>
            </w:tcMar>
          </w:tcPr>
          <w:p>
            <w:r>
              <w:t>Controlled access, rotation workflows, dynamic secret handling</w:t>
            </w:r>
          </w:p>
        </w:tc>
      </w:tr>
      <w:tr>
        <w:tc>
          <w:tcPr>
            <w:tcW w:type="dxa" w:w="2016"/>
            <w:tcMar>
              <w:top w:w="90" w:type="dxa"/>
              <w:start w:w="100" w:type="dxa"/>
              <w:bottom w:w="90" w:type="dxa"/>
              <w:end w:w="100" w:type="dxa"/>
            </w:tcMar>
          </w:tcPr>
          <w:p>
            <w:r>
              <w:t>HSM</w:t>
            </w:r>
          </w:p>
        </w:tc>
        <w:tc>
          <w:tcPr>
            <w:tcW w:type="dxa" w:w="3024"/>
            <w:tcMar>
              <w:top w:w="90" w:type="dxa"/>
              <w:start w:w="100" w:type="dxa"/>
              <w:bottom w:w="90" w:type="dxa"/>
              <w:end w:w="100" w:type="dxa"/>
            </w:tcMar>
          </w:tcPr>
          <w:p>
            <w:r>
              <w:t>Hardware Security Module for high-assurance key protection</w:t>
            </w:r>
          </w:p>
        </w:tc>
        <w:tc>
          <w:tcPr>
            <w:tcW w:type="dxa" w:w="4608"/>
            <w:tcMar>
              <w:top w:w="90" w:type="dxa"/>
              <w:start w:w="100" w:type="dxa"/>
              <w:bottom w:w="90" w:type="dxa"/>
              <w:end w:w="100" w:type="dxa"/>
            </w:tcMar>
          </w:tcPr>
          <w:p>
            <w:r>
              <w:t>Strong protection for sensitive keys and signing operations</w:t>
            </w:r>
          </w:p>
        </w:tc>
      </w:tr>
    </w:tbl>
    <w:p>
      <w:pPr>
        <w:pStyle w:val="Heading2"/>
      </w:pPr>
      <w:r>
        <w:t>6.3 Rotation concepts</w:t>
      </w:r>
    </w:p>
    <w:p>
      <w:r>
        <w:t>Key rotation means replacing active keys over time or in response to risk. Good rotation planning includes identifying what data was encrypted under which key, how re-encryption or staged migration works, and how services discover the current active key version.</w:t>
      </w:r>
    </w:p>
    <w:p>
      <w:pPr>
        <w:pStyle w:val="Heading2"/>
      </w:pPr>
      <w:r>
        <w:t>6.4 Key handling principles</w:t>
      </w:r>
    </w:p>
    <w:p>
      <w:pPr>
        <w:pStyle w:val="ListBullet"/>
        <w:spacing w:after="40"/>
      </w:pPr>
      <w:r>
        <w:t>Do not hardcode long-lived keys into source code or images.</w:t>
      </w:r>
    </w:p>
    <w:p>
      <w:pPr>
        <w:pStyle w:val="ListBullet"/>
        <w:spacing w:after="40"/>
      </w:pPr>
      <w:r>
        <w:t>Use least privilege so only the right services can access specific keys.</w:t>
      </w:r>
    </w:p>
    <w:p>
      <w:pPr>
        <w:pStyle w:val="ListBullet"/>
        <w:spacing w:after="40"/>
      </w:pPr>
      <w:r>
        <w:t>Audit key usage and alert on unusual access patterns.</w:t>
      </w:r>
    </w:p>
    <w:p>
      <w:pPr>
        <w:pStyle w:val="ListBullet"/>
        <w:spacing w:after="40"/>
      </w:pPr>
      <w:r>
        <w:t>Separate data storage from secret storage where possible.</w:t>
      </w:r>
    </w:p>
    <w:p>
      <w:pPr>
        <w:pStyle w:val="ListBullet"/>
        <w:spacing w:after="40"/>
      </w:pPr>
      <w:r>
        <w:t>Document emergency response procedures for suspected key compromise.</w:t>
      </w:r>
    </w:p>
    <w:p>
      <w:pPr>
        <w:pStyle w:val="Heading1"/>
      </w:pPr>
      <w:r>
        <w:t>7. Which Choice to Use When</w:t>
      </w:r>
    </w:p>
    <w:p>
      <w:r>
        <w:rPr>
          <w:b/>
        </w:rPr>
        <w:t xml:space="preserve">Overview: </w:t>
      </w:r>
      <w:r>
        <w:t>The safest cryptographic design is usually the one that uses modern authenticated encryption with managed keys and avoids unnecessary low-level decision-making.</w:t>
      </w:r>
    </w:p>
    <w:p>
      <w:r>
        <w:rPr>
          <w:b/>
        </w:rPr>
        <w:t xml:space="preserve">Why it matters: </w:t>
      </w:r>
      <w:r>
        <w:t>Strong systems come from choosing secure defaults and minimizing opportunities for misuse.</w:t>
      </w:r>
    </w:p>
    <w:p>
      <w:pPr>
        <w:pStyle w:val="Heading2"/>
      </w:pPr>
      <w:r>
        <w:t>7.1 Recommended decision guide</w:t>
      </w:r>
    </w:p>
    <w:tbl>
      <w:tblPr>
        <w:tblStyle w:val="TableGrid"/>
        <w:tblW w:type="auto" w:w="0"/>
        <w:jc w:val="center"/>
        <w:tblLayout w:type="fixed"/>
        <w:tblLook w:firstColumn="1" w:firstRow="1" w:lastColumn="0" w:lastRow="0" w:noHBand="0" w:noVBand="1" w:val="04A0"/>
      </w:tblPr>
      <w:tblGrid>
        <w:gridCol w:w="2880"/>
        <w:gridCol w:w="2880"/>
        <w:gridCol w:w="3888"/>
      </w:tblGrid>
      <w:tr>
        <w:tc>
          <w:tcPr>
            <w:tcW w:type="dxa" w:w="3312"/>
            <w:shd w:fill="1565C0"/>
          </w:tcPr>
          <w:p>
            <w:r>
              <w:rPr>
                <w:b/>
                <w:color w:val="FFFFFF"/>
              </w:rPr>
              <w:t>Need</w:t>
            </w:r>
          </w:p>
        </w:tc>
        <w:tc>
          <w:tcPr>
            <w:tcW w:type="dxa" w:w="3312"/>
            <w:shd w:fill="1565C0"/>
          </w:tcPr>
          <w:p>
            <w:r>
              <w:rPr>
                <w:b/>
                <w:color w:val="FFFFFF"/>
              </w:rPr>
              <w:t>Recommended choice</w:t>
            </w:r>
          </w:p>
        </w:tc>
        <w:tc>
          <w:tcPr>
            <w:tcW w:type="dxa" w:w="3312"/>
            <w:shd w:fill="1565C0"/>
          </w:tcPr>
          <w:p>
            <w:r>
              <w:rPr>
                <w:b/>
                <w:color w:val="FFFFFF"/>
              </w:rPr>
              <w:t>Reason</w:t>
            </w:r>
          </w:p>
        </w:tc>
      </w:tr>
      <w:tr>
        <w:tc>
          <w:tcPr>
            <w:tcW w:type="dxa" w:w="2880"/>
            <w:tcMar>
              <w:top w:w="90" w:type="dxa"/>
              <w:start w:w="100" w:type="dxa"/>
              <w:bottom w:w="90" w:type="dxa"/>
              <w:end w:w="100" w:type="dxa"/>
            </w:tcMar>
          </w:tcPr>
          <w:p>
            <w:r>
              <w:t>Encrypt application data with integrity</w:t>
            </w:r>
          </w:p>
        </w:tc>
        <w:tc>
          <w:tcPr>
            <w:tcW w:type="dxa" w:w="2880"/>
            <w:tcMar>
              <w:top w:w="90" w:type="dxa"/>
              <w:start w:w="100" w:type="dxa"/>
              <w:bottom w:w="90" w:type="dxa"/>
              <w:end w:w="100" w:type="dxa"/>
            </w:tcMar>
          </w:tcPr>
          <w:p>
            <w:r>
              <w:t>AEAD such as AES-GCM or ChaCha20-Poly1305</w:t>
            </w:r>
          </w:p>
        </w:tc>
        <w:tc>
          <w:tcPr>
            <w:tcW w:type="dxa" w:w="3888"/>
            <w:tcMar>
              <w:top w:w="90" w:type="dxa"/>
              <w:start w:w="100" w:type="dxa"/>
              <w:bottom w:w="90" w:type="dxa"/>
              <w:end w:w="100" w:type="dxa"/>
            </w:tcMar>
          </w:tcPr>
          <w:p>
            <w:r>
              <w:t>Confidentiality and authenticity together</w:t>
            </w:r>
          </w:p>
        </w:tc>
      </w:tr>
      <w:tr>
        <w:tc>
          <w:tcPr>
            <w:tcW w:type="dxa" w:w="2880"/>
            <w:tcMar>
              <w:top w:w="90" w:type="dxa"/>
              <w:start w:w="100" w:type="dxa"/>
              <w:bottom w:w="90" w:type="dxa"/>
              <w:end w:w="100" w:type="dxa"/>
            </w:tcMar>
          </w:tcPr>
          <w:p>
            <w:r>
              <w:t>Legacy compatibility with older systems</w:t>
            </w:r>
          </w:p>
        </w:tc>
        <w:tc>
          <w:tcPr>
            <w:tcW w:type="dxa" w:w="2880"/>
            <w:tcMar>
              <w:top w:w="90" w:type="dxa"/>
              <w:start w:w="100" w:type="dxa"/>
              <w:bottom w:w="90" w:type="dxa"/>
              <w:end w:w="100" w:type="dxa"/>
            </w:tcMar>
          </w:tcPr>
          <w:p>
            <w:r>
              <w:t>CBC or CTR only with additional integrity protections and careful handling</w:t>
            </w:r>
          </w:p>
        </w:tc>
        <w:tc>
          <w:tcPr>
            <w:tcW w:type="dxa" w:w="3888"/>
            <w:tcMar>
              <w:top w:w="90" w:type="dxa"/>
              <w:start w:w="100" w:type="dxa"/>
              <w:bottom w:w="90" w:type="dxa"/>
              <w:end w:w="100" w:type="dxa"/>
            </w:tcMar>
          </w:tcPr>
          <w:p>
            <w:r>
              <w:t>Older modes need extra care and are easier to misuse</w:t>
            </w:r>
          </w:p>
        </w:tc>
      </w:tr>
      <w:tr>
        <w:tc>
          <w:tcPr>
            <w:tcW w:type="dxa" w:w="2880"/>
            <w:tcMar>
              <w:top w:w="90" w:type="dxa"/>
              <w:start w:w="100" w:type="dxa"/>
              <w:bottom w:w="90" w:type="dxa"/>
              <w:end w:w="100" w:type="dxa"/>
            </w:tcMar>
          </w:tcPr>
          <w:p>
            <w:r>
              <w:t>High-level service encryption in cloud environments</w:t>
            </w:r>
          </w:p>
        </w:tc>
        <w:tc>
          <w:tcPr>
            <w:tcW w:type="dxa" w:w="2880"/>
            <w:tcMar>
              <w:top w:w="90" w:type="dxa"/>
              <w:start w:w="100" w:type="dxa"/>
              <w:bottom w:w="90" w:type="dxa"/>
              <w:end w:w="100" w:type="dxa"/>
            </w:tcMar>
          </w:tcPr>
          <w:p>
            <w:r>
              <w:t>Use managed encryption via KMS-integrated services</w:t>
            </w:r>
          </w:p>
        </w:tc>
        <w:tc>
          <w:tcPr>
            <w:tcW w:type="dxa" w:w="3888"/>
            <w:tcMar>
              <w:top w:w="90" w:type="dxa"/>
              <w:start w:w="100" w:type="dxa"/>
              <w:bottom w:w="90" w:type="dxa"/>
              <w:end w:w="100" w:type="dxa"/>
            </w:tcMar>
          </w:tcPr>
          <w:p>
            <w:r>
              <w:t>Reduces direct key handling burden</w:t>
            </w:r>
          </w:p>
        </w:tc>
      </w:tr>
      <w:tr>
        <w:tc>
          <w:tcPr>
            <w:tcW w:type="dxa" w:w="2880"/>
            <w:tcMar>
              <w:top w:w="90" w:type="dxa"/>
              <w:start w:w="100" w:type="dxa"/>
              <w:bottom w:w="90" w:type="dxa"/>
              <w:end w:w="100" w:type="dxa"/>
            </w:tcMar>
          </w:tcPr>
          <w:p>
            <w:r>
              <w:t>Educational comparison only</w:t>
            </w:r>
          </w:p>
        </w:tc>
        <w:tc>
          <w:tcPr>
            <w:tcW w:type="dxa" w:w="2880"/>
            <w:tcMar>
              <w:top w:w="90" w:type="dxa"/>
              <w:start w:w="100" w:type="dxa"/>
              <w:bottom w:w="90" w:type="dxa"/>
              <w:end w:w="100" w:type="dxa"/>
            </w:tcMar>
          </w:tcPr>
          <w:p>
            <w:r>
              <w:t>Study ECB as an example of what not to deploy</w:t>
            </w:r>
          </w:p>
        </w:tc>
        <w:tc>
          <w:tcPr>
            <w:tcW w:type="dxa" w:w="3888"/>
            <w:tcMar>
              <w:top w:w="90" w:type="dxa"/>
              <w:start w:w="100" w:type="dxa"/>
              <w:bottom w:w="90" w:type="dxa"/>
              <w:end w:w="100" w:type="dxa"/>
            </w:tcMar>
          </w:tcPr>
          <w:p>
            <w:r>
              <w:t>Useful for learning why patterns matter</w:t>
            </w:r>
          </w:p>
        </w:tc>
      </w:tr>
    </w:tbl>
    <w:p>
      <w:pPr>
        <w:pStyle w:val="Heading2"/>
      </w:pPr>
      <w:r>
        <w:t>7.2 Common mistakes to avoid</w:t>
      </w:r>
    </w:p>
    <w:p>
      <w:pPr>
        <w:pStyle w:val="ListBullet"/>
        <w:spacing w:after="40"/>
      </w:pPr>
      <w:r>
        <w:t>Never use ECB for real data.</w:t>
      </w:r>
    </w:p>
    <w:p>
      <w:pPr>
        <w:pStyle w:val="ListBullet"/>
        <w:spacing w:after="40"/>
      </w:pPr>
      <w:r>
        <w:t>Do not assume encryption implies integrity unless the scheme explicitly authenticates.</w:t>
      </w:r>
    </w:p>
    <w:p>
      <w:pPr>
        <w:pStyle w:val="ListBullet"/>
        <w:spacing w:after="40"/>
      </w:pPr>
      <w:r>
        <w:t>Do not reuse IVs or nonces with the same key in modes that require uniqueness.</w:t>
      </w:r>
    </w:p>
    <w:p>
      <w:pPr>
        <w:pStyle w:val="ListBullet"/>
        <w:spacing w:after="40"/>
      </w:pPr>
      <w:r>
        <w:t>Do not leave key storage, rotation, and access policies undefined.</w:t>
      </w:r>
    </w:p>
    <w:p>
      <w:pPr>
        <w:pStyle w:val="ListBullet"/>
        <w:spacing w:after="40"/>
      </w:pPr>
      <w:r>
        <w:t>Do not invent custom cryptographic protocols when safe standard constructions already exist.</w:t>
      </w:r>
    </w:p>
    <w:p>
      <w:pPr>
        <w:pStyle w:val="Heading1"/>
      </w:pPr>
      <w:r>
        <w:t>Mastery Checklist</w:t>
      </w:r>
    </w:p>
    <w:p>
      <w:pPr>
        <w:pStyle w:val="ListBullet"/>
        <w:spacing w:after="40"/>
      </w:pPr>
      <w:r>
        <w:t>You can explain what symmetric encryption is and when it is used.</w:t>
      </w:r>
    </w:p>
    <w:p>
      <w:pPr>
        <w:pStyle w:val="ListBullet"/>
        <w:spacing w:after="40"/>
      </w:pPr>
      <w:r>
        <w:t>You can describe AES at a practical level and explain why modes matter.</w:t>
      </w:r>
    </w:p>
    <w:p>
      <w:pPr>
        <w:pStyle w:val="ListBullet"/>
        <w:spacing w:after="40"/>
      </w:pPr>
      <w:r>
        <w:t>You know why ECB is insecure and why GCM is generally recommended.</w:t>
      </w:r>
    </w:p>
    <w:p>
      <w:pPr>
        <w:pStyle w:val="ListBullet"/>
        <w:spacing w:after="40"/>
      </w:pPr>
      <w:r>
        <w:t>You can explain CBC, CTR, and GCM at a high level, including major misuse risks.</w:t>
      </w:r>
    </w:p>
    <w:p>
      <w:pPr>
        <w:pStyle w:val="ListBullet"/>
        <w:spacing w:after="40"/>
      </w:pPr>
      <w:r>
        <w:t>You understand what AEAD provides and why it is a modern default.</w:t>
      </w:r>
    </w:p>
    <w:p>
      <w:pPr>
        <w:pStyle w:val="ListBullet"/>
        <w:spacing w:after="40"/>
      </w:pPr>
      <w:r>
        <w:t>You can explain the role of IVs and nonces and why reuse is dangerous.</w:t>
      </w:r>
    </w:p>
    <w:p>
      <w:pPr>
        <w:pStyle w:val="ListBullet"/>
        <w:spacing w:after="40"/>
      </w:pPr>
      <w:r>
        <w:t>You can describe basic key management concepts, including rotation, controlled storage, and systems such as KMS, Vault, and HSM.</w:t>
      </w:r>
    </w:p>
    <w:p>
      <w:pPr>
        <w:pStyle w:val="Heading1"/>
      </w:pPr>
      <w:r>
        <w:t>Recommended Practice Activities</w:t>
      </w:r>
    </w:p>
    <w:p>
      <w:pPr>
        <w:pStyle w:val="ListBullet"/>
        <w:spacing w:after="40"/>
      </w:pPr>
      <w:r>
        <w:t>Review a sample application design and identify where confidentiality is needed, where integrity is needed, and whether AEAD is the right fit.</w:t>
      </w:r>
    </w:p>
    <w:p>
      <w:pPr>
        <w:pStyle w:val="ListBullet"/>
        <w:spacing w:after="40"/>
      </w:pPr>
      <w:r>
        <w:t>Make a comparison table for ECB, CBC, CTR, and GCM including randomness requirements, integrity support, and major misuse risks.</w:t>
      </w:r>
    </w:p>
    <w:p>
      <w:pPr>
        <w:pStyle w:val="ListBullet"/>
        <w:spacing w:after="40"/>
      </w:pPr>
      <w:r>
        <w:t>Draw a key-management flow showing where application code gets encryption keys, how rotation works, and how audit visibility is preserved.</w:t>
      </w:r>
    </w:p>
    <w:p>
      <w:pPr>
        <w:pStyle w:val="ListBullet"/>
        <w:spacing w:after="40"/>
      </w:pPr>
      <w:r>
        <w:t>Explain why a system that encrypts data correctly can still fail if IV reuse or key exposure occurs.</w:t>
      </w:r>
    </w:p>
    <w:p>
      <w:pPr>
        <w:pStyle w:val="Heading1"/>
      </w:pPr>
      <w:r>
        <w:t>Final Note</w:t>
      </w:r>
    </w:p>
    <w:p>
      <w:r>
        <w:t>Symmetric encryption is deceptively simple at the surface: one key encrypts, the same key decrypts. In practice, the real engineering difficulty lies in mode choice, nonce discipline, integrity protection, and key management. That is where strong designs are made or broken.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65C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76D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565C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