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95C"/>
          <w:sz w:val="48"/>
        </w:rPr>
        <w:t>Cloud &amp; Container Security Study Guide</w:t>
      </w:r>
    </w:p>
    <w:p>
      <w:pPr>
        <w:jc w:val="center"/>
      </w:pPr>
      <w:r>
        <w:rPr>
          <w:i/>
        </w:rPr>
        <w:t>Module 1: Container Security — isolation, image hygiene, least privilege, and runtime hardening</w:t>
      </w:r>
    </w:p>
    <w:tbl>
      <w:tblPr>
        <w:tblW w:type="auto" w:w="0"/>
        <w:jc w:val="center"/>
        <w:tblLayout w:type="fixed"/>
        <w:tblLook w:firstColumn="1" w:firstRow="1" w:lastColumn="0" w:lastRow="0" w:noHBand="0" w:noVBand="1" w:val="04A0"/>
      </w:tblPr>
      <w:tblGrid>
        <w:gridCol w:w="4968"/>
        <w:gridCol w:w="4968"/>
      </w:tblGrid>
      <w:tr>
        <w:tc>
          <w:tcPr>
            <w:tcW w:type="dxa" w:w="2592"/>
            <w:shd w:fill="D8F3EF"/>
            <w:vAlign w:val="center"/>
            <w:tcMar>
              <w:top w:w="90" w:type="dxa"/>
              <w:start w:w="100" w:type="dxa"/>
              <w:bottom w:w="90" w:type="dxa"/>
              <w:end w:w="100" w:type="dxa"/>
            </w:tcMar>
          </w:tcPr>
          <w:p>
            <w:r>
              <w:rPr>
                <w:b/>
              </w:rPr>
              <w:t>Purpose</w:t>
            </w:r>
          </w:p>
        </w:tc>
        <w:tc>
          <w:tcPr>
            <w:tcW w:type="dxa" w:w="7056"/>
            <w:vAlign w:val="center"/>
            <w:tcMar>
              <w:top w:w="90" w:type="dxa"/>
              <w:start w:w="100" w:type="dxa"/>
              <w:bottom w:w="90" w:type="dxa"/>
              <w:end w:w="100" w:type="dxa"/>
            </w:tcMar>
          </w:tcPr>
          <w:p>
            <w:r>
              <w:t>Build practical understanding of container isolation, image security, least privilege, runtime hardening, and secret handling.</w:t>
            </w:r>
          </w:p>
        </w:tc>
      </w:tr>
      <w:tr>
        <w:tc>
          <w:tcPr>
            <w:tcW w:type="dxa" w:w="2592"/>
            <w:shd w:fill="D8F3EF"/>
            <w:vAlign w:val="center"/>
            <w:tcMar>
              <w:top w:w="90" w:type="dxa"/>
              <w:start w:w="100" w:type="dxa"/>
              <w:bottom w:w="90" w:type="dxa"/>
              <w:end w:w="100" w:type="dxa"/>
            </w:tcMar>
          </w:tcPr>
          <w:p>
            <w:r>
              <w:rPr>
                <w:b/>
              </w:rPr>
              <w:t>Audience</w:t>
            </w:r>
          </w:p>
        </w:tc>
        <w:tc>
          <w:tcPr>
            <w:tcW w:type="dxa" w:w="7056"/>
            <w:vAlign w:val="center"/>
            <w:tcMar>
              <w:top w:w="90" w:type="dxa"/>
              <w:start w:w="100" w:type="dxa"/>
              <w:bottom w:w="90" w:type="dxa"/>
              <w:end w:w="100" w:type="dxa"/>
            </w:tcMar>
          </w:tcPr>
          <w:p>
            <w:r>
              <w:t>Learners, developers, DevOps engineers, SREs, platform engineers, and defenders responsible for containerized workloads.</w:t>
            </w:r>
          </w:p>
        </w:tc>
      </w:tr>
      <w:tr>
        <w:tc>
          <w:tcPr>
            <w:tcW w:type="dxa" w:w="2592"/>
            <w:shd w:fill="D8F3EF"/>
            <w:vAlign w:val="center"/>
            <w:tcMar>
              <w:top w:w="90" w:type="dxa"/>
              <w:start w:w="100" w:type="dxa"/>
              <w:bottom w:w="90" w:type="dxa"/>
              <w:end w:w="100" w:type="dxa"/>
            </w:tcMar>
          </w:tcPr>
          <w:p>
            <w:r>
              <w:rPr>
                <w:b/>
              </w:rPr>
              <w:t>Approach</w:t>
            </w:r>
          </w:p>
        </w:tc>
        <w:tc>
          <w:tcPr>
            <w:tcW w:type="dxa" w:w="7056"/>
            <w:vAlign w:val="center"/>
            <w:tcMar>
              <w:top w:w="90" w:type="dxa"/>
              <w:start w:w="100" w:type="dxa"/>
              <w:bottom w:w="90" w:type="dxa"/>
              <w:end w:w="100" w:type="dxa"/>
            </w:tcMar>
          </w:tcPr>
          <w:p>
            <w:r>
              <w:t>Focus on security architecture, safe deployment defaults, and platform hardening rather than offensive escape techniques.</w:t>
            </w:r>
          </w:p>
        </w:tc>
      </w:tr>
      <w:tr>
        <w:tc>
          <w:tcPr>
            <w:tcW w:type="dxa" w:w="2592"/>
            <w:shd w:fill="D8F3EF"/>
            <w:vAlign w:val="center"/>
            <w:tcMar>
              <w:top w:w="90" w:type="dxa"/>
              <w:start w:w="100" w:type="dxa"/>
              <w:bottom w:w="90" w:type="dxa"/>
              <w:end w:w="100" w:type="dxa"/>
            </w:tcMar>
          </w:tcPr>
          <w:p>
            <w:r>
              <w:rPr>
                <w:b/>
              </w:rPr>
              <w:t>Important note</w:t>
            </w:r>
          </w:p>
        </w:tc>
        <w:tc>
          <w:tcPr>
            <w:tcW w:type="dxa" w:w="7056"/>
            <w:vAlign w:val="center"/>
            <w:tcMar>
              <w:top w:w="90" w:type="dxa"/>
              <w:start w:w="100" w:type="dxa"/>
              <w:bottom w:w="90" w:type="dxa"/>
              <w:end w:w="100" w:type="dxa"/>
            </w:tcMar>
          </w:tcPr>
          <w:p>
            <w:r>
              <w:t>Containers improve packaging and deployment, but they do not remove the need for host hardening, patching, identity control, and secure supply-chain practices.</w:t>
            </w:r>
          </w:p>
        </w:tc>
      </w:tr>
    </w:tbl>
    <w:p>
      <w:pPr>
        <w:pStyle w:val="Heading1"/>
      </w:pPr>
      <w:r>
        <w:t>How to Use This Guide</w:t>
      </w:r>
    </w:p>
    <w:p>
      <w:pPr>
        <w:pStyle w:val="ListBullet"/>
        <w:spacing w:after="40"/>
      </w:pPr>
      <w:r>
        <w:t>Treat container security as a layered model: image security, runtime hardening, orchestration controls, host security, and supply-chain trust.</w:t>
      </w:r>
    </w:p>
    <w:p>
      <w:pPr>
        <w:pStyle w:val="ListBullet"/>
        <w:spacing w:after="40"/>
      </w:pPr>
      <w:r>
        <w:t>Ask what the container can access, what the process can do, what the filesystem allows, and what happens if the application is compromised.</w:t>
      </w:r>
    </w:p>
    <w:p>
      <w:pPr>
        <w:pStyle w:val="ListBullet"/>
        <w:spacing w:after="40"/>
      </w:pPr>
      <w:r>
        <w:t>Remember that the strongest control is often reduction: smaller images, fewer packages, fewer capabilities, fewer writable paths, and fewer secrets.</w:t>
      </w:r>
    </w:p>
    <w:p>
      <w:pPr>
        <w:pStyle w:val="ListBullet"/>
        <w:spacing w:after="40"/>
      </w:pPr>
      <w:r>
        <w:t>When reviewing a deployment, assume the workload may eventually be exploited and design to limit blast radius.</w:t>
      </w:r>
    </w:p>
    <w:p>
      <w:pPr>
        <w:pStyle w:val="Heading1"/>
      </w:pPr>
      <w:r>
        <w:t>Curriculum Map</w:t>
      </w:r>
    </w:p>
    <w:tbl>
      <w:tblPr>
        <w:tblStyle w:val="TableGrid"/>
        <w:tblW w:type="auto" w:w="0"/>
        <w:jc w:val="center"/>
        <w:tblLayout w:type="fixed"/>
        <w:tblLook w:firstColumn="1" w:firstRow="1" w:lastColumn="0" w:lastRow="0" w:noHBand="0" w:noVBand="1" w:val="04A0"/>
      </w:tblPr>
      <w:tblGrid>
        <w:gridCol w:w="720"/>
        <w:gridCol w:w="3312"/>
        <w:gridCol w:w="5616"/>
      </w:tblGrid>
      <w:tr>
        <w:tc>
          <w:tcPr>
            <w:tcW w:type="dxa" w:w="3312"/>
            <w:shd w:fill="00695C"/>
          </w:tcPr>
          <w:p>
            <w:pPr>
              <w:jc w:val="center"/>
            </w:pPr>
            <w:r>
              <w:rPr>
                <w:b/>
                <w:color w:val="FFFFFF"/>
              </w:rPr>
              <w:t>#</w:t>
            </w:r>
          </w:p>
        </w:tc>
        <w:tc>
          <w:tcPr>
            <w:tcW w:type="dxa" w:w="3312"/>
            <w:shd w:fill="00695C"/>
          </w:tcPr>
          <w:p>
            <w:pPr>
              <w:jc w:val="center"/>
            </w:pPr>
            <w:r>
              <w:rPr>
                <w:b/>
                <w:color w:val="FFFFFF"/>
              </w:rPr>
              <w:t>Module</w:t>
            </w:r>
          </w:p>
        </w:tc>
        <w:tc>
          <w:tcPr>
            <w:tcW w:type="dxa" w:w="3312"/>
            <w:shd w:fill="00695C"/>
          </w:tcPr>
          <w:p>
            <w:pPr>
              <w:jc w:val="center"/>
            </w:pPr>
            <w:r>
              <w:rPr>
                <w:b/>
                <w:color w:val="FFFFFF"/>
              </w:rPr>
              <w:t>Focus</w:t>
            </w:r>
          </w:p>
        </w:tc>
      </w:tr>
      <w:tr>
        <w:tc>
          <w:tcPr>
            <w:tcW w:type="dxa" w:w="720"/>
            <w:tcMar>
              <w:top w:w="90" w:type="dxa"/>
              <w:start w:w="100" w:type="dxa"/>
              <w:bottom w:w="90" w:type="dxa"/>
              <w:end w:w="100" w:type="dxa"/>
            </w:tcMar>
          </w:tcPr>
          <w:p>
            <w:pPr>
              <w:jc w:val="center"/>
            </w:pPr>
            <w:r>
              <w:t>1</w:t>
            </w:r>
          </w:p>
        </w:tc>
        <w:tc>
          <w:tcPr>
            <w:tcW w:type="dxa" w:w="3312"/>
            <w:tcMar>
              <w:top w:w="90" w:type="dxa"/>
              <w:start w:w="100" w:type="dxa"/>
              <w:bottom w:w="90" w:type="dxa"/>
              <w:end w:w="100" w:type="dxa"/>
            </w:tcMar>
          </w:tcPr>
          <w:p>
            <w:r>
              <w:t>1. Container basics</w:t>
            </w:r>
          </w:p>
        </w:tc>
        <w:tc>
          <w:tcPr>
            <w:tcW w:type="dxa" w:w="5616"/>
            <w:tcMar>
              <w:top w:w="90" w:type="dxa"/>
              <w:start w:w="100" w:type="dxa"/>
              <w:bottom w:w="90" w:type="dxa"/>
              <w:end w:w="100" w:type="dxa"/>
            </w:tcMar>
          </w:tcPr>
          <w:p>
            <w:r>
              <w:t>Namespaces, cgroups, and what isolation really means.</w:t>
            </w:r>
          </w:p>
        </w:tc>
      </w:tr>
      <w:tr>
        <w:tc>
          <w:tcPr>
            <w:tcW w:type="dxa" w:w="720"/>
            <w:tcMar>
              <w:top w:w="90" w:type="dxa"/>
              <w:start w:w="100" w:type="dxa"/>
              <w:bottom w:w="90" w:type="dxa"/>
              <w:end w:w="100" w:type="dxa"/>
            </w:tcMar>
          </w:tcPr>
          <w:p>
            <w:pPr>
              <w:jc w:val="center"/>
            </w:pPr>
            <w:r>
              <w:t>2</w:t>
            </w:r>
          </w:p>
        </w:tc>
        <w:tc>
          <w:tcPr>
            <w:tcW w:type="dxa" w:w="3312"/>
            <w:tcMar>
              <w:top w:w="90" w:type="dxa"/>
              <w:start w:w="100" w:type="dxa"/>
              <w:bottom w:w="90" w:type="dxa"/>
              <w:end w:w="100" w:type="dxa"/>
            </w:tcMar>
          </w:tcPr>
          <w:p>
            <w:r>
              <w:t>2. Containers versus VMs</w:t>
            </w:r>
          </w:p>
        </w:tc>
        <w:tc>
          <w:tcPr>
            <w:tcW w:type="dxa" w:w="5616"/>
            <w:tcMar>
              <w:top w:w="90" w:type="dxa"/>
              <w:start w:w="100" w:type="dxa"/>
              <w:bottom w:w="90" w:type="dxa"/>
              <w:end w:w="100" w:type="dxa"/>
            </w:tcMar>
          </w:tcPr>
          <w:p>
            <w:r>
              <w:t>Shared kernel implications and isolation differences.</w:t>
            </w:r>
          </w:p>
        </w:tc>
      </w:tr>
      <w:tr>
        <w:tc>
          <w:tcPr>
            <w:tcW w:type="dxa" w:w="720"/>
            <w:tcMar>
              <w:top w:w="90" w:type="dxa"/>
              <w:start w:w="100" w:type="dxa"/>
              <w:bottom w:w="90" w:type="dxa"/>
              <w:end w:w="100" w:type="dxa"/>
            </w:tcMar>
          </w:tcPr>
          <w:p>
            <w:pPr>
              <w:jc w:val="center"/>
            </w:pPr>
            <w:r>
              <w:t>3</w:t>
            </w:r>
          </w:p>
        </w:tc>
        <w:tc>
          <w:tcPr>
            <w:tcW w:type="dxa" w:w="3312"/>
            <w:tcMar>
              <w:top w:w="90" w:type="dxa"/>
              <w:start w:w="100" w:type="dxa"/>
              <w:bottom w:w="90" w:type="dxa"/>
              <w:end w:w="100" w:type="dxa"/>
            </w:tcMar>
          </w:tcPr>
          <w:p>
            <w:r>
              <w:t>3. Image security</w:t>
            </w:r>
          </w:p>
        </w:tc>
        <w:tc>
          <w:tcPr>
            <w:tcW w:type="dxa" w:w="5616"/>
            <w:tcMar>
              <w:top w:w="90" w:type="dxa"/>
              <w:start w:w="100" w:type="dxa"/>
              <w:bottom w:w="90" w:type="dxa"/>
              <w:end w:w="100" w:type="dxa"/>
            </w:tcMar>
          </w:tcPr>
          <w:p>
            <w:r>
              <w:t>Minimal bases, scanning, signing, and digest pinning.</w:t>
            </w:r>
          </w:p>
        </w:tc>
      </w:tr>
      <w:tr>
        <w:tc>
          <w:tcPr>
            <w:tcW w:type="dxa" w:w="720"/>
            <w:tcMar>
              <w:top w:w="90" w:type="dxa"/>
              <w:start w:w="100" w:type="dxa"/>
              <w:bottom w:w="90" w:type="dxa"/>
              <w:end w:w="100" w:type="dxa"/>
            </w:tcMar>
          </w:tcPr>
          <w:p>
            <w:pPr>
              <w:jc w:val="center"/>
            </w:pPr>
            <w:r>
              <w:t>4</w:t>
            </w:r>
          </w:p>
        </w:tc>
        <w:tc>
          <w:tcPr>
            <w:tcW w:type="dxa" w:w="3312"/>
            <w:tcMar>
              <w:top w:w="90" w:type="dxa"/>
              <w:start w:w="100" w:type="dxa"/>
              <w:bottom w:w="90" w:type="dxa"/>
              <w:end w:w="100" w:type="dxa"/>
            </w:tcMar>
          </w:tcPr>
          <w:p>
            <w:r>
              <w:t>4. Identity and privilege</w:t>
            </w:r>
          </w:p>
        </w:tc>
        <w:tc>
          <w:tcPr>
            <w:tcW w:type="dxa" w:w="5616"/>
            <w:tcMar>
              <w:top w:w="90" w:type="dxa"/>
              <w:start w:w="100" w:type="dxa"/>
              <w:bottom w:w="90" w:type="dxa"/>
              <w:end w:w="100" w:type="dxa"/>
            </w:tcMar>
          </w:tcPr>
          <w:p>
            <w:r>
              <w:t>Running as non-root and rootless containers.</w:t>
            </w:r>
          </w:p>
        </w:tc>
      </w:tr>
      <w:tr>
        <w:tc>
          <w:tcPr>
            <w:tcW w:type="dxa" w:w="720"/>
            <w:tcMar>
              <w:top w:w="90" w:type="dxa"/>
              <w:start w:w="100" w:type="dxa"/>
              <w:bottom w:w="90" w:type="dxa"/>
              <w:end w:w="100" w:type="dxa"/>
            </w:tcMar>
          </w:tcPr>
          <w:p>
            <w:pPr>
              <w:jc w:val="center"/>
            </w:pPr>
            <w:r>
              <w:t>5</w:t>
            </w:r>
          </w:p>
        </w:tc>
        <w:tc>
          <w:tcPr>
            <w:tcW w:type="dxa" w:w="3312"/>
            <w:tcMar>
              <w:top w:w="90" w:type="dxa"/>
              <w:start w:w="100" w:type="dxa"/>
              <w:bottom w:w="90" w:type="dxa"/>
              <w:end w:w="100" w:type="dxa"/>
            </w:tcMar>
          </w:tcPr>
          <w:p>
            <w:r>
              <w:t>5. Filesystem controls</w:t>
            </w:r>
          </w:p>
        </w:tc>
        <w:tc>
          <w:tcPr>
            <w:tcW w:type="dxa" w:w="5616"/>
            <w:tcMar>
              <w:top w:w="90" w:type="dxa"/>
              <w:start w:w="100" w:type="dxa"/>
              <w:bottom w:w="90" w:type="dxa"/>
              <w:end w:w="100" w:type="dxa"/>
            </w:tcMar>
          </w:tcPr>
          <w:p>
            <w:r>
              <w:t>Read-only root filesystems and controlled write paths.</w:t>
            </w:r>
          </w:p>
        </w:tc>
      </w:tr>
      <w:tr>
        <w:tc>
          <w:tcPr>
            <w:tcW w:type="dxa" w:w="720"/>
            <w:tcMar>
              <w:top w:w="90" w:type="dxa"/>
              <w:start w:w="100" w:type="dxa"/>
              <w:bottom w:w="90" w:type="dxa"/>
              <w:end w:w="100" w:type="dxa"/>
            </w:tcMar>
          </w:tcPr>
          <w:p>
            <w:pPr>
              <w:jc w:val="center"/>
            </w:pPr>
            <w:r>
              <w:t>6</w:t>
            </w:r>
          </w:p>
        </w:tc>
        <w:tc>
          <w:tcPr>
            <w:tcW w:type="dxa" w:w="3312"/>
            <w:tcMar>
              <w:top w:w="90" w:type="dxa"/>
              <w:start w:w="100" w:type="dxa"/>
              <w:bottom w:w="90" w:type="dxa"/>
              <w:end w:w="100" w:type="dxa"/>
            </w:tcMar>
          </w:tcPr>
          <w:p>
            <w:r>
              <w:t>6. Capability reduction</w:t>
            </w:r>
          </w:p>
        </w:tc>
        <w:tc>
          <w:tcPr>
            <w:tcW w:type="dxa" w:w="5616"/>
            <w:tcMar>
              <w:top w:w="90" w:type="dxa"/>
              <w:start w:w="100" w:type="dxa"/>
              <w:bottom w:w="90" w:type="dxa"/>
              <w:end w:w="100" w:type="dxa"/>
            </w:tcMar>
          </w:tcPr>
          <w:p>
            <w:r>
              <w:t>Dropping Linux capabilities and avoiding privileged mode.</w:t>
            </w:r>
          </w:p>
        </w:tc>
      </w:tr>
      <w:tr>
        <w:tc>
          <w:tcPr>
            <w:tcW w:type="dxa" w:w="720"/>
            <w:tcMar>
              <w:top w:w="90" w:type="dxa"/>
              <w:start w:w="100" w:type="dxa"/>
              <w:bottom w:w="90" w:type="dxa"/>
              <w:end w:w="100" w:type="dxa"/>
            </w:tcMar>
          </w:tcPr>
          <w:p>
            <w:pPr>
              <w:jc w:val="center"/>
            </w:pPr>
            <w:r>
              <w:t>7</w:t>
            </w:r>
          </w:p>
        </w:tc>
        <w:tc>
          <w:tcPr>
            <w:tcW w:type="dxa" w:w="3312"/>
            <w:tcMar>
              <w:top w:w="90" w:type="dxa"/>
              <w:start w:w="100" w:type="dxa"/>
              <w:bottom w:w="90" w:type="dxa"/>
              <w:end w:w="100" w:type="dxa"/>
            </w:tcMar>
          </w:tcPr>
          <w:p>
            <w:r>
              <w:t>7. Runtime confinement</w:t>
            </w:r>
          </w:p>
        </w:tc>
        <w:tc>
          <w:tcPr>
            <w:tcW w:type="dxa" w:w="5616"/>
            <w:tcMar>
              <w:top w:w="90" w:type="dxa"/>
              <w:start w:w="100" w:type="dxa"/>
              <w:bottom w:w="90" w:type="dxa"/>
              <w:end w:w="100" w:type="dxa"/>
            </w:tcMar>
          </w:tcPr>
          <w:p>
            <w:r>
              <w:t>Seccomp, AppArmor, and SELinux.</w:t>
            </w:r>
          </w:p>
        </w:tc>
      </w:tr>
      <w:tr>
        <w:tc>
          <w:tcPr>
            <w:tcW w:type="dxa" w:w="720"/>
            <w:tcMar>
              <w:top w:w="90" w:type="dxa"/>
              <w:start w:w="100" w:type="dxa"/>
              <w:bottom w:w="90" w:type="dxa"/>
              <w:end w:w="100" w:type="dxa"/>
            </w:tcMar>
          </w:tcPr>
          <w:p>
            <w:pPr>
              <w:jc w:val="center"/>
            </w:pPr>
            <w:r>
              <w:t>8</w:t>
            </w:r>
          </w:p>
        </w:tc>
        <w:tc>
          <w:tcPr>
            <w:tcW w:type="dxa" w:w="3312"/>
            <w:tcMar>
              <w:top w:w="90" w:type="dxa"/>
              <w:start w:w="100" w:type="dxa"/>
              <w:bottom w:w="90" w:type="dxa"/>
              <w:end w:w="100" w:type="dxa"/>
            </w:tcMar>
          </w:tcPr>
          <w:p>
            <w:r>
              <w:t>8. Secret handling</w:t>
            </w:r>
          </w:p>
        </w:tc>
        <w:tc>
          <w:tcPr>
            <w:tcW w:type="dxa" w:w="5616"/>
            <w:tcMar>
              <w:top w:w="90" w:type="dxa"/>
              <w:start w:w="100" w:type="dxa"/>
              <w:bottom w:w="90" w:type="dxa"/>
              <w:end w:w="100" w:type="dxa"/>
            </w:tcMar>
          </w:tcPr>
          <w:p>
            <w:r>
              <w:t>Why secrets must not be baked into images.</w:t>
            </w:r>
          </w:p>
        </w:tc>
      </w:tr>
      <w:tr>
        <w:tc>
          <w:tcPr>
            <w:tcW w:type="dxa" w:w="720"/>
            <w:tcMar>
              <w:top w:w="90" w:type="dxa"/>
              <w:start w:w="100" w:type="dxa"/>
              <w:bottom w:w="90" w:type="dxa"/>
              <w:end w:w="100" w:type="dxa"/>
            </w:tcMar>
          </w:tcPr>
          <w:p>
            <w:pPr>
              <w:jc w:val="center"/>
            </w:pPr>
            <w:r>
              <w:t>9</w:t>
            </w:r>
          </w:p>
        </w:tc>
        <w:tc>
          <w:tcPr>
            <w:tcW w:type="dxa" w:w="3312"/>
            <w:tcMar>
              <w:top w:w="90" w:type="dxa"/>
              <w:start w:w="100" w:type="dxa"/>
              <w:bottom w:w="90" w:type="dxa"/>
              <w:end w:w="100" w:type="dxa"/>
            </w:tcMar>
          </w:tcPr>
          <w:p>
            <w:r>
              <w:t>9. Practical hardening checklist</w:t>
            </w:r>
          </w:p>
        </w:tc>
        <w:tc>
          <w:tcPr>
            <w:tcW w:type="dxa" w:w="5616"/>
            <w:tcMar>
              <w:top w:w="90" w:type="dxa"/>
              <w:start w:w="100" w:type="dxa"/>
              <w:bottom w:w="90" w:type="dxa"/>
              <w:end w:w="100" w:type="dxa"/>
            </w:tcMar>
          </w:tcPr>
          <w:p>
            <w:r>
              <w:t>Safer defaults for real deployments.</w:t>
            </w:r>
          </w:p>
        </w:tc>
      </w:tr>
    </w:tbl>
    <w:p>
      <w:pPr>
        <w:pStyle w:val="Heading1"/>
      </w:pPr>
      <w:r>
        <w:t>1. Container Basics: Namespaces and cgroups</w:t>
      </w:r>
    </w:p>
    <w:p>
      <w:r>
        <w:rPr>
          <w:b/>
        </w:rPr>
        <w:t xml:space="preserve">Overview: </w:t>
      </w:r>
      <w:r>
        <w:t>Containers are isolated process environments built primarily from Linux kernel features such as namespaces and control groups rather than from a separate guest operating system kernel.</w:t>
      </w:r>
    </w:p>
    <w:p>
      <w:r>
        <w:rPr>
          <w:b/>
        </w:rPr>
        <w:t xml:space="preserve">Why it matters: </w:t>
      </w:r>
      <w:r>
        <w:t>Understanding the underlying mechanisms makes it easier to reason about what containers isolate well, what they do not isolate completely, and which runtime settings really change risk.</w:t>
      </w:r>
    </w:p>
    <w:p>
      <w:pPr>
        <w:pStyle w:val="Heading2"/>
      </w:pPr>
      <w:r>
        <w:t>1.1 Namespaces</w:t>
      </w:r>
    </w:p>
    <w:p>
      <w:r>
        <w:t>Namespaces provide process-level isolation by giving a group of processes its own view of particular system resources.</w:t>
      </w:r>
    </w:p>
    <w:tbl>
      <w:tblPr>
        <w:tblStyle w:val="TableGrid"/>
        <w:tblW w:type="auto" w:w="0"/>
        <w:jc w:val="center"/>
        <w:tblLayout w:type="fixed"/>
        <w:tblLook w:firstColumn="1" w:firstRow="1" w:lastColumn="0" w:lastRow="0" w:noHBand="0" w:noVBand="1" w:val="04A0"/>
      </w:tblPr>
      <w:tblGrid>
        <w:gridCol w:w="1440"/>
        <w:gridCol w:w="2016"/>
        <w:gridCol w:w="5760"/>
      </w:tblGrid>
      <w:tr>
        <w:tc>
          <w:tcPr>
            <w:tcW w:type="dxa" w:w="3312"/>
            <w:shd w:fill="D8F3EF"/>
          </w:tcPr>
          <w:p>
            <w:r>
              <w:rPr>
                <w:b/>
              </w:rPr>
              <w:t>Namespace</w:t>
            </w:r>
          </w:p>
        </w:tc>
        <w:tc>
          <w:tcPr>
            <w:tcW w:type="dxa" w:w="3312"/>
            <w:shd w:fill="D8F3EF"/>
          </w:tcPr>
          <w:p>
            <w:r>
              <w:rPr>
                <w:b/>
              </w:rPr>
              <w:t>What it isolates</w:t>
            </w:r>
          </w:p>
        </w:tc>
        <w:tc>
          <w:tcPr>
            <w:tcW w:type="dxa" w:w="3312"/>
            <w:shd w:fill="D8F3EF"/>
          </w:tcPr>
          <w:p>
            <w:r>
              <w:rPr>
                <w:b/>
              </w:rPr>
              <w:t>Why it matters</w:t>
            </w:r>
          </w:p>
        </w:tc>
      </w:tr>
      <w:tr>
        <w:tc>
          <w:tcPr>
            <w:tcW w:type="dxa" w:w="1440"/>
            <w:tcMar>
              <w:top w:w="90" w:type="dxa"/>
              <w:start w:w="100" w:type="dxa"/>
              <w:bottom w:w="90" w:type="dxa"/>
              <w:end w:w="100" w:type="dxa"/>
            </w:tcMar>
          </w:tcPr>
          <w:p>
            <w:r>
              <w:t>PID</w:t>
            </w:r>
          </w:p>
        </w:tc>
        <w:tc>
          <w:tcPr>
            <w:tcW w:type="dxa" w:w="2016"/>
            <w:tcMar>
              <w:top w:w="90" w:type="dxa"/>
              <w:start w:w="100" w:type="dxa"/>
              <w:bottom w:w="90" w:type="dxa"/>
              <w:end w:w="100" w:type="dxa"/>
            </w:tcMar>
          </w:tcPr>
          <w:p>
            <w:r>
              <w:t>Process IDs and process tree view</w:t>
            </w:r>
          </w:p>
        </w:tc>
        <w:tc>
          <w:tcPr>
            <w:tcW w:type="dxa" w:w="5760"/>
            <w:tcMar>
              <w:top w:w="90" w:type="dxa"/>
              <w:start w:w="100" w:type="dxa"/>
              <w:bottom w:w="90" w:type="dxa"/>
              <w:end w:w="100" w:type="dxa"/>
            </w:tcMar>
          </w:tcPr>
          <w:p>
            <w:r>
              <w:t>Processes in one container need not see host or other container processes the same way</w:t>
            </w:r>
          </w:p>
        </w:tc>
      </w:tr>
      <w:tr>
        <w:tc>
          <w:tcPr>
            <w:tcW w:type="dxa" w:w="1440"/>
            <w:tcMar>
              <w:top w:w="90" w:type="dxa"/>
              <w:start w:w="100" w:type="dxa"/>
              <w:bottom w:w="90" w:type="dxa"/>
              <w:end w:w="100" w:type="dxa"/>
            </w:tcMar>
          </w:tcPr>
          <w:p>
            <w:r>
              <w:t>NET</w:t>
            </w:r>
          </w:p>
        </w:tc>
        <w:tc>
          <w:tcPr>
            <w:tcW w:type="dxa" w:w="2016"/>
            <w:tcMar>
              <w:top w:w="90" w:type="dxa"/>
              <w:start w:w="100" w:type="dxa"/>
              <w:bottom w:w="90" w:type="dxa"/>
              <w:end w:w="100" w:type="dxa"/>
            </w:tcMar>
          </w:tcPr>
          <w:p>
            <w:r>
              <w:t>Network stack view</w:t>
            </w:r>
          </w:p>
        </w:tc>
        <w:tc>
          <w:tcPr>
            <w:tcW w:type="dxa" w:w="5760"/>
            <w:tcMar>
              <w:top w:w="90" w:type="dxa"/>
              <w:start w:w="100" w:type="dxa"/>
              <w:bottom w:w="90" w:type="dxa"/>
              <w:end w:w="100" w:type="dxa"/>
            </w:tcMar>
          </w:tcPr>
          <w:p>
            <w:r>
              <w:t>Containers can have their own interfaces, routes, and port space</w:t>
            </w:r>
          </w:p>
        </w:tc>
      </w:tr>
      <w:tr>
        <w:tc>
          <w:tcPr>
            <w:tcW w:type="dxa" w:w="1440"/>
            <w:tcMar>
              <w:top w:w="90" w:type="dxa"/>
              <w:start w:w="100" w:type="dxa"/>
              <w:bottom w:w="90" w:type="dxa"/>
              <w:end w:w="100" w:type="dxa"/>
            </w:tcMar>
          </w:tcPr>
          <w:p>
            <w:r>
              <w:t>MNT</w:t>
            </w:r>
          </w:p>
        </w:tc>
        <w:tc>
          <w:tcPr>
            <w:tcW w:type="dxa" w:w="2016"/>
            <w:tcMar>
              <w:top w:w="90" w:type="dxa"/>
              <w:start w:w="100" w:type="dxa"/>
              <w:bottom w:w="90" w:type="dxa"/>
              <w:end w:w="100" w:type="dxa"/>
            </w:tcMar>
          </w:tcPr>
          <w:p>
            <w:r>
              <w:t>Mount points and filesystem view</w:t>
            </w:r>
          </w:p>
        </w:tc>
        <w:tc>
          <w:tcPr>
            <w:tcW w:type="dxa" w:w="5760"/>
            <w:tcMar>
              <w:top w:w="90" w:type="dxa"/>
              <w:start w:w="100" w:type="dxa"/>
              <w:bottom w:w="90" w:type="dxa"/>
              <w:end w:w="100" w:type="dxa"/>
            </w:tcMar>
          </w:tcPr>
          <w:p>
            <w:r>
              <w:t>Controls what filesystems and paths are visible inside the container</w:t>
            </w:r>
          </w:p>
        </w:tc>
      </w:tr>
      <w:tr>
        <w:tc>
          <w:tcPr>
            <w:tcW w:type="dxa" w:w="1440"/>
            <w:tcMar>
              <w:top w:w="90" w:type="dxa"/>
              <w:start w:w="100" w:type="dxa"/>
              <w:bottom w:w="90" w:type="dxa"/>
              <w:end w:w="100" w:type="dxa"/>
            </w:tcMar>
          </w:tcPr>
          <w:p>
            <w:r>
              <w:t>USER</w:t>
            </w:r>
          </w:p>
        </w:tc>
        <w:tc>
          <w:tcPr>
            <w:tcW w:type="dxa" w:w="2016"/>
            <w:tcMar>
              <w:top w:w="90" w:type="dxa"/>
              <w:start w:w="100" w:type="dxa"/>
              <w:bottom w:w="90" w:type="dxa"/>
              <w:end w:w="100" w:type="dxa"/>
            </w:tcMar>
          </w:tcPr>
          <w:p>
            <w:r>
              <w:t>User and group ID mappings</w:t>
            </w:r>
          </w:p>
        </w:tc>
        <w:tc>
          <w:tcPr>
            <w:tcW w:type="dxa" w:w="5760"/>
            <w:tcMar>
              <w:top w:w="90" w:type="dxa"/>
              <w:start w:w="100" w:type="dxa"/>
              <w:bottom w:w="90" w:type="dxa"/>
              <w:end w:w="100" w:type="dxa"/>
            </w:tcMar>
          </w:tcPr>
          <w:p>
            <w:r>
              <w:t>Supports mapped identities and stronger separation in some setups</w:t>
            </w:r>
          </w:p>
        </w:tc>
      </w:tr>
    </w:tbl>
    <w:p>
      <w:pPr>
        <w:pStyle w:val="Heading2"/>
      </w:pPr>
      <w:r>
        <w:t>1.2 cgroups</w:t>
      </w:r>
    </w:p>
    <w:p>
      <w:r>
        <w:t>Control groups, or cgroups, limit and account for resources such as CPU, memory, and process count. They do not provide confidentiality by themselves, but they are important for containment, stability, and multi-tenant safety.</w:t>
      </w:r>
    </w:p>
    <w:p>
      <w:pPr>
        <w:pStyle w:val="Heading2"/>
      </w:pPr>
      <w:r>
        <w:t>1.3 Practical intuition</w:t>
      </w:r>
    </w:p>
    <w:p>
      <w:pPr>
        <w:pStyle w:val="ListBullet"/>
        <w:spacing w:after="40"/>
      </w:pPr>
      <w:r>
        <w:t>Namespaces define what a process can see.</w:t>
      </w:r>
    </w:p>
    <w:p>
      <w:pPr>
        <w:pStyle w:val="ListBullet"/>
        <w:spacing w:after="40"/>
      </w:pPr>
      <w:r>
        <w:t>cgroups define how much of the machine a process can consume.</w:t>
      </w:r>
    </w:p>
    <w:p>
      <w:pPr>
        <w:pStyle w:val="ListBullet"/>
        <w:spacing w:after="40"/>
      </w:pPr>
      <w:r>
        <w:t>Neither by itself guarantees VM-like isolation.</w:t>
      </w:r>
    </w:p>
    <w:p>
      <w:pPr>
        <w:pStyle w:val="Heading1"/>
      </w:pPr>
      <w:r>
        <w:t>2. Containers Are Not Virtual Machines</w:t>
      </w:r>
    </w:p>
    <w:p>
      <w:r>
        <w:rPr>
          <w:b/>
        </w:rPr>
        <w:t xml:space="preserve">Overview: </w:t>
      </w:r>
      <w:r>
        <w:t>Containers package applications differently from virtual machines. They share the host kernel instead of booting a separate guest kernel.</w:t>
      </w:r>
    </w:p>
    <w:p>
      <w:r>
        <w:rPr>
          <w:b/>
        </w:rPr>
        <w:t xml:space="preserve">Why it matters: </w:t>
      </w:r>
      <w:r>
        <w:t>This shared-kernel model is efficient and fast, but it means the isolation boundary is generally weaker than a full VM boundary.</w:t>
      </w:r>
    </w:p>
    <w:tbl>
      <w:tblPr>
        <w:tblStyle w:val="TableGrid"/>
        <w:tblW w:type="auto" w:w="0"/>
        <w:jc w:val="center"/>
        <w:tblLayout w:type="fixed"/>
        <w:tblLook w:firstColumn="1" w:firstRow="1" w:lastColumn="0" w:lastRow="0" w:noHBand="0" w:noVBand="1" w:val="04A0"/>
      </w:tblPr>
      <w:tblGrid>
        <w:gridCol w:w="2448"/>
        <w:gridCol w:w="3312"/>
        <w:gridCol w:w="3888"/>
      </w:tblGrid>
      <w:tr>
        <w:tc>
          <w:tcPr>
            <w:tcW w:type="dxa" w:w="3312"/>
            <w:shd w:fill="D8F3EF"/>
          </w:tcPr>
          <w:p>
            <w:r>
              <w:rPr>
                <w:b/>
              </w:rPr>
              <w:t>Aspect</w:t>
            </w:r>
          </w:p>
        </w:tc>
        <w:tc>
          <w:tcPr>
            <w:tcW w:type="dxa" w:w="3312"/>
            <w:shd w:fill="D8F3EF"/>
          </w:tcPr>
          <w:p>
            <w:r>
              <w:rPr>
                <w:b/>
              </w:rPr>
              <w:t>Container</w:t>
            </w:r>
          </w:p>
        </w:tc>
        <w:tc>
          <w:tcPr>
            <w:tcW w:type="dxa" w:w="3312"/>
            <w:shd w:fill="D8F3EF"/>
          </w:tcPr>
          <w:p>
            <w:r>
              <w:rPr>
                <w:b/>
              </w:rPr>
              <w:t>Virtual machine</w:t>
            </w:r>
          </w:p>
        </w:tc>
      </w:tr>
      <w:tr>
        <w:tc>
          <w:tcPr>
            <w:tcW w:type="dxa" w:w="2448"/>
            <w:tcMar>
              <w:top w:w="90" w:type="dxa"/>
              <w:start w:w="100" w:type="dxa"/>
              <w:bottom w:w="90" w:type="dxa"/>
              <w:end w:w="100" w:type="dxa"/>
            </w:tcMar>
          </w:tcPr>
          <w:p>
            <w:r>
              <w:t>Kernel</w:t>
            </w:r>
          </w:p>
        </w:tc>
        <w:tc>
          <w:tcPr>
            <w:tcW w:type="dxa" w:w="3312"/>
            <w:tcMar>
              <w:top w:w="90" w:type="dxa"/>
              <w:start w:w="100" w:type="dxa"/>
              <w:bottom w:w="90" w:type="dxa"/>
              <w:end w:w="100" w:type="dxa"/>
            </w:tcMar>
          </w:tcPr>
          <w:p>
            <w:r>
              <w:t>Shares host kernel</w:t>
            </w:r>
          </w:p>
        </w:tc>
        <w:tc>
          <w:tcPr>
            <w:tcW w:type="dxa" w:w="3888"/>
            <w:tcMar>
              <w:top w:w="90" w:type="dxa"/>
              <w:start w:w="100" w:type="dxa"/>
              <w:bottom w:w="90" w:type="dxa"/>
              <w:end w:w="100" w:type="dxa"/>
            </w:tcMar>
          </w:tcPr>
          <w:p>
            <w:r>
              <w:t>Runs guest OS kernel</w:t>
            </w:r>
          </w:p>
        </w:tc>
      </w:tr>
      <w:tr>
        <w:tc>
          <w:tcPr>
            <w:tcW w:type="dxa" w:w="2448"/>
            <w:tcMar>
              <w:top w:w="90" w:type="dxa"/>
              <w:start w:w="100" w:type="dxa"/>
              <w:bottom w:w="90" w:type="dxa"/>
              <w:end w:w="100" w:type="dxa"/>
            </w:tcMar>
          </w:tcPr>
          <w:p>
            <w:r>
              <w:t>Isolation boundary</w:t>
            </w:r>
          </w:p>
        </w:tc>
        <w:tc>
          <w:tcPr>
            <w:tcW w:type="dxa" w:w="3312"/>
            <w:tcMar>
              <w:top w:w="90" w:type="dxa"/>
              <w:start w:w="100" w:type="dxa"/>
              <w:bottom w:w="90" w:type="dxa"/>
              <w:end w:w="100" w:type="dxa"/>
            </w:tcMar>
          </w:tcPr>
          <w:p>
            <w:r>
              <w:t>Process-level kernel isolation</w:t>
            </w:r>
          </w:p>
        </w:tc>
        <w:tc>
          <w:tcPr>
            <w:tcW w:type="dxa" w:w="3888"/>
            <w:tcMar>
              <w:top w:w="90" w:type="dxa"/>
              <w:start w:w="100" w:type="dxa"/>
              <w:bottom w:w="90" w:type="dxa"/>
              <w:end w:w="100" w:type="dxa"/>
            </w:tcMar>
          </w:tcPr>
          <w:p>
            <w:r>
              <w:t>Hardware-assisted virtualization boundary</w:t>
            </w:r>
          </w:p>
        </w:tc>
      </w:tr>
      <w:tr>
        <w:tc>
          <w:tcPr>
            <w:tcW w:type="dxa" w:w="2448"/>
            <w:tcMar>
              <w:top w:w="90" w:type="dxa"/>
              <w:start w:w="100" w:type="dxa"/>
              <w:bottom w:w="90" w:type="dxa"/>
              <w:end w:w="100" w:type="dxa"/>
            </w:tcMar>
          </w:tcPr>
          <w:p>
            <w:r>
              <w:t>Overhead</w:t>
            </w:r>
          </w:p>
        </w:tc>
        <w:tc>
          <w:tcPr>
            <w:tcW w:type="dxa" w:w="3312"/>
            <w:tcMar>
              <w:top w:w="90" w:type="dxa"/>
              <w:start w:w="100" w:type="dxa"/>
              <w:bottom w:w="90" w:type="dxa"/>
              <w:end w:w="100" w:type="dxa"/>
            </w:tcMar>
          </w:tcPr>
          <w:p>
            <w:r>
              <w:t>Usually lighter and faster to start</w:t>
            </w:r>
          </w:p>
        </w:tc>
        <w:tc>
          <w:tcPr>
            <w:tcW w:type="dxa" w:w="3888"/>
            <w:tcMar>
              <w:top w:w="90" w:type="dxa"/>
              <w:start w:w="100" w:type="dxa"/>
              <w:bottom w:w="90" w:type="dxa"/>
              <w:end w:w="100" w:type="dxa"/>
            </w:tcMar>
          </w:tcPr>
          <w:p>
            <w:r>
              <w:t>Heavier but often stronger isolation</w:t>
            </w:r>
          </w:p>
        </w:tc>
      </w:tr>
    </w:tbl>
    <w:p>
      <w:r>
        <w:t>If a container process gains excessive privileges or reaches a kernel flaw, the shared host kernel becomes a much more relevant part of the risk story. That is why least privilege, kernel patching, and runtime controls matter so much in container security.</w:t>
      </w:r>
    </w:p>
    <w:p>
      <w:pPr>
        <w:pStyle w:val="ListBullet"/>
        <w:spacing w:after="40"/>
      </w:pPr>
      <w:r>
        <w:t>Do not assume 'in a container' means 'safe enough.'</w:t>
      </w:r>
    </w:p>
    <w:p>
      <w:pPr>
        <w:pStyle w:val="ListBullet"/>
        <w:spacing w:after="40"/>
      </w:pPr>
      <w:r>
        <w:t>Treat the host, runtime, and orchestrator as part of the security boundary.</w:t>
      </w:r>
    </w:p>
    <w:p>
      <w:pPr>
        <w:pStyle w:val="ListBullet"/>
        <w:spacing w:after="40"/>
      </w:pPr>
      <w:r>
        <w:t>Use stronger isolation options where workload sensitivity or multi-tenancy justifies them.</w:t>
      </w:r>
    </w:p>
    <w:p>
      <w:pPr>
        <w:pStyle w:val="Heading1"/>
      </w:pPr>
      <w:r>
        <w:t>3. Image Security and Supply Chain Hygiene</w:t>
      </w:r>
    </w:p>
    <w:p>
      <w:r>
        <w:rPr>
          <w:b/>
        </w:rPr>
        <w:t xml:space="preserve">Overview: </w:t>
      </w:r>
      <w:r>
        <w:t>Container images are the build artifact from which workloads are created. Image security is therefore both a software supply-chain problem and a deployment hygiene problem.</w:t>
      </w:r>
    </w:p>
    <w:p>
      <w:r>
        <w:rPr>
          <w:b/>
        </w:rPr>
        <w:t xml:space="preserve">Why it matters: </w:t>
      </w:r>
      <w:r>
        <w:t>An insecure image can carry vulnerable packages, excessive tooling, embedded secrets, or untrusted provenance before the container even starts.</w:t>
      </w:r>
    </w:p>
    <w:p>
      <w:pPr>
        <w:pStyle w:val="ListBullet"/>
        <w:spacing w:after="40"/>
      </w:pPr>
      <w:r>
        <w:t>Prefer minimal bases such as distroless, alpine, or scratch when they fit the application's needs.</w:t>
      </w:r>
    </w:p>
    <w:p>
      <w:pPr>
        <w:pStyle w:val="ListBullet"/>
        <w:spacing w:after="40"/>
      </w:pPr>
      <w:r>
        <w:t>Smaller images reduce package count, attack surface, and scanning noise.</w:t>
      </w:r>
    </w:p>
    <w:p>
      <w:pPr>
        <w:pStyle w:val="ListBullet"/>
        <w:spacing w:after="40"/>
      </w:pPr>
      <w:r>
        <w:t>Minimal images also reduce the number of tools available to an attacker after compromise.</w:t>
      </w:r>
    </w:p>
    <w:p>
      <w:r>
        <w:t>Debugging can become harder when shells and package managers are absent, so minimalism should still support maintainability and correctness.</w:t>
      </w:r>
    </w:p>
    <w:p>
      <w:r>
        <w:t>Image scanning helps identify known vulnerable packages, libraries, and base-image components before deployment.</w:t>
      </w:r>
    </w:p>
    <w:p>
      <w:pPr>
        <w:pStyle w:val="ListBullet"/>
        <w:spacing w:after="40"/>
      </w:pPr>
      <w:r>
        <w:t>Common scanners include Trivy, Grype, Snyk, and Docker Scout.</w:t>
      </w:r>
    </w:p>
    <w:p>
      <w:pPr>
        <w:pStyle w:val="ListBullet"/>
        <w:spacing w:after="40"/>
      </w:pPr>
      <w:r>
        <w:t>Scanning should happen in CI, before registry promotion, and on a recurring basis as new CVEs are published.</w:t>
      </w:r>
    </w:p>
    <w:p>
      <w:r>
        <w:t>Signing images helps consumers verify that an image came from the expected build pipeline or publisher and was not replaced by an untrusted artifact.</w:t>
      </w:r>
    </w:p>
    <w:p>
      <w:pPr>
        <w:pStyle w:val="ListBullet"/>
        <w:spacing w:after="40"/>
      </w:pPr>
      <w:r>
        <w:t>Common tools include Cosign, Notary, and Sigstore-related workflows.</w:t>
      </w:r>
    </w:p>
    <w:p>
      <w:pPr>
        <w:pStyle w:val="ListBullet"/>
        <w:spacing w:after="40"/>
      </w:pPr>
      <w:r>
        <w:t>Signing supports supply-chain trust, but it must be paired with verification policy at deploy time.</w:t>
      </w:r>
    </w:p>
    <w:p>
      <w:pPr>
        <w:pStyle w:val="Heading2"/>
      </w:pPr>
      <w:r>
        <w:t>3.1 Pin image digests, not tags</w:t>
      </w:r>
    </w:p>
    <w:p>
      <w:pPr>
        <w:pStyle w:val="CodeBlock"/>
      </w:pPr>
      <w:r>
        <w:rPr>
          <w:rFonts w:ascii="Courier New" w:hAnsi="Courier New"/>
        </w:rPr>
        <w:t>image: registry.example/app@sha256:...</w:t>
      </w:r>
    </w:p>
    <w:p>
      <w:r>
        <w:t>Tags such as latest or even version tags can be moved or replaced. A digest references an exact immutable image manifest, which improves reproducibility and reduces surprise changes.</w:t>
      </w:r>
    </w:p>
    <w:p>
      <w:pPr>
        <w:pStyle w:val="Heading1"/>
      </w:pPr>
      <w:r>
        <w:t>4. Do Not Run as Root</w:t>
      </w:r>
    </w:p>
    <w:p>
      <w:r>
        <w:rPr>
          <w:b/>
        </w:rPr>
        <w:t xml:space="preserve">Overview: </w:t>
      </w:r>
      <w:r>
        <w:t>Running a containerized application as root inside the container increases the consequences of a compromise and often grants unnecessary power over files, processes, and system behavior.</w:t>
      </w:r>
    </w:p>
    <w:p>
      <w:r>
        <w:rPr>
          <w:b/>
        </w:rPr>
        <w:t xml:space="preserve">Why it matters: </w:t>
      </w:r>
      <w:r>
        <w:t>Least privilege is one of the highest-value controls in container security because many real exploits become far less damaging when the process lacks root privileges.</w:t>
      </w:r>
    </w:p>
    <w:p>
      <w:pPr>
        <w:pStyle w:val="CodeBlock"/>
      </w:pPr>
      <w:r>
        <w:rPr>
          <w:rFonts w:ascii="Courier New" w:hAnsi="Courier New"/>
        </w:rPr>
        <w:t>USER 10001</w:t>
      </w:r>
    </w:p>
    <w:p>
      <w:r>
        <w:t>The USER directive in a Dockerfile sets the runtime user for subsequent image steps or container execution. Using a non-root user should be the norm unless there is a very specific reason not to.</w:t>
      </w:r>
    </w:p>
    <w:p>
      <w:r>
        <w:t>Rootless container operation aims to reduce dependence on privileged daemon or root-backed runtime behavior. It can provide meaningful risk reduction in many environments by shrinking the privilege boundary around container execution.</w:t>
      </w:r>
    </w:p>
    <w:p>
      <w:pPr>
        <w:pStyle w:val="ListBullet"/>
        <w:spacing w:after="40"/>
      </w:pPr>
      <w:r>
        <w:t>Create a dedicated application user with only the permissions it needs.</w:t>
      </w:r>
    </w:p>
    <w:p>
      <w:pPr>
        <w:pStyle w:val="ListBullet"/>
        <w:spacing w:after="40"/>
      </w:pPr>
      <w:r>
        <w:t>Ensure file ownership in the image and mounted volumes matches the runtime user model.</w:t>
      </w:r>
    </w:p>
    <w:p>
      <w:pPr>
        <w:pStyle w:val="ListBullet"/>
        <w:spacing w:after="40"/>
      </w:pPr>
      <w:r>
        <w:t>Review whether the application truly needs privileged ports, package installation, or filesystem writes at runtime.</w:t>
      </w:r>
    </w:p>
    <w:p>
      <w:pPr>
        <w:pStyle w:val="Heading1"/>
      </w:pPr>
      <w:r>
        <w:t>5. Read-Only Filesystem Design</w:t>
      </w:r>
    </w:p>
    <w:p>
      <w:r>
        <w:rPr>
          <w:b/>
        </w:rPr>
        <w:t xml:space="preserve">Overview: </w:t>
      </w:r>
      <w:r>
        <w:t>A read-only root filesystem prevents the application from modifying most of the container's filesystem during runtime.</w:t>
      </w:r>
    </w:p>
    <w:p>
      <w:r>
        <w:rPr>
          <w:b/>
        </w:rPr>
        <w:t xml:space="preserve">Why it matters: </w:t>
      </w:r>
      <w:r>
        <w:t>This is a powerful hardening control because many post-compromise actions rely on writing files, dropping tools, or changing configuration inside the container.</w:t>
      </w:r>
    </w:p>
    <w:p>
      <w:pPr>
        <w:pStyle w:val="CodeBlock"/>
      </w:pPr>
      <w:r>
        <w:rPr>
          <w:rFonts w:ascii="Courier New" w:hAnsi="Courier New"/>
        </w:rPr>
        <w:t>--read-only</w:t>
      </w:r>
    </w:p>
    <w:p>
      <w:pPr>
        <w:pStyle w:val="ListBullet"/>
        <w:spacing w:after="40"/>
      </w:pPr>
      <w:r>
        <w:t>Reduces the ability to persist changes inside the container image filesystem.</w:t>
      </w:r>
    </w:p>
    <w:p>
      <w:pPr>
        <w:pStyle w:val="ListBullet"/>
        <w:spacing w:after="40"/>
      </w:pPr>
      <w:r>
        <w:t>Limits accidental drift from the intended runtime state.</w:t>
      </w:r>
    </w:p>
    <w:p>
      <w:pPr>
        <w:pStyle w:val="ListBullet"/>
        <w:spacing w:after="40"/>
      </w:pPr>
      <w:r>
        <w:t>Mount only the specific writable paths the application truly needs.</w:t>
      </w:r>
    </w:p>
    <w:p>
      <w:r>
        <w:t>Use dedicated volumes or tmpfs mounts for logs, caches, or temporary working directories when required, and test application behavior carefully because some frameworks assume writable directories by default.</w:t>
      </w:r>
    </w:p>
    <w:p>
      <w:pPr>
        <w:pStyle w:val="Heading1"/>
      </w:pPr>
      <w:r>
        <w:t>6. Drop Capabilities and Avoid Privileged Mode</w:t>
      </w:r>
    </w:p>
    <w:p>
      <w:r>
        <w:rPr>
          <w:b/>
        </w:rPr>
        <w:t xml:space="preserve">Overview: </w:t>
      </w:r>
      <w:r>
        <w:t>Linux capabilities break root-level power into smaller privilege units. Containers often start with more capabilities than an application actually needs.</w:t>
      </w:r>
    </w:p>
    <w:p>
      <w:r>
        <w:rPr>
          <w:b/>
        </w:rPr>
        <w:t xml:space="preserve">Why it matters: </w:t>
      </w:r>
      <w:r>
        <w:t>Capability reduction is a strong least-privilege measure, while privileged mode is one of the most dangerous runtime settings because it erodes the container boundary dramatically.</w:t>
      </w:r>
    </w:p>
    <w:p>
      <w:pPr>
        <w:pStyle w:val="CodeBlock"/>
      </w:pPr>
      <w:r>
        <w:rPr>
          <w:rFonts w:ascii="Courier New" w:hAnsi="Courier New"/>
        </w:rPr>
        <w:t>--cap-drop=ALL --cap-add=NET_BIND_SERVICE</w:t>
      </w:r>
    </w:p>
    <w:p>
      <w:r>
        <w:t>Dropping all capabilities and then selectively adding back only what is necessary is a powerful pattern. Many applications need far fewer capabilities than default runtimes may grant.</w:t>
      </w:r>
    </w:p>
    <w:p>
      <w:pPr>
        <w:pStyle w:val="CodeBlock"/>
      </w:pPr>
      <w:r>
        <w:rPr>
          <w:rFonts w:ascii="Courier New" w:hAnsi="Courier New"/>
        </w:rPr>
        <w:t>--privileged</w:t>
      </w:r>
    </w:p>
    <w:p>
      <w:r>
        <w:t>Privileged mode effectively grants the container broad host-like powers and should be treated as an emergency exception, not a normal deployment option.</w:t>
      </w:r>
    </w:p>
    <w:p>
      <w:pPr>
        <w:pStyle w:val="ListBullet"/>
        <w:spacing w:after="40"/>
      </w:pPr>
      <w:r>
        <w:t>It expands what the container can do against the host and kernel interfaces.</w:t>
      </w:r>
    </w:p>
    <w:p>
      <w:pPr>
        <w:pStyle w:val="ListBullet"/>
        <w:spacing w:after="40"/>
      </w:pPr>
      <w:r>
        <w:t>It defeats much of the value of container isolation.</w:t>
      </w:r>
    </w:p>
    <w:p>
      <w:pPr>
        <w:pStyle w:val="ListBullet"/>
        <w:spacing w:after="40"/>
      </w:pPr>
      <w:r>
        <w:t>Treat added capabilities as security-sensitive changes that require explicit approval.</w:t>
      </w:r>
    </w:p>
    <w:p>
      <w:pPr>
        <w:pStyle w:val="Heading1"/>
      </w:pPr>
      <w:r>
        <w:t>7. Seccomp, AppArmor, and SELinux</w:t>
      </w:r>
    </w:p>
    <w:p>
      <w:r>
        <w:rPr>
          <w:b/>
        </w:rPr>
        <w:t xml:space="preserve">Overview: </w:t>
      </w:r>
      <w:r>
        <w:t>Runtime confinement mechanisms restrict what a containerized process can do even if the process itself is compromised.</w:t>
      </w:r>
    </w:p>
    <w:p>
      <w:r>
        <w:rPr>
          <w:b/>
        </w:rPr>
        <w:t xml:space="preserve">Why it matters: </w:t>
      </w:r>
      <w:r>
        <w:t>These controls are high-value because they reduce the kernel and host interaction surface available to a malicious or exploited workload.</w:t>
      </w:r>
    </w:p>
    <w:p>
      <w:r>
        <w:t>Seccomp limits which system calls a process can make. Since system calls are the interface from user space into the kernel, reducing them can meaningfully narrow attack surface.</w:t>
      </w:r>
    </w:p>
    <w:p>
      <w:pPr>
        <w:pStyle w:val="ListBullet"/>
        <w:spacing w:after="40"/>
      </w:pPr>
      <w:r>
        <w:t>Use default or hardened seccomp profiles rather than running unconfined.</w:t>
      </w:r>
    </w:p>
    <w:p>
      <w:pPr>
        <w:pStyle w:val="ListBullet"/>
        <w:spacing w:after="40"/>
      </w:pPr>
      <w:r>
        <w:t>AppArmor uses policy profiles to constrain process behavior.</w:t>
      </w:r>
    </w:p>
    <w:p>
      <w:pPr>
        <w:pStyle w:val="ListBullet"/>
        <w:spacing w:after="40"/>
      </w:pPr>
      <w:r>
        <w:t>SELinux uses labels and policy enforcement to control interactions between subjects and objects.</w:t>
      </w:r>
    </w:p>
    <w:p>
      <w:r>
        <w:t>Do not disable these controls just to make an application work unless you fully understand the risk and have a safer alternative.</w:t>
      </w:r>
    </w:p>
    <w:p>
      <w:pPr>
        <w:pStyle w:val="Heading1"/>
      </w:pPr>
      <w:r>
        <w:t>8. Secrets in Images and Safer Secret Handling</w:t>
      </w:r>
    </w:p>
    <w:p>
      <w:r>
        <w:rPr>
          <w:b/>
        </w:rPr>
        <w:t xml:space="preserve">Overview: </w:t>
      </w:r>
      <w:r>
        <w:t>Secrets must not be baked into container images. Images are widely copied, cached, scanned, promoted, and stored, so any embedded secret can spread far beyond the intended environment.</w:t>
      </w:r>
    </w:p>
    <w:p>
      <w:r>
        <w:rPr>
          <w:b/>
        </w:rPr>
        <w:t xml:space="preserve">Why it matters: </w:t>
      </w:r>
      <w:r>
        <w:t>A secret included in an image can remain recoverable long after teams believe it was removed, because image layers and registry history may preserve it.</w:t>
      </w:r>
    </w:p>
    <w:p>
      <w:pPr>
        <w:pStyle w:val="ListBullet"/>
        <w:spacing w:after="40"/>
      </w:pPr>
      <w:r>
        <w:t>Do not hardcode API keys, database passwords, cloud credentials, or private keys in the image or Dockerfile.</w:t>
      </w:r>
    </w:p>
    <w:p>
      <w:pPr>
        <w:pStyle w:val="ListBullet"/>
        <w:spacing w:after="40"/>
      </w:pPr>
      <w:r>
        <w:t>Use mounted secrets or platform-native secret injection at runtime.</w:t>
      </w:r>
    </w:p>
    <w:p>
      <w:pPr>
        <w:pStyle w:val="ListBullet"/>
        <w:spacing w:after="40"/>
      </w:pPr>
      <w:r>
        <w:t>Store secrets in dedicated secret-management systems rather than in images.</w:t>
      </w:r>
    </w:p>
    <w:p>
      <w:pPr>
        <w:pStyle w:val="ListBullet"/>
        <w:spacing w:after="40"/>
      </w:pPr>
      <w:r>
        <w:t>Rotate secrets independently of image rebuilds when possible.</w:t>
      </w:r>
    </w:p>
    <w:p>
      <w:r>
        <w:t>Build pipelines need their own secret discipline. Temporary credentials used during image build must not leak into final layers, build logs, or published metadata.</w:t>
      </w:r>
    </w:p>
    <w:p>
      <w:pPr>
        <w:pStyle w:val="Heading1"/>
      </w:pPr>
      <w:r>
        <w:t>9. Practical Hardening Checklist</w:t>
      </w:r>
    </w:p>
    <w:p>
      <w:r>
        <w:rPr>
          <w:b/>
        </w:rPr>
        <w:t xml:space="preserve">Overview: </w:t>
      </w:r>
      <w:r>
        <w:t>The strongest container security posture comes from combining multiple small restrictions instead of relying on one silver-bullet setting.</w:t>
      </w:r>
    </w:p>
    <w:p>
      <w:r>
        <w:rPr>
          <w:b/>
        </w:rPr>
        <w:t xml:space="preserve">Why it matters: </w:t>
      </w:r>
      <w:r>
        <w:t>A layered checklist makes secure defaults repeatable across teams and environments.</w:t>
      </w:r>
    </w:p>
    <w:p>
      <w:pPr>
        <w:pStyle w:val="ListBullet"/>
        <w:spacing w:after="40"/>
      </w:pPr>
      <w:r>
        <w:t>Is the image minimal and regularly scanned?</w:t>
      </w:r>
    </w:p>
    <w:p>
      <w:pPr>
        <w:pStyle w:val="ListBullet"/>
        <w:spacing w:after="40"/>
      </w:pPr>
      <w:r>
        <w:t>Is the image signed or otherwise provenance-controlled?</w:t>
      </w:r>
    </w:p>
    <w:p>
      <w:pPr>
        <w:pStyle w:val="ListBullet"/>
        <w:spacing w:after="40"/>
      </w:pPr>
      <w:r>
        <w:t>Is the deployment pinned to an immutable digest?</w:t>
      </w:r>
    </w:p>
    <w:p>
      <w:pPr>
        <w:pStyle w:val="ListBullet"/>
        <w:spacing w:after="40"/>
      </w:pPr>
      <w:r>
        <w:t>Does the container run as non-root?</w:t>
      </w:r>
    </w:p>
    <w:p>
      <w:pPr>
        <w:pStyle w:val="ListBullet"/>
        <w:spacing w:after="40"/>
      </w:pPr>
      <w:r>
        <w:t>Is the filesystem read-only except for declared writable paths?</w:t>
      </w:r>
    </w:p>
    <w:p>
      <w:pPr>
        <w:pStyle w:val="ListBullet"/>
        <w:spacing w:after="40"/>
      </w:pPr>
      <w:r>
        <w:t>Are capabilities dropped to the minimum required?</w:t>
      </w:r>
    </w:p>
    <w:p>
      <w:pPr>
        <w:pStyle w:val="ListBullet"/>
        <w:spacing w:after="40"/>
      </w:pPr>
      <w:r>
        <w:t>Is privileged mode avoided?</w:t>
      </w:r>
    </w:p>
    <w:p>
      <w:pPr>
        <w:pStyle w:val="ListBullet"/>
        <w:spacing w:after="40"/>
      </w:pPr>
      <w:r>
        <w:t>Are seccomp and MAC profiles enforced?</w:t>
      </w:r>
    </w:p>
    <w:p>
      <w:pPr>
        <w:pStyle w:val="ListBullet"/>
        <w:spacing w:after="40"/>
      </w:pPr>
      <w:r>
        <w:t>Are secrets injected at runtime rather than baked into the image?</w:t>
      </w:r>
    </w:p>
    <w:p>
      <w:r>
        <w:t>Assume one layer may fail. If the application is compromised, least privilege, read-only filesystems, capability reduction, seccomp, MAC profiles, and secret isolation should still work together to limit damage.</w:t>
      </w:r>
    </w:p>
    <w:p>
      <w:pPr>
        <w:pStyle w:val="Heading1"/>
      </w:pPr>
      <w:r>
        <w:t>Mastery Checklist</w:t>
      </w:r>
    </w:p>
    <w:p>
      <w:pPr>
        <w:pStyle w:val="ListBullet"/>
        <w:spacing w:after="40"/>
      </w:pPr>
      <w:r>
        <w:t>You can explain how namespaces and cgroups contribute to container isolation.</w:t>
      </w:r>
    </w:p>
    <w:p>
      <w:pPr>
        <w:pStyle w:val="ListBullet"/>
        <w:spacing w:after="40"/>
      </w:pPr>
      <w:r>
        <w:t>You understand why containers are not the same as virtual machines and why the shared kernel matters.</w:t>
      </w:r>
    </w:p>
    <w:p>
      <w:pPr>
        <w:pStyle w:val="ListBullet"/>
        <w:spacing w:after="40"/>
      </w:pPr>
      <w:r>
        <w:t>You can describe image hardening practices such as minimal bases, scanning, signing, and digest pinning.</w:t>
      </w:r>
    </w:p>
    <w:p>
      <w:pPr>
        <w:pStyle w:val="ListBullet"/>
        <w:spacing w:after="40"/>
      </w:pPr>
      <w:r>
        <w:t>You know why containers should not run as root unless there is a justified exception.</w:t>
      </w:r>
    </w:p>
    <w:p>
      <w:pPr>
        <w:pStyle w:val="ListBullet"/>
        <w:spacing w:after="40"/>
      </w:pPr>
      <w:r>
        <w:t>You can explain the value of read-only filesystems and tightly scoped writable volumes.</w:t>
      </w:r>
    </w:p>
    <w:p>
      <w:pPr>
        <w:pStyle w:val="ListBullet"/>
        <w:spacing w:after="40"/>
      </w:pPr>
      <w:r>
        <w:t>You understand capability reduction and why privileged mode is so risky.</w:t>
      </w:r>
    </w:p>
    <w:p>
      <w:pPr>
        <w:pStyle w:val="ListBullet"/>
        <w:spacing w:after="40"/>
      </w:pPr>
      <w:r>
        <w:t>You can describe the role of seccomp, AppArmor, and SELinux in runtime confinement.</w:t>
      </w:r>
    </w:p>
    <w:p>
      <w:pPr>
        <w:pStyle w:val="ListBullet"/>
        <w:spacing w:after="40"/>
      </w:pPr>
      <w:r>
        <w:t>You know why secrets must not be baked into images and how runtime secret injection helps.</w:t>
      </w:r>
    </w:p>
    <w:p>
      <w:pPr>
        <w:pStyle w:val="Heading1"/>
      </w:pPr>
      <w:r>
        <w:t>Recommended Practice Activities</w:t>
      </w:r>
    </w:p>
    <w:p>
      <w:pPr>
        <w:pStyle w:val="ListBullet"/>
        <w:spacing w:after="40"/>
      </w:pPr>
      <w:r>
        <w:t>Take a sample Dockerfile and identify where to add a non-root USER, minimal base image, and better secret handling.</w:t>
      </w:r>
    </w:p>
    <w:p>
      <w:pPr>
        <w:pStyle w:val="ListBullet"/>
        <w:spacing w:after="40"/>
      </w:pPr>
      <w:r>
        <w:t>Review a deployment manifest and list which capabilities, filesystem writes, and runtime permissions the application truly needs.</w:t>
      </w:r>
    </w:p>
    <w:p>
      <w:pPr>
        <w:pStyle w:val="ListBullet"/>
        <w:spacing w:after="40"/>
      </w:pPr>
      <w:r>
        <w:t>Compare an image pinned by tag with one pinned by digest and explain the supply-chain difference.</w:t>
      </w:r>
    </w:p>
    <w:p>
      <w:pPr>
        <w:pStyle w:val="ListBullet"/>
        <w:spacing w:after="40"/>
      </w:pPr>
      <w:r>
        <w:t>Map a container workload's runtime controls across seccomp, AppArmor or SELinux, capabilities, and secret mounts.</w:t>
      </w:r>
    </w:p>
    <w:p>
      <w:pPr>
        <w:pStyle w:val="Heading1"/>
      </w:pPr>
      <w:r>
        <w:t>Final Note</w:t>
      </w:r>
    </w:p>
    <w:p>
      <w:r>
        <w:t>Container security is strongest when it is boring, repeatable, and restrictive by default. Minimal images, immutable references, non-root execution, reduced capabilities, runtime confinement, and clean secret handling do not just make compromise harder—they make systems easier to reason about under pressure.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69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9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69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