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DOMAIN-SPECIFIC DESIGN PATTERNS — MODULE 9</w:t>
      </w:r>
    </w:p>
    <w:p>
      <w:pPr>
        <w:spacing w:after="100" w:before="0"/>
        <w:jc w:val="center"/>
      </w:pPr>
      <w:r>
        <w:rPr>
          <w:rFonts w:ascii="Arial" w:cs="Arial" w:eastAsia="Arial" w:hAnsi="Arial"/>
          <w:b/>
          <w:bCs/>
          <w:color w:val="1A3C5E"/>
          <w:sz w:val="54"/>
          <w:szCs w:val="54"/>
        </w:rPr>
        <w:t xml:space="preserve">Multi-Tenant SaaS</w:t>
      </w:r>
    </w:p>
    <w:p>
      <w:pPr>
        <w:pBdr>
          <w:bottom w:val="single" w:color="2E75B6" w:sz="6" w:space="6"/>
        </w:pBdr>
        <w:spacing w:after="80" w:before="0"/>
        <w:jc w:val="center"/>
      </w:pPr>
      <w:r>
        <w:rPr>
          <w:rFonts w:ascii="Arial" w:cs="Arial" w:eastAsia="Arial" w:hAnsi="Arial"/>
          <w:i/>
          <w:iCs/>
          <w:color w:val="444444"/>
          <w:sz w:val="22"/>
          <w:szCs w:val="22"/>
        </w:rPr>
        <w:t xml:space="preserve">Isolation Models  |  Data Isolation  |  Noisy Neighbour  |  Customisation  |  Billing  |  Onboarding</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Tenant isolation tiers — shared, schema-per-tenant, dedicated</w:t>
      </w:r>
    </w:p>
    <w:p>
      <w:pPr>
        <w:spacing w:after="55" w:before="55"/>
        <w:jc w:val="center"/>
      </w:pPr>
      <w:r>
        <w:rPr>
          <w:rFonts w:ascii="Arial" w:cs="Arial" w:eastAsia="Arial" w:hAnsi="Arial"/>
          <w:color w:val="444444"/>
          <w:sz w:val="21"/>
          <w:szCs w:val="21"/>
        </w:rPr>
        <w:t xml:space="preserve">  Tenant-aware routing — subdomain, header, JWT-based resolution</w:t>
      </w:r>
    </w:p>
    <w:p>
      <w:pPr>
        <w:spacing w:after="55" w:before="55"/>
        <w:jc w:val="center"/>
      </w:pPr>
      <w:r>
        <w:rPr>
          <w:rFonts w:ascii="Arial" w:cs="Arial" w:eastAsia="Arial" w:hAnsi="Arial"/>
          <w:color w:val="444444"/>
          <w:sz w:val="21"/>
          <w:szCs w:val="21"/>
        </w:rPr>
        <w:t xml:space="preserve">  Data isolation — row-level security, schema-per-tenant, DB-per-tenant</w:t>
      </w:r>
    </w:p>
    <w:p>
      <w:pPr>
        <w:spacing w:after="55" w:before="55"/>
        <w:jc w:val="center"/>
      </w:pPr>
      <w:r>
        <w:rPr>
          <w:rFonts w:ascii="Arial" w:cs="Arial" w:eastAsia="Arial" w:hAnsi="Arial"/>
          <w:color w:val="444444"/>
          <w:sz w:val="21"/>
          <w:szCs w:val="21"/>
        </w:rPr>
        <w:t xml:space="preserve">  Noisy neighbour prevention — rate limits, quotas, fair scheduling</w:t>
      </w:r>
    </w:p>
    <w:p>
      <w:pPr>
        <w:spacing w:after="55" w:before="55"/>
        <w:jc w:val="center"/>
      </w:pPr>
      <w:r>
        <w:rPr>
          <w:rFonts w:ascii="Arial" w:cs="Arial" w:eastAsia="Arial" w:hAnsi="Arial"/>
          <w:color w:val="444444"/>
          <w:sz w:val="21"/>
          <w:szCs w:val="21"/>
        </w:rPr>
        <w:t xml:space="preserve">  Per-tenant customisation — config, branding, feature flags</w:t>
      </w:r>
    </w:p>
    <w:p>
      <w:pPr>
        <w:spacing w:after="55" w:before="55"/>
        <w:jc w:val="center"/>
      </w:pPr>
      <w:r>
        <w:rPr>
          <w:rFonts w:ascii="Arial" w:cs="Arial" w:eastAsia="Arial" w:hAnsi="Arial"/>
          <w:color w:val="444444"/>
          <w:sz w:val="21"/>
          <w:szCs w:val="21"/>
        </w:rPr>
        <w:t xml:space="preserve">  Automated onboarding and offboarding pipelines</w:t>
      </w:r>
    </w:p>
    <w:p>
      <w:pPr>
        <w:spacing w:after="55" w:before="55"/>
        <w:jc w:val="center"/>
      </w:pPr>
      <w:r>
        <w:rPr>
          <w:rFonts w:ascii="Arial" w:cs="Arial" w:eastAsia="Arial" w:hAnsi="Arial"/>
          <w:color w:val="444444"/>
          <w:sz w:val="21"/>
          <w:szCs w:val="21"/>
        </w:rPr>
        <w:t xml:space="preserve">  Usage-based billing — metering, aggregation, invoicing</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Tenant Isolation Tiers</w:t>
      </w:r>
    </w:p>
    <w:p>
      <w:pPr>
        <w:pStyle w:val="Heading2"/>
        <w:spacing w:after="140" w:before="320"/>
      </w:pPr>
      <w:r>
        <w:rPr>
          <w:rFonts w:ascii="Arial" w:cs="Arial" w:eastAsia="Arial" w:hAnsi="Arial"/>
          <w:b/>
          <w:bCs/>
          <w:color w:val="2E75B6"/>
          <w:sz w:val="28"/>
          <w:szCs w:val="28"/>
        </w:rPr>
        <w:t xml:space="preserve">1.1  The Spectrum from Shared to Dedicated</w:t>
      </w:r>
    </w:p>
    <w:p>
      <w:pPr>
        <w:spacing w:after="80" w:before="80"/>
      </w:pPr>
      <w:r>
        <w:rPr>
          <w:rFonts w:ascii="Arial" w:cs="Arial" w:eastAsia="Arial" w:hAnsi="Arial"/>
          <w:b/>
          <w:bCs/>
          <w:color w:val="1A1A1A"/>
          <w:sz w:val="22"/>
          <w:szCs w:val="22"/>
        </w:rPr>
        <w:t xml:space="preserve">Multi-tenant SaaS</w:t>
      </w:r>
      <w:r>
        <w:rPr>
          <w:rFonts w:ascii="Arial" w:cs="Arial" w:eastAsia="Arial" w:hAnsi="Arial"/>
          <w:color w:val="1A1A1A"/>
          <w:sz w:val="22"/>
          <w:szCs w:val="22"/>
        </w:rPr>
        <w:t xml:space="preserve"> serves multiple customers (tenants) from shared infrastructure. The isolation model determines how completely tenants are separated — from sharing everything to running on entirely dedicated resources. The choice is a trade-off between cost efficiency and isolation strength:</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Three Isolation Tiers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Tier 1 — Shared everything (SMB/free tier): </w:t>
            </w:r>
            <w:r>
              <w:rPr>
                <w:rFonts w:ascii="Arial" w:cs="Arial" w:eastAsia="Arial" w:hAnsi="Arial"/>
                <w:color w:val="1A1A1A"/>
                <w:sz w:val="22"/>
                <w:szCs w:val="22"/>
              </w:rPr>
              <w:t xml:space="preserve">All tenants share the same application servers, the same database, and the same cache. Tenant data is separated by a tenant_id column in every table. Cheapest: 10,000 small tenants can share a handful of servers. Weakest isolation: a bug in the application layer could expose one tenant's data to another. Noisy neighbour risk is highest.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Tier 2 — Shared compute, separate schema (mid-market): </w:t>
            </w:r>
            <w:r>
              <w:rPr>
                <w:rFonts w:ascii="Arial" w:cs="Arial" w:eastAsia="Arial" w:hAnsi="Arial"/>
                <w:color w:val="1A1A1A"/>
                <w:sz w:val="22"/>
                <w:szCs w:val="22"/>
              </w:rPr>
              <w:t xml:space="preserve">Application servers are shared, but each tenant gets their own database schema (a dedicated namespace of tables). Data isolation is stronger than row-level tenant_id because a query in tenant A's schema cannot accidentally read tenant B's data. Schema migrations can be run per-tenant.</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Tier 3 — Dedicated compute + DB (enterprise): </w:t>
            </w:r>
            <w:r>
              <w:rPr>
                <w:rFonts w:ascii="Arial" w:cs="Arial" w:eastAsia="Arial" w:hAnsi="Arial"/>
                <w:color w:val="1A1A1A"/>
                <w:sz w:val="22"/>
                <w:szCs w:val="22"/>
              </w:rPr>
              <w:t xml:space="preserve">Each enterprise tenant gets a dedicated application cluster and dedicated database instance. Complete isolation — one tenant's load cannot affect another's performance. Easiest to comply with enterprise security requirements. Most expensive: each tenant requires full infrastructure provisioning.</w:t>
            </w:r>
          </w:p>
        </w:tc>
      </w:tr>
    </w:tbl>
    <w:p>
      <w:pPr>
        <w:spacing w:after="0" w:before="110"/>
      </w:pPr>
      <w:r>
        <w:rPr>
          <w:rFonts w:ascii="Arial" w:cs="Arial" w:eastAsia="Arial" w:hAnsi="Arial"/>
          <w:color w:val="1A1A1A"/>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31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Tier 1: Shared</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Tier 2: Schema-per-tenant</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Tier 3: Dedicated</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Infrastructure cost</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Lowest (1 DB for all)</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(1 DB, N schemas)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Highest (1 DB per tenant)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isolation</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Row-level (tenant_id)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Schema namespace</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Physical DB separation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Noisy neighbour risk</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(shared resources)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(shared compute)</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(dedicated)</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Tenant limit</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Millions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Thousands (schema limit ~10K)</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Hundreds (cost-constrained)</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Compliance (SOC2, HIPAA)</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Hardest to certify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Moderate</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Easiest (data never co-located)</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Schema migrations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tenants at once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Per-tenant (gradual rollout)</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Per-tenant (independent)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Typical price tier</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Free/Starter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Professional</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Enterprise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Tenant-Aware Routing</w:t>
      </w:r>
    </w:p>
    <w:p>
      <w:pPr>
        <w:pStyle w:val="Heading2"/>
        <w:spacing w:after="140" w:before="320"/>
      </w:pPr>
      <w:r>
        <w:rPr>
          <w:rFonts w:ascii="Arial" w:cs="Arial" w:eastAsia="Arial" w:hAnsi="Arial"/>
          <w:b/>
          <w:bCs/>
          <w:color w:val="2E75B6"/>
          <w:sz w:val="28"/>
          <w:szCs w:val="28"/>
        </w:rPr>
        <w:t xml:space="preserve">2.1  Identifying the Tenant on Every Request</w:t>
      </w:r>
    </w:p>
    <w:p>
      <w:pPr>
        <w:spacing w:after="80" w:before="80"/>
      </w:pPr>
      <w:r>
        <w:rPr>
          <w:rFonts w:ascii="Arial" w:cs="Arial" w:eastAsia="Arial" w:hAnsi="Arial"/>
          <w:b/>
          <w:bCs/>
          <w:color w:val="1A1A1A"/>
          <w:sz w:val="22"/>
          <w:szCs w:val="22"/>
        </w:rPr>
        <w:t xml:space="preserve">Every request to a multi-tenant SaaS must be associated with a tenant</w:t>
      </w:r>
      <w:r>
        <w:rPr>
          <w:rFonts w:ascii="Arial" w:cs="Arial" w:eastAsia="Arial" w:hAnsi="Arial"/>
          <w:color w:val="1A1A1A"/>
          <w:sz w:val="22"/>
          <w:szCs w:val="22"/>
        </w:rPr>
        <w:t xml:space="preserve">. The tenant identity determines which database, schema, or service cluster to route to. Three common mechanisms: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Tenant identification mechanisms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MECHANISM 1: SUBDOMAIN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acme.myapp.com → tenant = acme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globex.myapp.com → tenant = globex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 Gateway / Load Balancer: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Extract subdomain from Host header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Look up tenant config: GET /tenant-registry/{subdomain}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tenant_id: 'acme', plan: 'enterprise', db_host: 'acme-db.internal'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 request to appropriate backend + inject tenant context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MECHANISM 2: HTTP HEADER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X-Tenant-ID: acme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 explicitly passes tenant ID in header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 by: internal service-to-service calls; B2B APIs with API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Gateway: validate header against authenticated user's allowed tenants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(never trust client-provided tenant ID without auth 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MECHANISM 3: JWT CLAIM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JWT payload: { sub: 'user_123', tenant_id: 'acme', plan: 'enterprise'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decode JWT → extract tenant_id → use for all DB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Advantage: tenant context travels with auth token; no extra lookup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 CONTEXT PROPAGATION: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Once tenant identified at edge (API gateway), propagate via: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 header: X-Tenant-ID: acme (service-to-service)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Thread-local / request context: avoid passing as function argument everywhere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Middleware: inject tenant into every DB query (ORM-level)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 TO DEDICATED INFRASTRUCTURE (Tier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 = 'acme' → db_host = acme-db.internal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compute_cluster = acme-cluster.k8s.internal</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 balancer rules: Host: acme.myapp.com → upstream: acme-cluster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Data Isolation</w:t>
      </w:r>
    </w:p>
    <w:p>
      <w:pPr>
        <w:pStyle w:val="Heading2"/>
        <w:spacing w:after="140" w:before="320"/>
      </w:pPr>
      <w:r>
        <w:rPr>
          <w:rFonts w:ascii="Arial" w:cs="Arial" w:eastAsia="Arial" w:hAnsi="Arial"/>
          <w:b/>
          <w:bCs/>
          <w:color w:val="2E75B6"/>
          <w:sz w:val="28"/>
          <w:szCs w:val="28"/>
        </w:rPr>
        <w:t xml:space="preserve">3.1  Three Approaches to Keeping Tenant Data Separate</w:t>
      </w:r>
    </w:p>
    <w:p>
      <w:pPr>
        <w:spacing w:after="80" w:before="80"/>
      </w:pPr>
      <w:r>
        <w:rPr>
          <w:rFonts w:ascii="Arial" w:cs="Arial" w:eastAsia="Arial" w:hAnsi="Arial"/>
          <w:b/>
          <w:bCs/>
          <w:color w:val="1A1A1A"/>
          <w:sz w:val="22"/>
          <w:szCs w:val="22"/>
        </w:rPr>
        <w:t xml:space="preserve">Data isolation</w:t>
      </w:r>
      <w:r>
        <w:rPr>
          <w:rFonts w:ascii="Arial" w:cs="Arial" w:eastAsia="Arial" w:hAnsi="Arial"/>
          <w:color w:val="1A1A1A"/>
          <w:sz w:val="22"/>
          <w:szCs w:val="22"/>
        </w:rPr>
        <w:t xml:space="preserve"> is the most critical correctness requirement in multi-tenant systems. A single bug that returns tenant A's data to tenant B is a catastrophic security incident. The isolation model determines the engineering effort and cost required to achieve this: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Data Isolation Approaches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Row-level security (shared DB): </w:t>
            </w:r>
            <w:r>
              <w:rPr>
                <w:rFonts w:ascii="Arial" w:cs="Arial" w:eastAsia="Arial" w:hAnsi="Arial"/>
                <w:color w:val="1A1A1A"/>
                <w:sz w:val="22"/>
                <w:szCs w:val="22"/>
              </w:rPr>
              <w:t xml:space="preserve">Every table has a tenant_id column. Every query includes WHERE tenant_id = :current_tenant. Enforced at the application layer, or more strongly at the database layer via Row-Level Security (RLS) in PostgreSQL. RLS: policy that automatically filters rows based on the current_tenant session variable. Even if the application forgets the WHERE clause, RLS prevents data leakage.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Schema-per-tenant: </w:t>
            </w:r>
            <w:r>
              <w:rPr>
                <w:rFonts w:ascii="Arial" w:cs="Arial" w:eastAsia="Arial" w:hAnsi="Arial"/>
                <w:color w:val="1A1A1A"/>
                <w:sz w:val="22"/>
                <w:szCs w:val="22"/>
              </w:rPr>
              <w:t xml:space="preserve">Each tenant has a dedicated schema (namespace) in the shared database. Tables: tenant_acme.users, tenant_globex.users. Connection pool is configured per-tenant, using the correct search_path. A query on tenant A's connection cannot read tenant B's schema. No RLS needed — physical schema separation provides the isolation.</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DB-per-tenant: </w:t>
            </w:r>
            <w:r>
              <w:rPr>
                <w:rFonts w:ascii="Arial" w:cs="Arial" w:eastAsia="Arial" w:hAnsi="Arial"/>
                <w:color w:val="1A1A1A"/>
                <w:sz w:val="22"/>
                <w:szCs w:val="22"/>
              </w:rPr>
              <w:t xml:space="preserve">Each tenant has a completely separate database instance. No application-level isolation policy needed — the databases are physically separate. Used for enterprise/compliance tenants. Connection pooling per tenant. Migration tools run independently per database.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Row-level security (PostgreSQL): the strongest shared DB isolation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orders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BIGSERIAL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tenant_id  UUID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order_data JSONB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Enable RLS on the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ALTER TABLE orders ENABLE ROW LEVEL SECURITY;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Policy: users can only see their tenant's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POLICY tenant_isolation ON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USING (tenant_id = current_setting('app.current_tenant')::UUID);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set tenant context at connection start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app.current_tenant = '550e8400-e29b-41d4-a716-446655440000';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(application forgets WHERE clause — doesn't matter):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RLS automatically adds: WHERE tenant_id = '550e...' to every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Tenant B's orders are invisible even without explicit WHERE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SCHEMA-PER-TENANT: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Acme tenant uses search_path = 'tenant_acme'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search_path = tenant_acme;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orders;  ← reads tenant_acme.orders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Globex tenant uses search_path = 'tenant_globex'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search_path = tenant_globex;</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orders;  ← reads tenant_globex.orders (different table!)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Noisy Neighbour Prevention</w:t>
      </w:r>
    </w:p>
    <w:p>
      <w:pPr>
        <w:pStyle w:val="Heading2"/>
        <w:spacing w:after="140" w:before="320"/>
      </w:pPr>
      <w:r>
        <w:rPr>
          <w:rFonts w:ascii="Arial" w:cs="Arial" w:eastAsia="Arial" w:hAnsi="Arial"/>
          <w:b/>
          <w:bCs/>
          <w:color w:val="2E75B6"/>
          <w:sz w:val="28"/>
          <w:szCs w:val="28"/>
        </w:rPr>
        <w:t xml:space="preserve">4.1  Fair Resource Allocation</w:t>
      </w:r>
    </w:p>
    <w:p>
      <w:pPr>
        <w:spacing w:after="80" w:before="80"/>
      </w:pPr>
      <w:r>
        <w:rPr>
          <w:rFonts w:ascii="Arial" w:cs="Arial" w:eastAsia="Arial" w:hAnsi="Arial"/>
          <w:b/>
          <w:bCs/>
          <w:color w:val="1A1A1A"/>
          <w:sz w:val="22"/>
          <w:szCs w:val="22"/>
        </w:rPr>
        <w:t xml:space="preserve">The noisy neighbour problem</w:t>
      </w:r>
      <w:r>
        <w:rPr>
          <w:rFonts w:ascii="Arial" w:cs="Arial" w:eastAsia="Arial" w:hAnsi="Arial"/>
          <w:color w:val="1A1A1A"/>
          <w:sz w:val="22"/>
          <w:szCs w:val="22"/>
        </w:rPr>
        <w:t xml:space="preserve">: one tenant's heavy usage consumes shared resources, degrading performance for all other tenants. In a shared database, one tenant running an expensive query affects query latency for all tenants. Prevention requires per-tenant rate limits, quotas, and fair scheduling: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Noisy Neighbour Prevention Techniques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Per-tenant API rate limits: </w:t>
            </w:r>
            <w:r>
              <w:rPr>
                <w:rFonts w:ascii="Arial" w:cs="Arial" w:eastAsia="Arial" w:hAnsi="Arial"/>
                <w:color w:val="1A1A1A"/>
                <w:sz w:val="22"/>
                <w:szCs w:val="22"/>
              </w:rPr>
              <w:t xml:space="preserve">Rate limit each tenant independently using the token bucket algorithm. Starter: 100 requests/minute. Professional: 1,000 requests/minute. Enterprise: custom. Implemented at the API gateway with a Redis token bucket keyed by tenant_id.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Database connection pool quota: </w:t>
            </w:r>
            <w:r>
              <w:rPr>
                <w:rFonts w:ascii="Arial" w:cs="Arial" w:eastAsia="Arial" w:hAnsi="Arial"/>
                <w:color w:val="1A1A1A"/>
                <w:sz w:val="22"/>
                <w:szCs w:val="22"/>
              </w:rPr>
              <w:t xml:space="preserve">In a shared database, limit each tenant to N connections from the connection pool. A tenant with very high query volume cannot starve others of connections. PgBouncer: max_client_conn per pool, with pools named per-tenant.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Query complexity limits: </w:t>
            </w:r>
            <w:r>
              <w:rPr>
                <w:rFonts w:ascii="Arial" w:cs="Arial" w:eastAsia="Arial" w:hAnsi="Arial"/>
                <w:color w:val="1A1A1A"/>
                <w:sz w:val="22"/>
                <w:szCs w:val="22"/>
              </w:rPr>
              <w:t xml:space="preserve">Reject or time out queries that exceed complexity thresholds. Maximum query execution time (statement_timeout in PostgreSQL). Maximum rows returned per query. Prevent accidental or malicious queries that scan entire shared tables.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Fair scheduling: </w:t>
            </w:r>
            <w:r>
              <w:rPr>
                <w:rFonts w:ascii="Arial" w:cs="Arial" w:eastAsia="Arial" w:hAnsi="Arial"/>
                <w:color w:val="1A1A1A"/>
                <w:sz w:val="22"/>
                <w:szCs w:val="22"/>
              </w:rPr>
              <w:t xml:space="preserve">Background job queues: process jobs in round-robin per tenant, not FIFO. Without fair scheduling, one tenant with 10,000 jobs blocks all other tenants' jobs. Round-robin ensures every tenant makes progress regardless of queue depth.</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Per-tenant rate limiting: token bucket in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PER-TENANT RATE 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Plan limits: starter=100/min, professional=1000/min, enterprise=10000/min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each API request from tenant 'acme' (professional plan):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tokens = DECR rate_limit:acme:minute:{current_minute_bucket}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tokens first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rate_limit:acme:minute:{bucket} 1000 EX 60  ← reset per 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tokens &lt;=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HTTP 429 { error: 'Rate limit exceeded', retry_after: 60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Atomic, fast, no 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QUOTA MONITORING: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Track: requests_this_month per tenant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at 80% of monthly quota → email 'approaching 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100%: soft-throttle (slow responses) or hard-block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Billing: monthly quota overage = additional charge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FAIR SCHEDULING (background jobs):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WRONG (FIFO): tenant_A has 10,000 jobs → all run first → tenant_B waits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RIGHT (round-robin per tenant):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 partitioned by tenant: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tenant_A_queue: [job1, job2, ..., job10000]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tenant_B_queue: [job1]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Worker: picks one from A, then one from B, then one from 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tenant_B's single job completes quickly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tenant_A's 10,000 jobs take longer (fair)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Per-Tenant Customisation</w:t>
      </w:r>
    </w:p>
    <w:p>
      <w:pPr>
        <w:pStyle w:val="Heading2"/>
        <w:spacing w:after="140" w:before="320"/>
      </w:pPr>
      <w:r>
        <w:rPr>
          <w:rFonts w:ascii="Arial" w:cs="Arial" w:eastAsia="Arial" w:hAnsi="Arial"/>
          <w:b/>
          <w:bCs/>
          <w:color w:val="2E75B6"/>
          <w:sz w:val="28"/>
          <w:szCs w:val="28"/>
        </w:rPr>
        <w:t xml:space="preserve">5.1  Config, Branding, Feature Flags</w:t>
      </w:r>
    </w:p>
    <w:p>
      <w:pPr>
        <w:spacing w:after="80" w:before="80"/>
      </w:pPr>
      <w:r>
        <w:rPr>
          <w:rFonts w:ascii="Arial" w:cs="Arial" w:eastAsia="Arial" w:hAnsi="Arial"/>
          <w:b/>
          <w:bCs/>
          <w:color w:val="1A1A1A"/>
          <w:sz w:val="22"/>
          <w:szCs w:val="22"/>
        </w:rPr>
        <w:t xml:space="preserve">Enterprise SaaS customers expect customisation</w:t>
      </w:r>
      <w:r>
        <w:rPr>
          <w:rFonts w:ascii="Arial" w:cs="Arial" w:eastAsia="Arial" w:hAnsi="Arial"/>
          <w:color w:val="1A1A1A"/>
          <w:sz w:val="22"/>
          <w:szCs w:val="22"/>
        </w:rPr>
        <w:t xml:space="preserve">: their own logo and colours, configuration tuned to their workflows, and early access to features. Per-tenant customisation must be managed without creating N separate code deployments: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Per-tenant customisation: config and branding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 CONFIG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tenant_config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tenant_id          UUID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branding           JSONB,  -- { logo_url, primary_color, font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feature_overrides  JSONB,  -- { new_dashboard: true, ai_features: false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plan               VARCHAR(32),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custom_domain      VARCHAR(256),  -- portal.acme.com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sso_provider       JSONB,  -- { type: 'saml', metadata_url: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locale             VARCHAR(16)  -- 'en-US'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BRANDING CUSTOMISATION: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 config: { logo_url: 'https://cdn.acme.com/logo.png',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primary_color: '#003366',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company_name: 'Acme Corp'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reads config on tenant resolution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Frontend: injects CSS variables; loads tenant logo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White-label: custom domain (portal.acme.com) + tenant branding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FEATURE FLAGS PER TENANT: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Global flag: 'ai_assistant' = false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 override: acme.feature_overrides.ai_assistant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Acme enabled early access; all other tenants see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SSO (enterprise requirement):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 config: { sso_provider: { type: 'saml',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entity_id: 'acme-idp',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metadata_url: 'https://acme.okta.com/...'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login: tenant resolved from subdomain → load SSO 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redirect to Acme's Okta for authentication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Each enterprise tenant has their own IdP; shared platform supports all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Automated Onboarding and Offboarding</w:t>
      </w:r>
    </w:p>
    <w:p>
      <w:pPr>
        <w:pStyle w:val="Heading2"/>
        <w:spacing w:after="140" w:before="320"/>
      </w:pPr>
      <w:r>
        <w:rPr>
          <w:rFonts w:ascii="Arial" w:cs="Arial" w:eastAsia="Arial" w:hAnsi="Arial"/>
          <w:b/>
          <w:bCs/>
          <w:color w:val="2E75B6"/>
          <w:sz w:val="28"/>
          <w:szCs w:val="28"/>
        </w:rPr>
        <w:t xml:space="preserve">6.1  Provisioning and Cleanup Pipelines</w:t>
      </w:r>
    </w:p>
    <w:p>
      <w:pPr>
        <w:spacing w:after="80" w:before="80"/>
      </w:pPr>
      <w:r>
        <w:rPr>
          <w:rFonts w:ascii="Arial" w:cs="Arial" w:eastAsia="Arial" w:hAnsi="Arial"/>
          <w:b/>
          <w:bCs/>
          <w:color w:val="1A1A1A"/>
          <w:sz w:val="22"/>
          <w:szCs w:val="22"/>
        </w:rPr>
        <w:t xml:space="preserve">Tenant onboarding</w:t>
      </w:r>
      <w:r>
        <w:rPr>
          <w:rFonts w:ascii="Arial" w:cs="Arial" w:eastAsia="Arial" w:hAnsi="Arial"/>
          <w:color w:val="1A1A1A"/>
          <w:sz w:val="22"/>
          <w:szCs w:val="22"/>
        </w:rPr>
        <w:t xml:space="preserve"> must be </w:t>
      </w:r>
      <w:r>
        <w:rPr>
          <w:rFonts w:ascii="Arial" w:cs="Arial" w:eastAsia="Arial" w:hAnsi="Arial"/>
          <w:b/>
          <w:bCs/>
          <w:color w:val="1A1A1A"/>
          <w:sz w:val="22"/>
          <w:szCs w:val="22"/>
        </w:rPr>
        <w:t xml:space="preserve">automated and fast</w:t>
      </w:r>
      <w:r>
        <w:rPr>
          <w:rFonts w:ascii="Arial" w:cs="Arial" w:eastAsia="Arial" w:hAnsi="Arial"/>
          <w:color w:val="1A1A1A"/>
          <w:sz w:val="22"/>
          <w:szCs w:val="22"/>
        </w:rPr>
        <w:t xml:space="preserve">. A new customer completing signup should have a fully provisioned environment within seconds to minutes, not days. Offboarding must securely delete all tenant data and release resources: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Tenant onboarding: automated provisioning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TRIGGER: New tenant signup → payment confirmed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PROVISIONING PIPELINE (orchestrated by Temporal/Step Functions):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Create tenant record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tenants (id, name, plan, created_at)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 (uuid, 'Acme Corp', 'professional',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Create data isolation layer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plan == 'starter':      add row to shared DB (tenant_id already exists)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plan == 'professional': CREATE SCHEMA tenant_{id};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 migrations in new schema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plan == 'enterprise':   provision new RDS instance (AWS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wait for instance ready (~5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 migrations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Configure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DNS record: {tenant_slug}.myapp.com → load balancer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Register in tenant registry: {slug} → {tenant_id, db_host, plan}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Configure rate limits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quota: Redis SET quota:{tenant_id}:monthly_requests 50000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rate limit: plan_limits[plan] → token bucket 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5: Send welcome email + admin user invitation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admin user account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Send email with setup link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TIME: starter=5 seconds, professional=30 seconds, enterprise=10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OFFBOARDING (GDPR compliance):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Confirm tenant admin intent (require 'delete' typed explicitly)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Export tenant data (S3 backup) → notify tenant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Delete tenant data from all stores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Drop schema / delete DB instance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5: Remove DNS record; cancel billing subscription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6: Audit log: who deleted, when, confirmation code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GDPR requirement: data deleted within 30 days of request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Usage-Based Billing</w:t>
      </w:r>
    </w:p>
    <w:p>
      <w:pPr>
        <w:pStyle w:val="Heading2"/>
        <w:spacing w:after="140" w:before="320"/>
      </w:pPr>
      <w:r>
        <w:rPr>
          <w:rFonts w:ascii="Arial" w:cs="Arial" w:eastAsia="Arial" w:hAnsi="Arial"/>
          <w:b/>
          <w:bCs/>
          <w:color w:val="2E75B6"/>
          <w:sz w:val="28"/>
          <w:szCs w:val="28"/>
        </w:rPr>
        <w:t xml:space="preserve">7.1  Metering, Aggregation, Invoicing</w:t>
      </w:r>
    </w:p>
    <w:p>
      <w:pPr>
        <w:spacing w:after="80" w:before="80"/>
      </w:pPr>
      <w:r>
        <w:rPr>
          <w:rFonts w:ascii="Arial" w:cs="Arial" w:eastAsia="Arial" w:hAnsi="Arial"/>
          <w:b/>
          <w:bCs/>
          <w:color w:val="1A1A1A"/>
          <w:sz w:val="22"/>
          <w:szCs w:val="22"/>
        </w:rPr>
        <w:t xml:space="preserve">SaaS billing</w:t>
      </w:r>
      <w:r>
        <w:rPr>
          <w:rFonts w:ascii="Arial" w:cs="Arial" w:eastAsia="Arial" w:hAnsi="Arial"/>
          <w:color w:val="1A1A1A"/>
          <w:sz w:val="22"/>
          <w:szCs w:val="22"/>
        </w:rPr>
        <w:t xml:space="preserve"> ranges from simple flat-rate subscriptions to complex usage-based models. Usage-based billing (UBB) aligns cost with value delivered — customers pay for what they use — but requires accurate metering infrastructure: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Billing Components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Usage metering: </w:t>
            </w:r>
            <w:r>
              <w:rPr>
                <w:rFonts w:ascii="Arial" w:cs="Arial" w:eastAsia="Arial" w:hAnsi="Arial"/>
                <w:color w:val="1A1A1A"/>
                <w:sz w:val="22"/>
                <w:szCs w:val="22"/>
              </w:rPr>
              <w:t xml:space="preserve">Instrument every billable event: API calls, active users, storage bytes, compute minutes. Emit usage events to a Kafka topic. Each event: { tenant_id, event_type, quantity, timestamp }.</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Usage aggregation: </w:t>
            </w:r>
            <w:r>
              <w:rPr>
                <w:rFonts w:ascii="Arial" w:cs="Arial" w:eastAsia="Arial" w:hAnsi="Arial"/>
                <w:color w:val="1A1A1A"/>
                <w:sz w:val="22"/>
                <w:szCs w:val="22"/>
              </w:rPr>
              <w:t xml:space="preserve">Stream processor aggregates usage events per tenant per billing period. Write to a usage_ledger table: daily totals per tenant per metric. On billing date: aggregate daily totals for the period.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Pricing engine: </w:t>
            </w:r>
            <w:r>
              <w:rPr>
                <w:rFonts w:ascii="Arial" w:cs="Arial" w:eastAsia="Arial" w:hAnsi="Arial"/>
                <w:color w:val="1A1A1A"/>
                <w:sz w:val="22"/>
                <w:szCs w:val="22"/>
              </w:rPr>
              <w:t xml:space="preserve">Apply pricing tiers: first 10,000 API calls/month free; 10,001-100,000 = $0.001/call; 100,001+ = $0.0005/call. Different tiers per plan. Output: invoice line items.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Invoice generation: </w:t>
            </w:r>
            <w:r>
              <w:rPr>
                <w:rFonts w:ascii="Arial" w:cs="Arial" w:eastAsia="Arial" w:hAnsi="Arial"/>
                <w:color w:val="1A1A1A"/>
                <w:sz w:val="22"/>
                <w:szCs w:val="22"/>
              </w:rPr>
              <w:t xml:space="preserve">Monthly (or on-demand) job: sum usage from usage_ledger, apply pricing, generate invoice. Integrate with billing provider (Stripe, Chargebee) for payment processing.</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Real-time quota enforcement: </w:t>
            </w:r>
            <w:r>
              <w:rPr>
                <w:rFonts w:ascii="Arial" w:cs="Arial" w:eastAsia="Arial" w:hAnsi="Arial"/>
                <w:color w:val="1A1A1A"/>
                <w:sz w:val="22"/>
                <w:szCs w:val="22"/>
              </w:rPr>
              <w:t xml:space="preserve">Prevent tenants from exceeding included quotas without payment. Redis counter tracks current-period usage. When counter exceeds plan limit: throttle or notify. Separate from billing aggregation (billing is batch; enforcement is real-time).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Usage metering: event to invoice pipeline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METERING (per API request middleware):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/api/orders → process request → produce usage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tenant_id: 'acme', event_type: 'api_call',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endpoint: 'POST /orders', quantity: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timestamp: 1703961600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Kafka topic: usage-events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AGGREGATION (Flink consumer, writes to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daily_usage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tenant_id | date       | metric     | quantity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acme      | 2024-12-01 | api_calls  | 24,500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acme      | 2024-12-02 | api_calls  | 31,200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acme      | 2024-12-01 | storage_gb | 45.2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INVOICE GENERATION (end of 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SUM(quantity) FROM daily_usage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tenant_id = 'acme'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date BETWEEN '2024-12-01' AND '2024-12-31'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metric = 'api_calls'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total: 847,230 API calls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PRICING TIERS (professional plan):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First 100,000: included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100,001-500,000: $0.0010 each → 400,000 × $0.001 = $400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500,001-1,000,000: $0.0005 each → 347,230 × $0.0005 = $173.62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overage: $573.62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Base subscription: $299/month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Invoice total: $872.62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Stripe API: create_invoice(customer='cus_acme', items=[...])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Invoice emailed; auto-charged via stored payment method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Multi-Tenant SaaS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9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Three isolation tiers: shared, schema-per-tenant, dedicated: </w:t>
            </w:r>
            <w:r>
              <w:rPr>
                <w:rFonts w:ascii="Arial" w:cs="Arial" w:eastAsia="Arial" w:hAnsi="Arial"/>
                <w:color w:val="1A1A1A"/>
                <w:sz w:val="22"/>
                <w:szCs w:val="22"/>
              </w:rPr>
              <w:t xml:space="preserve">Match tier to customer plan and compliance needs. Shared: millions of free/starter tenants. Schema: thousands of professional tenants. Dedicated: hundreds of enterprise tenants. Most SaaS products offer all three.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Tenant routing: subdomain → tenant registry → context injection: </w:t>
            </w:r>
            <w:r>
              <w:rPr>
                <w:rFonts w:ascii="Arial" w:cs="Arial" w:eastAsia="Arial" w:hAnsi="Arial"/>
                <w:color w:val="1A1A1A"/>
                <w:sz w:val="22"/>
                <w:szCs w:val="22"/>
              </w:rPr>
              <w:t xml:space="preserve">acme.myapp.com → extract 'acme' → look up tenant config → inject tenant_id into request context. Never trust client-provided tenant IDs without auth validation.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isolation: RLS is the safety net for shared DB: </w:t>
            </w:r>
            <w:r>
              <w:rPr>
                <w:rFonts w:ascii="Arial" w:cs="Arial" w:eastAsia="Arial" w:hAnsi="Arial"/>
                <w:color w:val="1A1A1A"/>
                <w:sz w:val="22"/>
                <w:szCs w:val="22"/>
              </w:rPr>
              <w:t xml:space="preserve">PostgreSQL RLS: CREATE POLICY that auto-filters by current_tenant session variable. Even if application forgets WHERE clause, RLS prevents cross-tenant data leakage.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Noisy neighbour: rate limits + connection pool quotas + fair queues: </w:t>
            </w:r>
            <w:r>
              <w:rPr>
                <w:rFonts w:ascii="Arial" w:cs="Arial" w:eastAsia="Arial" w:hAnsi="Arial"/>
                <w:color w:val="1A1A1A"/>
                <w:sz w:val="22"/>
                <w:szCs w:val="22"/>
              </w:rPr>
              <w:t xml:space="preserve">Per-tenant token bucket rate limiting in Redis. Connection pool limits per tenant. Round-robin job queuing ensures no tenant starves others.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Automate onboarding: Temporal/Step Functions orchestrate provisioning: </w:t>
            </w:r>
            <w:r>
              <w:rPr>
                <w:rFonts w:ascii="Arial" w:cs="Arial" w:eastAsia="Arial" w:hAnsi="Arial"/>
                <w:color w:val="1A1A1A"/>
                <w:sz w:val="22"/>
                <w:szCs w:val="22"/>
              </w:rPr>
              <w:t xml:space="preserve">Starter: 5 seconds. Professional: 30 seconds. Enterprise: 10 minutes. Offboarding: export → delete all stores → drop schema → audit log. GDPR: 30-day deletion SLA.</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Usage-based billing: meter every event → aggregate daily → invoice monthly: </w:t>
            </w:r>
            <w:r>
              <w:rPr>
                <w:rFonts w:ascii="Arial" w:cs="Arial" w:eastAsia="Arial" w:hAnsi="Arial"/>
                <w:color w:val="1A1A1A"/>
                <w:sz w:val="22"/>
                <w:szCs w:val="22"/>
              </w:rPr>
              <w:t xml:space="preserve">Kafka usage events → Flink aggregation → daily_usage table → monthly pricing engine → Stripe invoice. Real-time quota enforcement separate from billing aggregation.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Interview Question with Full Answer</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3000"/>
        <w:gridCol w:w="9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9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 the data isolation and multi-tenancy architecture for a SaaS platform that serves both small businesses and enterprise customers.</w:t>
            </w:r>
          </w:p>
        </w:tc>
        <w:tc>
          <w:tcPr>
            <w:tcW w:type="dxa" w:w="9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SaaS platform serving both small businesses and enterprise customers needs a tiered isolation model because the requirements of these two customer segments are fundamentally different. Small businesses want low cost and quick setup; enterprises want complete isolation, compliance, and customisation. The architecture should support all three tiers without requiring separate codebases. Tier one, shared everything, serves free and starter-plan customers. All these tenants share a single application cluster and a single database. Every table includes a tenant_id column, and row-level security policies are enforced at the database layer using PostgreSQL's RLS feature. When a connection is opened for a tenant, the session variable app.current_tenant is set to the tenant's UUID. All subsequent queries on that connection are automatically filtered to that tenant's data by the RLS policy, even if the application code omits a WHERE clause. This tier can serve millions of small tenants cost-effectively. Tier two, schema-per-tenant, serves professional customers who require stronger isolation. Each professional tenant gets a dedicated PostgreSQL schema — a namespace of tables within the shared database instance. The application uses a separate connection pool per tenant, and each pool is configured with the correct search_path for that tenant's schema. A query running against tenant A's connection can only access tenant A's schema. This provides stronger isolation than row-level security because it is enforced at the schema namespace level, not the row level. Schema migrations can be run per-tenant, enabling gradual rollouts. Tier three, dedicated infrastructure, serves enterprise customers. Each enterprise tenant gets a dedicated database instance (RDS in a separate VPC) and a dedicated application cluster in Kubernetes. Complete physical isolation — one tenant's workload cannot affect another's, and their data never coexists with other tenants on the same hardware. This tier is the easiest to certify for compliance frameworks like SOC 2 Type II or HIPAA. Tenant routing works through subdomain-based resolution. acme.myapp.com resolves through the API gateway, which extracts the subdomain 'acme', looks up the tenant registry to get the tenant's plan and database connection details, and injects the tenant context into the request before forwarding to the application. For enterprise tenants, the gateway routes directly to the tenant's dedicated cluster. The noisy neighbour problem is addressed with three mechanisms: per-tenant API rate limits using token buckets in Redis, database connection pool quotas ensuring no single tenant exhausts all connections, and round-robin job queue processing that ensures background jobs from different tenants are fairly interleaved. Enterprise tenants additionally get per-tenant customisation: SAML SSO integration, custom domains, per-tenant feature flag overrides, and white-label branding. Tenant onboarding is fully automated, orchestrated by Temporal: a workflow creates the tenant record, provisions the data isolation layer appropriate for the plan, configures routing and rate limits, and sends the welcome communication. Starter tenants onboard in seconds; enterprise tenants take 10 minutes due to database provisioning. Billing is usage-based: every API call, storage byte, and active user emits an event to Kafka, which Flink aggregates into daily totals per tenant. At month end, a pricing engine applies the tier structure to compute invoice line items, which are created in Stripe for automatic payment collection.</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Domain-Specific Design Patterns Module 9: Multi-Tenant SaaS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Domain Patterns Module 9 — Multi-Tenant SaaS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DOMAIN PATTERNS MODULE 9: Multi-Tenant SaaS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2026-04-13T00:33:41.104Z</dcterms:created>
  <dcterms:modified xsi:type="dcterms:W3CDTF">2026-04-13T00:33:41.105Z</dcterms:modified>
</cp:coreProperties>
</file>

<file path=docProps/custom.xml><?xml version="1.0" encoding="utf-8"?>
<Properties xmlns="http://schemas.openxmlformats.org/officeDocument/2006/custom-properties" xmlns:vt="http://schemas.openxmlformats.org/officeDocument/2006/docPropsVTypes"/>
</file>