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56"/>
          <w:szCs w:val="56"/>
        </w:rPr>
        <w:t xml:space="preserve">STRANGLER FIG PATTERN</w:t>
      </w:r>
    </w:p>
    <w:p>
      <w:pPr>
        <w:spacing w:after="180"/>
        <w:jc w:val="center"/>
      </w:pPr>
      <w:r>
        <w:rPr>
          <w:rFonts w:ascii="Arial" w:cs="Arial" w:eastAsia="Arial" w:hAnsi="Arial"/>
          <w:color w:val="1A3A5C"/>
          <w:sz w:val="28"/>
          <w:szCs w:val="28"/>
        </w:rPr>
        <w:t xml:space="preserve">Incremental Migration from Monolith to Microservices</w:t>
      </w:r>
    </w:p>
    <w:p>
      <w:pPr>
        <w:spacing w:after="120"/>
        <w:jc w:val="center"/>
      </w:pPr>
      <w:r>
        <w:rPr>
          <w:rFonts w:ascii="Arial" w:cs="Arial" w:eastAsia="Arial" w:hAnsi="Arial"/>
          <w:b/>
          <w:bCs/>
          <w:color w:val="0D1B2A"/>
          <w:sz w:val="40"/>
          <w:szCs w:val="40"/>
        </w:rPr>
        <w:t xml:space="preserve">Module 2: Step-by-Step Process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Six-step Strangler Fig process: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1: IDENTIFY BOUNDARY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Low coupling + clear data ownership + high change frequency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DDD bounded context = natural migration unit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2: BUILD NEW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Implement same functionality as standalone microservice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Own repo, own DB, own deployment pipeline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3: CREATE FACADE / PROXY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API Gateway / nginx / reverse proxy routes requests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Feature flag or path-based routing to old vs new</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4: MIGRATE TRAFFIC</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10% -&gt; 50% -&gt; 100% canary shift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Monitor error rate and latency at each stage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5: REMOVE OLD CODE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Delete old module from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Deploy and verify no regressions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Step 6: DECOMPOSE DATA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Migrate data ownership to new service's database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Sync, cutover, verify, stop dual-write, archive old tables</w:t>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Six-Step Process</w:t>
      </w:r>
    </w:p>
    <w:p>
      <w:pPr>
        <w:spacing w:after="70"/>
        <w:jc w:val="center"/>
      </w:pPr>
      <w:r>
        <w:rPr>
          <w:rFonts w:ascii="Arial" w:cs="Arial" w:eastAsia="Arial" w:hAnsi="Arial"/>
          <w:b/>
          <w:bCs/>
          <w:color w:val="1565C0"/>
          <w:sz w:val="22"/>
          <w:szCs w:val="22"/>
        </w:rPr>
        <w:t xml:space="preserve">2. </w:t>
      </w:r>
      <w:r>
        <w:rPr>
          <w:rFonts w:ascii="Arial" w:cs="Arial" w:eastAsia="Arial" w:hAnsi="Arial"/>
          <w:color w:val="555555"/>
          <w:sz w:val="22"/>
          <w:szCs w:val="22"/>
        </w:rPr>
        <w:t xml:space="preserve">Step 1: Identify the Boundary</w:t>
      </w:r>
    </w:p>
    <w:p>
      <w:pPr>
        <w:spacing w:after="70"/>
        <w:jc w:val="center"/>
      </w:pPr>
      <w:r>
        <w:rPr>
          <w:rFonts w:ascii="Arial" w:cs="Arial" w:eastAsia="Arial" w:hAnsi="Arial"/>
          <w:b/>
          <w:bCs/>
          <w:color w:val="1565C0"/>
          <w:sz w:val="22"/>
          <w:szCs w:val="22"/>
        </w:rPr>
        <w:t xml:space="preserve">3. </w:t>
      </w:r>
      <w:r>
        <w:rPr>
          <w:rFonts w:ascii="Arial" w:cs="Arial" w:eastAsia="Arial" w:hAnsi="Arial"/>
          <w:color w:val="555555"/>
          <w:sz w:val="22"/>
          <w:szCs w:val="22"/>
        </w:rPr>
        <w:t xml:space="preserve">Step 1: Scoring Candidates for Migration</w:t>
      </w:r>
    </w:p>
    <w:p>
      <w:pPr>
        <w:spacing w:after="70"/>
        <w:jc w:val="center"/>
      </w:pPr>
      <w:r>
        <w:rPr>
          <w:rFonts w:ascii="Arial" w:cs="Arial" w:eastAsia="Arial" w:hAnsi="Arial"/>
          <w:b/>
          <w:bCs/>
          <w:color w:val="1B5E20"/>
          <w:sz w:val="22"/>
          <w:szCs w:val="22"/>
        </w:rPr>
        <w:t xml:space="preserve">4. </w:t>
      </w:r>
      <w:r>
        <w:rPr>
          <w:rFonts w:ascii="Arial" w:cs="Arial" w:eastAsia="Arial" w:hAnsi="Arial"/>
          <w:color w:val="555555"/>
          <w:sz w:val="22"/>
          <w:szCs w:val="22"/>
        </w:rPr>
        <w:t xml:space="preserve">Step 2: Build the New Service</w:t>
      </w:r>
    </w:p>
    <w:p>
      <w:pPr>
        <w:spacing w:after="70"/>
        <w:jc w:val="center"/>
      </w:pPr>
      <w:r>
        <w:rPr>
          <w:rFonts w:ascii="Arial" w:cs="Arial" w:eastAsia="Arial" w:hAnsi="Arial"/>
          <w:b/>
          <w:bCs/>
          <w:color w:val="1B5E20"/>
          <w:sz w:val="22"/>
          <w:szCs w:val="22"/>
        </w:rPr>
        <w:t xml:space="preserve">5. </w:t>
      </w:r>
      <w:r>
        <w:rPr>
          <w:rFonts w:ascii="Arial" w:cs="Arial" w:eastAsia="Arial" w:hAnsi="Arial"/>
          <w:color w:val="555555"/>
          <w:sz w:val="22"/>
          <w:szCs w:val="22"/>
        </w:rPr>
        <w:t xml:space="preserve">Step 2: Service Architecture Checklist</w:t>
      </w:r>
    </w:p>
    <w:p>
      <w:pPr>
        <w:spacing w:after="70"/>
        <w:jc w:val="center"/>
      </w:pPr>
      <w:r>
        <w:rPr>
          <w:rFonts w:ascii="Arial" w:cs="Arial" w:eastAsia="Arial" w:hAnsi="Arial"/>
          <w:b/>
          <w:bCs/>
          <w:color w:val="4A148C"/>
          <w:sz w:val="22"/>
          <w:szCs w:val="22"/>
        </w:rPr>
        <w:t xml:space="preserve">6. </w:t>
      </w:r>
      <w:r>
        <w:rPr>
          <w:rFonts w:ascii="Arial" w:cs="Arial" w:eastAsia="Arial" w:hAnsi="Arial"/>
          <w:color w:val="555555"/>
          <w:sz w:val="22"/>
          <w:szCs w:val="22"/>
        </w:rPr>
        <w:t xml:space="preserve">Step 3: Create the Facade / Proxy</w:t>
      </w:r>
    </w:p>
    <w:p>
      <w:pPr>
        <w:spacing w:after="70"/>
        <w:jc w:val="center"/>
      </w:pPr>
      <w:r>
        <w:rPr>
          <w:rFonts w:ascii="Arial" w:cs="Arial" w:eastAsia="Arial" w:hAnsi="Arial"/>
          <w:b/>
          <w:bCs/>
          <w:color w:val="4A148C"/>
          <w:sz w:val="22"/>
          <w:szCs w:val="22"/>
        </w:rPr>
        <w:t xml:space="preserve">7. </w:t>
      </w:r>
      <w:r>
        <w:rPr>
          <w:rFonts w:ascii="Arial" w:cs="Arial" w:eastAsia="Arial" w:hAnsi="Arial"/>
          <w:color w:val="555555"/>
          <w:sz w:val="22"/>
          <w:szCs w:val="22"/>
        </w:rPr>
        <w:t xml:space="preserve">Step 3: Routing Implementation Examples</w:t>
      </w:r>
    </w:p>
    <w:p>
      <w:pPr>
        <w:spacing w:after="70"/>
        <w:jc w:val="center"/>
      </w:pPr>
      <w:r>
        <w:rPr>
          <w:rFonts w:ascii="Arial" w:cs="Arial" w:eastAsia="Arial" w:hAnsi="Arial"/>
          <w:b/>
          <w:bCs/>
          <w:color w:val="00695C"/>
          <w:sz w:val="22"/>
          <w:szCs w:val="22"/>
        </w:rPr>
        <w:t xml:space="preserve">8. </w:t>
      </w:r>
      <w:r>
        <w:rPr>
          <w:rFonts w:ascii="Arial" w:cs="Arial" w:eastAsia="Arial" w:hAnsi="Arial"/>
          <w:color w:val="555555"/>
          <w:sz w:val="22"/>
          <w:szCs w:val="22"/>
        </w:rPr>
        <w:t xml:space="preserve">Step 4: Migrate Traffic -- Canary Release</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Step 4: Monitoring the Migration</w:t>
      </w:r>
    </w:p>
    <w:p>
      <w:pPr>
        <w:spacing w:after="70"/>
        <w:jc w:val="center"/>
      </w:pPr>
      <w:r>
        <w:rPr>
          <w:rFonts w:ascii="Arial" w:cs="Arial" w:eastAsia="Arial" w:hAnsi="Arial"/>
          <w:b/>
          <w:bCs/>
          <w:color w:val="B71C1C"/>
          <w:sz w:val="22"/>
          <w:szCs w:val="22"/>
        </w:rPr>
        <w:t xml:space="preserve">10. </w:t>
      </w:r>
      <w:r>
        <w:rPr>
          <w:rFonts w:ascii="Arial" w:cs="Arial" w:eastAsia="Arial" w:hAnsi="Arial"/>
          <w:color w:val="555555"/>
          <w:sz w:val="22"/>
          <w:szCs w:val="22"/>
        </w:rPr>
        <w:t xml:space="preserve">Step 5: Remove Old Code</w:t>
      </w:r>
    </w:p>
    <w:p>
      <w:pPr>
        <w:spacing w:after="70"/>
        <w:jc w:val="center"/>
      </w:pPr>
      <w:r>
        <w:rPr>
          <w:rFonts w:ascii="Arial" w:cs="Arial" w:eastAsia="Arial" w:hAnsi="Arial"/>
          <w:b/>
          <w:bCs/>
          <w:color w:val="E65100"/>
          <w:sz w:val="22"/>
          <w:szCs w:val="22"/>
        </w:rPr>
        <w:t xml:space="preserve">11. </w:t>
      </w:r>
      <w:r>
        <w:rPr>
          <w:rFonts w:ascii="Arial" w:cs="Arial" w:eastAsia="Arial" w:hAnsi="Arial"/>
          <w:color w:val="555555"/>
          <w:sz w:val="22"/>
          <w:szCs w:val="22"/>
        </w:rPr>
        <w:t xml:space="preserve">Step 6: Decompose Data</w:t>
      </w:r>
    </w:p>
    <w:p>
      <w:pPr>
        <w:spacing w:after="70"/>
        <w:jc w:val="center"/>
      </w:pPr>
      <w:r>
        <w:rPr>
          <w:rFonts w:ascii="Arial" w:cs="Arial" w:eastAsia="Arial" w:hAnsi="Arial"/>
          <w:b/>
          <w:bCs/>
          <w:color w:val="E65100"/>
          <w:sz w:val="22"/>
          <w:szCs w:val="22"/>
        </w:rPr>
        <w:t xml:space="preserve">12. </w:t>
      </w:r>
      <w:r>
        <w:rPr>
          <w:rFonts w:ascii="Arial" w:cs="Arial" w:eastAsia="Arial" w:hAnsi="Arial"/>
          <w:color w:val="555555"/>
          <w:sz w:val="22"/>
          <w:szCs w:val="22"/>
        </w:rPr>
        <w:t xml:space="preserve">Step 6: Data Migration Patterns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Full Worked Example: Extracting Order Service</w:t>
      </w:r>
    </w:p>
    <w:p>
      <w:pPr>
        <w:spacing w:after="70"/>
        <w:jc w:val="center"/>
      </w:pPr>
      <w:r>
        <w:rPr>
          <w:rFonts w:ascii="Arial" w:cs="Arial" w:eastAsia="Arial" w:hAnsi="Arial"/>
          <w:b/>
          <w:bCs/>
          <w:color w:val="0D1B2A"/>
          <w:sz w:val="22"/>
          <w:szCs w:val="22"/>
        </w:rPr>
        <w:t xml:space="preserve">14.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15.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Six-Step Process</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 1 established the conceptual foundation of the Strangler Fig pattern: what it is, why it is safer than a big-bang rewrite, and its three core properties of continuity, incrementalism, and reversibility. Module 2 provides the concrete, step-by-step process for executing a Strangler Fig migration.</w:t>
      </w:r>
    </w:p>
    <w:p>
      <w:pPr>
        <w:spacing w:after="160"/>
      </w:pPr>
      <w:r>
        <w:rPr>
          <w:rFonts w:ascii="Arial" w:cs="Arial" w:eastAsia="Arial" w:hAnsi="Arial"/>
          <w:b w:val="false"/>
          <w:bCs w:val="false"/>
          <w:color w:val="333333"/>
          <w:sz w:val="22"/>
          <w:szCs w:val="22"/>
        </w:rPr>
        <w:t xml:space="preserve">The six steps are sequential but iterative: Steps 1-5 are repeated for each capability being migrated. Step 6 (data decomposition) is often the last and most complex step for any given service, and is sometimes deferred until the code migration (Steps 1-5) is complete. In practice, a mature migration effort might have multiple capabilities at different steps simultaneously -- one at Step 4 (migrating traffic), one at Step 2 (being built), and one at Step 1 (being evaluated).</w:t>
      </w:r>
    </w:p>
    <w:p>
      <w:pPr>
        <w:spacing w:after="160"/>
      </w:pPr>
      <w:r>
        <w:rPr>
          <w:rFonts w:ascii="Arial" w:cs="Arial" w:eastAsia="Arial" w:hAnsi="Arial"/>
          <w:b w:val="false"/>
          <w:bCs w:val="false"/>
          <w:color w:val="333333"/>
          <w:sz w:val="22"/>
          <w:szCs w:val="22"/>
        </w:rPr>
        <w:t xml:space="preserve">Each step has specific inputs, outputs, and decision criteria. The process is designed so that each step can be executed, validated, and potentially reversed before the next step begins. No step requires irreversible commitment to the next.</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2800"/>
        <w:gridCol w:w="1600"/>
        <w:gridCol w:w="276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Name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Input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Output</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Reversible?</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Identify Boundary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codebase + domain knowledge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Prioritised list of migration candidates</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no production change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New Service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Capability specification from monolith</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Deployed new service (in staging/shadow)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 -- monolith unchanged</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Facade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endpoint + monolith endpoint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layer directing traffic to monolith (initially)</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remove facade, revert to direct</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Migrate Traffic</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Validated new service + facade in place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traffic on new service; monolith dormant for this capability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config change routes back</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Old Code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proven at 100% traffic for N weeks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without this capability's code</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Harder -- requires code revert</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Decompose Data</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DB tables for this capability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owned by new service's DB; monolith tables archived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 -- requires data migration revert</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2. Step 1: Identify the Boundary</w:t>
      </w:r>
    </w:p>
    <w:p>
      <w:pPr>
        <w:shd w:fill="E3F2FD" w:val="clear"/>
        <w:spacing w:after="200"/>
        <w:ind w:left="240" w:right="240"/>
      </w:pPr>
      <w:r>
        <w:rPr>
          <w:rFonts w:ascii="Arial" w:cs="Arial" w:eastAsia="Arial" w:hAnsi="Arial"/>
          <w:color w:val="1565C0"/>
          <w:sz w:val="24"/>
          <w:szCs w:val="24"/>
        </w:rPr>
        <w:t xml:space="preserve">Find a module with clear boundaries, low coupling, clear data ownership, high change frequency</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The hardest step in a Strangler Fig migration is often the first: choosing which capability to migrate. The choice matters because: a poorly-chosen first migration is disproportionately hard and discourages the team, while a well-chosen first migration builds confidence and demonstrates the pattern's value. The ideal first candidate is small, well-bounded, loosely coupled to the rest of the monolith, and frequently changed.</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DDD Bounded Context: A domain-driven design concept that defines a boundary within which a specific domain model applies consistently. Within a bounded context, terms, concepts, and rules have a single, unambiguous meaning. Bounded contexts are the natural units of the Strangler Fig migration -- they identify where the monolith's internal boundaries already exist and can be externalised as service boundaries.</w:t>
      </w:r>
    </w:p>
    <w:p>
      <w:pPr>
        <w:pStyle w:val="Heading2"/>
        <w:spacing w:after="100" w:before="280"/>
      </w:pPr>
      <w:r>
        <w:rPr>
          <w:rFonts w:ascii="Arial" w:cs="Arial" w:eastAsia="Arial" w:hAnsi="Arial"/>
          <w:b/>
          <w:bCs/>
          <w:color w:val="1565C0"/>
          <w:sz w:val="28"/>
          <w:szCs w:val="28"/>
        </w:rPr>
        <w:t xml:space="preserve">2.1 The Three Selection Criteria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Criteria for selecting the first migration candidate: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CRITERION 1: LOW COUPLING TO REST OF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capability should have few dependencies into other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parts of the monolith's codebase.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Signs of LOW coupling (good):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Capability has its own package/module in the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Other modules rarely call into this capability's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This capability rarely calls into other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Has its own database tables (or schema) not shared with others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Signs of HIGH coupling (avoid for first migration):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Capability is called by many other modules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Capability calls many other modules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Shares database tables with other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Uses shared domain objects that span multiple capabilities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CRITERION 2: CLEAR DATA OWNERSHIP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capability owns specific database tables that are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not written to by other parts of the monolith.</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Clear ownership: orders table written only by order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Unclear ownership: orders table written by order, payment,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inventory, and shipping code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CRITERION 3: HIGH CHANGE FREQUENCY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Capabilities that change often benefit more from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independent deployment than stable ones.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High value: team deploys monolith weekly for order changes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After migration: order changes deploy independently in hours</w:t>
      </w:r>
    </w:p>
    <w:p>
      <w:pPr>
        <w:pStyle w:val="Heading2"/>
        <w:spacing w:after="100" w:before="280"/>
      </w:pPr>
      <w:r>
        <w:rPr>
          <w:rFonts w:ascii="Arial" w:cs="Arial" w:eastAsia="Arial" w:hAnsi="Arial"/>
          <w:b/>
          <w:bCs/>
          <w:color w:val="1565C0"/>
          <w:sz w:val="28"/>
          <w:szCs w:val="28"/>
        </w:rPr>
        <w:t xml:space="preserve">2.2 Domain-Driven Design and Bounded Contexts</w:t>
      </w:r>
    </w:p>
    <w:p>
      <w:pPr>
        <w:spacing w:after="160"/>
      </w:pPr>
      <w:r>
        <w:rPr>
          <w:rFonts w:ascii="Arial" w:cs="Arial" w:eastAsia="Arial" w:hAnsi="Arial"/>
          <w:b w:val="false"/>
          <w:bCs w:val="false"/>
          <w:color w:val="333333"/>
          <w:sz w:val="22"/>
          <w:szCs w:val="22"/>
        </w:rPr>
        <w:t xml:space="preserve">Domain-Driven Design (DDD) provides the conceptual vocabulary for identifying boundaries. A bounded context is a part of the domain where specific terms, concepts, and rules apply consistently. In an e-commerce system, 'Order' means something specific and bounded in the Order bounded context; 'Order' in the Shipping bounded context is a different concept (a shipment request). The different meanings signal a boundary between contexts.</w:t>
      </w:r>
    </w:p>
    <w:tbl>
      <w:tblPr>
        <w:tblW w:type="dxa" w:w="13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4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E-commerce Domain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Bounded Context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Concept</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Owned</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to Others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Context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lifecycle, items, totals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orders, order_items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users, products. Writes: orders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processing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Context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Charges, refunds, payment methods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payments, refunds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orders (for amount). Writes: payments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 warehouse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Context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Stock levels, locations, reservations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products, stock_levels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orders (for reservations). Writes: stock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management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Identity Context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profiles, authentication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sessions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 by everything. Writes: users only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 email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 Context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templates, delivery status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notifications</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Reads: users, orders. Writes: notifications only</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3. Step 1: Scoring Candidates for Migration</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A systematic scoring approach helps teams evaluate migration candidates objectively and prioritise the order of migration. Score each capability on three dimensions: coupling (lower is better), data ownership clarity (higher is better), and change frequency (higher is better). Candidates with the highest combined score are the best first migrations.</w:t>
      </w:r>
    </w:p>
    <w:p>
      <w:pPr>
        <w:pStyle w:val="Heading2"/>
        <w:spacing w:after="100" w:before="280"/>
      </w:pPr>
      <w:r>
        <w:rPr>
          <w:rFonts w:ascii="Arial" w:cs="Arial" w:eastAsia="Arial" w:hAnsi="Arial"/>
          <w:b/>
          <w:bCs/>
          <w:color w:val="1565C0"/>
          <w:sz w:val="28"/>
          <w:szCs w:val="28"/>
        </w:rPr>
        <w:t xml:space="preserve">3.1 Scoring Matrix</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800"/>
        <w:gridCol w:w="1800"/>
        <w:gridCol w:w="1800"/>
        <w:gridCol w:w="25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1 (Worst)</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2</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3</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4</w:t>
            </w:r>
          </w:p>
        </w:tc>
        <w:tc>
          <w:tcPr>
            <w:tcW w:type="dxa" w:w="2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Score 5 (Best)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 (inbound calls)</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 callers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6-10 callers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3-5 callers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1-2 callers</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0 callers (pure leaf)</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Coupling (outbound calls)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10 dependencies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6-10 deps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3-5 deps</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1-2 deps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deps (self-contained)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ownership</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shared by &gt; 5 modules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by 3-5</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by 2-3</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Writes by 1 other module</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Exclusively written by this capability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frequency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changes (stable utility)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Quarterly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Monthly</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Weekly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Daily / multiple times per week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knowledge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Core domain, complex rules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Some undocumented rules</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Mostly documented</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Well documented</w:t>
            </w:r>
          </w:p>
        </w:tc>
        <w:tc>
          <w:tcPr>
            <w:tcW w:type="dxa" w:w="2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Fully documented, owner identified</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3.2 Example Scoring -- E-Commerce Monolith</w:t>
      </w:r>
    </w:p>
    <w:tbl>
      <w:tblPr>
        <w:tblW w:type="dxa" w:w="16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2000"/>
        <w:gridCol w:w="1800"/>
        <w:gridCol w:w="1600"/>
        <w:gridCol w:w="1400"/>
        <w:gridCol w:w="33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Capability</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(In)</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Coupling (Out)</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Data Ownership</w:t>
            </w:r>
          </w:p>
        </w:tc>
        <w:tc>
          <w:tcPr>
            <w:tcW w:type="dxa" w:w="1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Change Freq</w:t>
            </w:r>
          </w:p>
        </w:tc>
        <w:tc>
          <w:tcPr>
            <w:tcW w:type="dxa" w:w="1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Knowledge</w:t>
            </w:r>
          </w:p>
        </w:tc>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Total</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Priority</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Notification/Email</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20</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1st -- start here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Management</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18</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2nd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 Processing</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17</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3rd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15</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4th</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 Management</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1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16</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5th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Pricing / Promotions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 -- too coupled</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STEP 1  </w:t>
      </w:r>
      <w:r>
        <w:rPr>
          <w:rFonts w:ascii="Arial" w:cs="Arial" w:eastAsia="Arial" w:hAnsi="Arial"/>
          <w:color w:val="333333"/>
          <w:sz w:val="22"/>
          <w:szCs w:val="22"/>
        </w:rPr>
        <w:t xml:space="preserve">Start with the highest-scoring candidate. Notification/Email service scores highest: it is a leaf node (nothing calls it for core business logic), has exclusive data ownership, and its functionality is well-understood. Pricing/Promotions scores lowest because it is called by many capabilities and shares data widely -- extract it last.</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4. Step 2: Build the New Service</w:t>
      </w:r>
    </w:p>
    <w:p>
      <w:pPr>
        <w:shd w:fill="E8F5E9" w:val="clear"/>
        <w:spacing w:after="200"/>
        <w:ind w:left="240" w:right="240"/>
      </w:pPr>
      <w:r>
        <w:rPr>
          <w:rFonts w:ascii="Arial" w:cs="Arial" w:eastAsia="Arial" w:hAnsi="Arial"/>
          <w:color w:val="1B5E20"/>
          <w:sz w:val="24"/>
          <w:szCs w:val="24"/>
        </w:rPr>
        <w:t xml:space="preserve">Implement the same functionality as a standalone microservice -- own repo, own DB, own pipeline</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Step 2 builds the new microservice that will eventually replace the identified monolith capability. The new service must replicate the monolith's functionality for this capability -- but it can use a different technology stack, different database schema, and different internal design. The key constraint: the new service must have the same external API contract as the monolith (or the facade must translate between them).</w:t>
      </w:r>
    </w:p>
    <w:p>
      <w:pPr>
        <w:spacing w:after="160"/>
      </w:pPr>
      <w:r>
        <w:rPr>
          <w:rFonts w:ascii="Arial" w:cs="Arial" w:eastAsia="Arial" w:hAnsi="Arial"/>
          <w:b w:val="false"/>
          <w:bCs w:val="false"/>
          <w:color w:val="333333"/>
          <w:sz w:val="22"/>
          <w:szCs w:val="22"/>
        </w:rPr>
        <w:t xml:space="preserve">During Step 2, the monolith is untouched. 100% of production traffic still goes to the monolith. The new service is deployed to staging and tested there, including shadow mode testing (receiving copies of production traffic to validate correctness before going live).</w:t>
      </w:r>
    </w:p>
    <w:p>
      <w:pPr>
        <w:pStyle w:val="Heading2"/>
        <w:spacing w:after="100" w:before="280"/>
      </w:pPr>
      <w:r>
        <w:rPr>
          <w:rFonts w:ascii="Arial" w:cs="Arial" w:eastAsia="Arial" w:hAnsi="Arial"/>
          <w:b/>
          <w:bCs/>
          <w:color w:val="1B5E20"/>
          <w:sz w:val="28"/>
          <w:szCs w:val="28"/>
        </w:rPr>
        <w:t xml:space="preserve">4.1 API Contract Compatibility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API contract compatibility -- new service must match monolith's API: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endpoint: GET /api/orders/{id}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Monolith response: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"ord-123",</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"CONFIRMED",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99.99,</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 "cust-456"</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Order Service: MUST return the same contract: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GET /api/orders/{id}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Response: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 "ord-123",       -- same field names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"status": "CONFIRMED", -- same status values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"items": [...],        -- same item structure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"total": 99.99,        -- same numeric format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"customerId": "cust-456" -- same foreign key reference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CAN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Internal implementation (Java -&gt; Go, Spring -&gt; Quarkus)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Database (PostgreSQL -&gt; MongoDB if appropriate)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Additional response fields (additive changes are OK)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Performance characteristics (should improve)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What MUST NOT change: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HTTP method and path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Required request fields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Response field names and types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Status codes returned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Error response format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Any breaking change = all clients break simultaneously</w:t>
      </w:r>
    </w:p>
    <w:p>
      <w:pPr>
        <w:pStyle w:val="Heading2"/>
        <w:spacing w:after="100" w:before="280"/>
      </w:pPr>
      <w:r>
        <w:rPr>
          <w:rFonts w:ascii="Arial" w:cs="Arial" w:eastAsia="Arial" w:hAnsi="Arial"/>
          <w:b/>
          <w:bCs/>
          <w:color w:val="1B5E20"/>
          <w:sz w:val="28"/>
          <w:szCs w:val="28"/>
        </w:rPr>
        <w:t xml:space="preserve">4.2 Database Strategy for New Service</w:t>
      </w:r>
    </w:p>
    <w:p>
      <w:pPr>
        <w:spacing w:after="160"/>
      </w:pPr>
      <w:r>
        <w:rPr>
          <w:rFonts w:ascii="Arial" w:cs="Arial" w:eastAsia="Arial" w:hAnsi="Arial"/>
          <w:b w:val="false"/>
          <w:bCs w:val="false"/>
          <w:color w:val="333333"/>
          <w:sz w:val="22"/>
          <w:szCs w:val="22"/>
        </w:rPr>
        <w:t xml:space="preserve">The new service needs its own database -- not a shared database with the monolith. During Step 2, the new service's database may be initially populated by syncing from the monolith's database. The service maintains its own copy of the data. Both the monolith and the new service may write to their respective databases independently during the transition (dual-write, or event-driven sync). Data decomposition (Step 6) formally transfers data ownership after the code migration is complete.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Database options for new service during Step 2:</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 A: Separate database, synced from monolith</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service DB: orders table (copy/sync of monolith orders)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Sync mechanism: CDC (Debezium) or event-driven or scheduled ETL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service: reads from own DB (latest synced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Writes during Step 2: still go to monolith (monolith serves all writes)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Risk: sync lag means new service may have slightly stale reads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 B: New service reads from monolith DB (read-only connection)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service: read-only connection to monolith 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Simpler: no sync required; always reads latest data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Risk: creates dependency on monolith DB; not true independence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Acceptable: short-term during Step 2 / Step 3; remove in Step 6</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OPTION C: New service has own DB from day 1 (preferred)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New service: own DB, own schema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Populate initially: seed from monolith DB via one-time migration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Sync: events from monolith (Outbox pattern) keep it current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Best for: true independence; clean data ownership from the start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Recommendation: Option C with event-driven sync from monolith.</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Option B is acceptable for a short Phase 2; must move to C before Step 6.</w:t>
      </w:r>
    </w:p>
    <w:p>
      <w:r>
        <w:br w:type="page"/>
      </w:r>
    </w:p>
    <w:p>
      <w:pPr>
        <w:pStyle w:val="Heading1"/>
        <w:spacing w:after="120" w:before="360"/>
      </w:pPr>
      <w:r>
        <w:rPr>
          <w:rFonts w:ascii="Arial" w:cs="Arial" w:eastAsia="Arial" w:hAnsi="Arial"/>
          <w:b/>
          <w:bCs/>
          <w:color w:val="0D1B2A"/>
          <w:sz w:val="40"/>
          <w:szCs w:val="40"/>
        </w:rPr>
        <w:t xml:space="preserve">5. Step 2: Service Architecture Checklist</w:t>
      </w:r>
    </w:p>
    <w:p>
      <w:pPr>
        <w:pBdr>
          <w:bottom w:val="single" w:color="1B5E20" w:sz="8" w:space="1"/>
        </w:pBdr>
        <w:spacing w:after="160"/>
      </w:pPr>
    </w:p>
    <w:p>
      <w:pPr>
        <w:spacing w:after="160"/>
      </w:pPr>
      <w:r>
        <w:rPr>
          <w:rFonts w:ascii="Arial" w:cs="Arial" w:eastAsia="Arial" w:hAnsi="Arial"/>
          <w:b w:val="false"/>
          <w:bCs w:val="false"/>
          <w:color w:val="333333"/>
          <w:sz w:val="22"/>
          <w:szCs w:val="22"/>
        </w:rPr>
        <w:t xml:space="preserve">Before proceeding to Step 3, the new service must meet a set of production-readiness criteria. This checklist ensures the service is truly independent, observable, and reliable enough to receive production traffic.</w:t>
      </w:r>
    </w:p>
    <w:p>
      <w:pPr>
        <w:pStyle w:val="Heading2"/>
        <w:spacing w:after="100" w:before="280"/>
      </w:pPr>
      <w:r>
        <w:rPr>
          <w:rFonts w:ascii="Arial" w:cs="Arial" w:eastAsia="Arial" w:hAnsi="Arial"/>
          <w:b/>
          <w:bCs/>
          <w:color w:val="1B5E20"/>
          <w:sz w:val="28"/>
          <w:szCs w:val="28"/>
        </w:rPr>
        <w:t xml:space="preserve">5.1 Independence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Matters</w:t>
            </w:r>
          </w:p>
        </w:tc>
        <w:tc>
          <w:tcPr>
            <w:tcW w:type="dxa" w:w="4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Validation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Own code repository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can be deployed independently without monolith build</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Git repo or module with own CI/CD pipeline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 database</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data isolated from monolith; data ownership clear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DB instance or schema; no shared tables with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Own deployment pipeline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deploys on its own schedule without monolith release</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CI/CD pipeline runs independently; deployment does not require monolith deploy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Own API documentation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Consumers can integrate without monolith knowledge</w:t>
            </w:r>
          </w:p>
        </w:tc>
        <w:tc>
          <w:tcPr>
            <w:tcW w:type="dxa" w:w="4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OpenAPI/Swagger spec committed to repo; up to date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shared code with monolith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Deployment changes in one do not affect the other</w:t>
            </w:r>
          </w:p>
        </w:tc>
        <w:tc>
          <w:tcPr>
            <w:tcW w:type="dxa" w:w="4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JAR/library shared between monolith and service at runtime</w:t>
            </w:r>
          </w:p>
        </w:tc>
      </w:tr>
    </w:tbl>
    <w:p>
      <w:pPr>
        <w:spacing w:after="0" w:before="80"/>
      </w:pPr>
      <w:r>
        <w:t xml:space="preserve"/>
      </w:r>
    </w:p>
    <w:p>
      <w:pPr>
        <w:pStyle w:val="Heading2"/>
        <w:spacing w:after="100" w:before="280"/>
      </w:pPr>
      <w:r>
        <w:rPr>
          <w:rFonts w:ascii="Arial" w:cs="Arial" w:eastAsia="Arial" w:hAnsi="Arial"/>
          <w:b/>
          <w:bCs/>
          <w:color w:val="1B5E20"/>
          <w:sz w:val="28"/>
          <w:szCs w:val="28"/>
        </w:rPr>
        <w:t xml:space="preserve">5.2 Observability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Requirement</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Tooling</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to Observe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Structured logging</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Logback + JSON format, shipped to ELK/Loki</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Request/response logging; error details with stack trace; correlation IDs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Health endpoint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Actuator /health, /health/readiness, /health/liveness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DB connection, Kafka connection, external dependency health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Metrics endpoint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Micrometer + Prometheus /actuator/prometheus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 rate, latency p50/p95/p99, error rate, JVM metrics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Distributed tracing</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OpenTelemetry + Jaeger/Zipkin, trace IDs in headers</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End-to-end request trace across service boundaries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Alerting rules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alert rules or cloud-native alerts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 &gt; 1%, p99 latency &gt; SLA, health check failing</w:t>
            </w:r>
          </w:p>
        </w:tc>
      </w:tr>
    </w:tbl>
    <w:p>
      <w:pPr>
        <w:spacing w:after="0" w:before="80"/>
      </w:pPr>
      <w:r>
        <w:t xml:space="preserve"/>
      </w:r>
    </w:p>
    <w:p>
      <w:pPr>
        <w:pBdr>
          <w:top w:val="single" w:color="1B5E20" w:sz="2"/>
          <w:bottom w:val="single" w:color="1B5E20" w:sz="2"/>
          <w:left w:val="single" w:color="1B5E20" w:sz="20"/>
          <w:right w:val="single" w:color="1B5E20" w:sz="2"/>
        </w:pBdr>
        <w:shd w:fill="E8F5E9" w:val="clear"/>
        <w:spacing w:after="160"/>
        <w:ind w:left="360" w:right="360"/>
      </w:pPr>
      <w:r>
        <w:rPr>
          <w:rFonts w:ascii="Arial" w:cs="Arial" w:eastAsia="Arial" w:hAnsi="Arial"/>
          <w:b/>
          <w:bCs/>
          <w:color w:val="1B5E20"/>
          <w:sz w:val="22"/>
          <w:szCs w:val="22"/>
        </w:rPr>
        <w:t xml:space="preserve">STEP 2  </w:t>
      </w:r>
      <w:r>
        <w:rPr>
          <w:rFonts w:ascii="Arial" w:cs="Arial" w:eastAsia="Arial" w:hAnsi="Arial"/>
          <w:color w:val="333333"/>
          <w:sz w:val="22"/>
          <w:szCs w:val="22"/>
        </w:rPr>
        <w:t xml:space="preserve">Do not proceed to Step 3 until the new service passes the independence and observability checklists. A service that is not independently deployable or observable should not receive production traffic -- bugs will be hard to diagnose and rollback will be complicated.</w:t>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6. Step 3: Create the Facade / Proxy</w:t>
      </w:r>
    </w:p>
    <w:p>
      <w:pPr>
        <w:shd w:fill="F3E5F5" w:val="clear"/>
        <w:spacing w:after="200"/>
        <w:ind w:left="240" w:right="240"/>
      </w:pPr>
      <w:r>
        <w:rPr>
          <w:rFonts w:ascii="Arial" w:cs="Arial" w:eastAsia="Arial" w:hAnsi="Arial"/>
          <w:color w:val="4A148C"/>
          <w:sz w:val="24"/>
          <w:szCs w:val="24"/>
        </w:rPr>
        <w:t xml:space="preserve">API Gateway or reverse proxy routes requests to old vs new based on path or feature flag</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Step 3 introduces the facade: the routing layer that will direct traffic between the monolith and the new service. Initially, the facade routes 100% of traffic to the monolith -- no change in behaviour. The new service is deployed and reachable, but no live traffic reaches it yet. The facade is validated in this 'pass-through' state before any routing changes are made.</w:t>
      </w:r>
    </w:p>
    <w:p>
      <w:pPr>
        <w:spacing w:after="160"/>
      </w:pPr>
      <w:r>
        <w:rPr>
          <w:rFonts w:ascii="Arial" w:cs="Arial" w:eastAsia="Arial" w:hAnsi="Arial"/>
          <w:b w:val="false"/>
          <w:bCs w:val="false"/>
          <w:color w:val="333333"/>
          <w:sz w:val="22"/>
          <w:szCs w:val="22"/>
        </w:rPr>
        <w:t xml:space="preserve">The facade serves as both the routing mechanism and the abstraction boundary: clients talk to the facade and have no knowledge of whether they are ultimately served by the monolith or the new service. This transparency is what makes the migration invisible to users and enables gradual traffic shifting.</w:t>
      </w:r>
    </w:p>
    <w:p>
      <w:pPr>
        <w:pStyle w:val="Heading2"/>
        <w:spacing w:after="100" w:before="280"/>
      </w:pPr>
      <w:r>
        <w:rPr>
          <w:rFonts w:ascii="Arial" w:cs="Arial" w:eastAsia="Arial" w:hAnsi="Arial"/>
          <w:b/>
          <w:bCs/>
          <w:color w:val="4A148C"/>
          <w:sz w:val="28"/>
          <w:szCs w:val="28"/>
        </w:rPr>
        <w:t xml:space="preserve">6.1 Facade Architecture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Facade architecture at different stages: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STAGE 1 (Step 3, initial): facade is a pass-through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-&gt; [Facade/Proxy] -&gt;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(new service deployed but receives 0% traffic)</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STAGE 2 (Step 4, canary 10%):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-&gt; [Facade/Proxy]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|-- 10% /api/orders/* -&gt; [Order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|-- 90% /api/orders/* -&gt;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|-- 100% /api/*       -&gt;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STAGE 3 (Step 4, full migration 100%):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-&gt; [Facade/Proxy]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|-- 100% /api/orders/* -&gt; [Order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|-- 100% /api/*        -&gt;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STAGE 4 (Step 5, monolith decommissioned):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[Client] -&gt; [API Gateway]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/api/orders/*   -&gt; Order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/api/payments/* -&gt; Payment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/api/*          -&gt; [nothing -- error: route not found]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(monolith fully decommissioned)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The facade's routing table is the migration's progress report.</w:t>
      </w:r>
    </w:p>
    <w:p>
      <w:pPr>
        <w:pStyle w:val="Heading2"/>
        <w:spacing w:after="100" w:before="280"/>
      </w:pPr>
      <w:r>
        <w:rPr>
          <w:rFonts w:ascii="Arial" w:cs="Arial" w:eastAsia="Arial" w:hAnsi="Arial"/>
          <w:b/>
          <w:bCs/>
          <w:color w:val="4A148C"/>
          <w:sz w:val="28"/>
          <w:szCs w:val="28"/>
        </w:rPr>
        <w:t xml:space="preserve">6.2 Feature Flag vs Path-Based Routing</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Routing Strategy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Case</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Rollback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Path-based routing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requests to /api/orders/* -&gt; Order Service; all others -&gt;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 API path separation between capabilities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routing rule; instant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Header-based routing</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X-Use-New-Service: true header routes to new service; others to monolith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Internal testing; specific clients opt in to new service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header; clients return to monolith</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Feature flag routing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Flag enabled for user/tenant/percentage -&gt; new service; disabled -&gt;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Gradual user-based rollout; A/B testing</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Toggle flag off; instant rollback</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Percentage-based weight</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of /api/orders/* traffic weight -&gt; Order Service; 90% -&gt; monolith</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Canary release with statistical confidence</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Set weight to 0%; instant rollback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Geographic routing</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from region X -&gt; new service; others -&gt; monolith</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Regional rollout; regulatory compliance by region</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Change region config; instant</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7. Step 3: Routing Implementation Examples</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7.1 nginx Reverse Proxy -- Path-Based Routing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nginx.conf -- Strangler Fig routing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Initially: all order traffic to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After Step 3-&gt;4: order traffic to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upstream monolith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 monolith:8080;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upstream order_service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server order-service:8081;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server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listen 80;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3: all traffic to monolith (initial state)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location /api/orders/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proxy_pass http://monolith;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Step 4: 100% order traffic to new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location /api/orders/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proxy_pass http://order_service;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proxy_set_header Host $host;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proxy_set_header X-Real-IP $remote_addr;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proxy_set_header X-Request-ID $request_id;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All other traffic: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location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proxy_pass http://monolith;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proxy_set_header Host $host;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proxy_set_header X-Real-IP $remote_addr;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Weighted canary (nginx Plus or with split_clients):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split_clients '${remote_addr}' $backend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10% order_service;   # 10% canary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monolith;          # 90% to monolith</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w:t>
      </w:r>
    </w:p>
    <w:p>
      <w:pPr>
        <w:pStyle w:val="Heading2"/>
        <w:spacing w:after="100" w:before="280"/>
      </w:pPr>
      <w:r>
        <w:rPr>
          <w:rFonts w:ascii="Arial" w:cs="Arial" w:eastAsia="Arial" w:hAnsi="Arial"/>
          <w:b/>
          <w:bCs/>
          <w:color w:val="4A148C"/>
          <w:sz w:val="28"/>
          <w:szCs w:val="28"/>
        </w:rPr>
        <w:t xml:space="preserve">7.2 Spring Cloud Gateway -- Programmatic Routing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Spring Cloud Gateway: programmatic routing with feature flags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GatewayRoutingConfig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RouteLocator routes(RouteLocatorBuilder builder,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FeatureFlagService flags)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builder.routes()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Route orders to new service if feature flag enabled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.route("orders-new-service", r -&gt; 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.path("/api/orders/**")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.asyncPredicate(exchange -&gt;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Feature flag check: per-user or percentage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String userId = exchange.getRequest()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.getHeaders().getFirst("X-User-Id");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Mono.just(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flags.isEnabled("order-service-migration", userId)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.uri("http://order-service:8081")</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Fallback: all other /api/orders traffic to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.route("orders-monolith", r -&gt; 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.path("/api/orders/**")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.uri("http://monolith:8080")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Everything else: monolith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.route("monolith-catch-all", r -&gt; 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.path("/**")</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.uri("http://monolith:8080")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.build();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Feature flag: 'order-service-migration' enabled for 10% of users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Gradually increase: 10% -&gt; 25% -&gt; 50% -&gt; 100%</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8. Step 4: Migrate Traffic -- Canary Release</w:t>
      </w:r>
    </w:p>
    <w:p>
      <w:pPr>
        <w:shd w:fill="E0F2F1" w:val="clear"/>
        <w:spacing w:after="200"/>
        <w:ind w:left="240" w:right="240"/>
      </w:pPr>
      <w:r>
        <w:rPr>
          <w:rFonts w:ascii="Arial" w:cs="Arial" w:eastAsia="Arial" w:hAnsi="Arial"/>
          <w:color w:val="00695C"/>
          <w:sz w:val="24"/>
          <w:szCs w:val="24"/>
        </w:rPr>
        <w:t xml:space="preserve">10% -&gt; 50% -&gt; 100% with monitoring and rollback triggers at each stage</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Step 4 is the most operationally intense step: gradually shifting live production traffic to the new service while monitoring its behaviour at each increment. The canary release approach reduces risk by limiting the proportion of users affected if the new service has issues.</w:t>
      </w:r>
    </w:p>
    <w:p>
      <w:pPr>
        <w:pStyle w:val="Heading2"/>
        <w:spacing w:after="100" w:before="280"/>
      </w:pPr>
      <w:r>
        <w:rPr>
          <w:rFonts w:ascii="Arial" w:cs="Arial" w:eastAsia="Arial" w:hAnsi="Arial"/>
          <w:b/>
          <w:bCs/>
          <w:color w:val="00695C"/>
          <w:sz w:val="28"/>
          <w:szCs w:val="28"/>
        </w:rPr>
        <w:t xml:space="preserve">8.1 The Traffic Migration Stages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Traffic migration stages -- canary release: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STAGE 0 (pre-migration): 0% new service, 100%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Baseline metrics captured for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Error rate: 0.1%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p50 latency: 45ms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p99 latency: 180ms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Duration: ongoing until Step 4 begins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STAGE 1 (canary 10%): 10% new service, 90%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Typically: internal users, beta users, or first region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Hold time: 24-48 hours (at least 1 business cycle)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Rollback trigger: new service error rate &gt; 2x monolith baseline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Success criteria: error rate &lt;= monolith; p99 latency &lt;= 1.5x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STAGE 2 (canary 50%): 50% new service, 50%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Statistically significant sample; both paths active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Hold time: 24-48 hours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Rollback trigger: same as Stage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Success criteria: same as Stage 1</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STAGE 3 (full migration 100%): 100% new service, 0% 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Monolith still deployed but receives 0% of this capability's traffic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Hold time: 2-4 weeks (to catch low-frequency edge cases)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Rollback: still possible by changing facade routing</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Success criteria: held for observation period with no incidents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STAGE 4 (stabilised): proceed to Step 5 (remove old code)</w:t>
      </w:r>
    </w:p>
    <w:p>
      <w:pPr>
        <w:pStyle w:val="Heading2"/>
        <w:spacing w:after="100" w:before="280"/>
      </w:pPr>
      <w:r>
        <w:rPr>
          <w:rFonts w:ascii="Arial" w:cs="Arial" w:eastAsia="Arial" w:hAnsi="Arial"/>
          <w:b/>
          <w:bCs/>
          <w:color w:val="00695C"/>
          <w:sz w:val="28"/>
          <w:szCs w:val="28"/>
        </w:rPr>
        <w:t xml:space="preserve">8.2 Rollback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Signal</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Threshold</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error rate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2x monolith baseline error rate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rollback: set facade weight to 0% for new service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p99 latency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2x monolith p99 (and not improving)</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Halt progression; investigate; rollback if not resolved in 1 hour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metric degradation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&gt; 5% drop in conversion rate, order success rate, or revenue</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rollback; business-level impact overrides technical indicators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instance crashes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unhandled exception causing pod restart</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rollback; investigate root cause before re-introducing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inconsistency detected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mismatch between new service and monolith data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rollback; data integrity is highest priority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External dependency failures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service's dependencies (DB, Kafka) unavailable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if cannot resolve in 5 minutes; do not leave users affected</w:t>
            </w:r>
          </w:p>
        </w:tc>
      </w:tr>
    </w:tbl>
    <w:p>
      <w:pPr>
        <w:spacing w:after="0" w:before="80"/>
      </w:pPr>
      <w:r>
        <w:t xml:space="preserve"/>
      </w:r>
    </w:p>
    <w:p>
      <w:pPr>
        <w:pBdr>
          <w:top w:val="single" w:color="00695C" w:sz="2"/>
          <w:bottom w:val="single" w:color="00695C" w:sz="2"/>
          <w:left w:val="single" w:color="00695C" w:sz="20"/>
          <w:right w:val="single" w:color="00695C" w:sz="2"/>
        </w:pBdr>
        <w:shd w:fill="E0F2F1" w:val="clear"/>
        <w:spacing w:after="160"/>
        <w:ind w:left="360" w:right="360"/>
      </w:pPr>
      <w:r>
        <w:rPr>
          <w:rFonts w:ascii="Arial" w:cs="Arial" w:eastAsia="Arial" w:hAnsi="Arial"/>
          <w:b/>
          <w:bCs/>
          <w:color w:val="00695C"/>
          <w:sz w:val="22"/>
          <w:szCs w:val="22"/>
        </w:rPr>
        <w:t xml:space="preserve">STEP 4  </w:t>
      </w:r>
      <w:r>
        <w:rPr>
          <w:rFonts w:ascii="Arial" w:cs="Arial" w:eastAsia="Arial" w:hAnsi="Arial"/>
          <w:color w:val="333333"/>
          <w:sz w:val="22"/>
          <w:szCs w:val="22"/>
        </w:rPr>
        <w:t xml:space="preserve">Define rollback triggers BEFORE beginning Stage 1. Write them down. Configure automated alerts. Ensure everyone on the team knows: if these conditions are met, we route back to the monolith immediately, without debate. The moment a rollback trigger fires is not the time to have a discussion.</w:t>
      </w:r>
    </w:p>
    <w:p>
      <w:r>
        <w:br w:type="page"/>
      </w:r>
    </w:p>
    <w:p>
      <w:pPr>
        <w:pStyle w:val="Heading1"/>
        <w:spacing w:after="120" w:before="360"/>
      </w:pPr>
      <w:r>
        <w:rPr>
          <w:rFonts w:ascii="Arial" w:cs="Arial" w:eastAsia="Arial" w:hAnsi="Arial"/>
          <w:b/>
          <w:bCs/>
          <w:color w:val="0D1B2A"/>
          <w:sz w:val="40"/>
          <w:szCs w:val="40"/>
        </w:rPr>
        <w:t xml:space="preserve">9. Step 4: Monitoring the Migration</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During Step 4, monitoring is more critical than at any other stage. The team must compare the new service's behaviour against the monolith's baseline across multiple dimensions simultaneously.</w:t>
      </w:r>
    </w:p>
    <w:p>
      <w:pPr>
        <w:pStyle w:val="Heading2"/>
        <w:spacing w:after="100" w:before="280"/>
      </w:pPr>
      <w:r>
        <w:rPr>
          <w:rFonts w:ascii="Arial" w:cs="Arial" w:eastAsia="Arial" w:hAnsi="Arial"/>
          <w:b/>
          <w:bCs/>
          <w:color w:val="00695C"/>
          <w:sz w:val="28"/>
          <w:szCs w:val="28"/>
        </w:rPr>
        <w:t xml:space="preserve">9.1 Key Metrics to Monitor</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Metric Category</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Specific Metrics</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Tool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Alert Threshold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5xx error rate; exception rate; failed request count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 Grafana</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Error rate &gt; 2x monolith baseline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p50, p95, p99 response time; slow request count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 Grafana histogram</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p99 &gt; 2x monolith baseline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Throughput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Requests per second; connection pool usage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Prometheus counters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&lt; 80% of expected at given stage (service may be dropping requests)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metrics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Order placement success rate; conversion funnel; revenue per hour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analytics (BigQuery, Mixpanel)</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&gt; 5% degradation vs previous period</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memory, GC pause time, pod restarts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metrics / CloudWatch</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OOM kills; excessive GC; repeated pod restarts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consistency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Spot-check record counts; sum of order totals; status distributions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 reconciliation job</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discrepancy between new service and monolith</w:t>
            </w:r>
          </w:p>
        </w:tc>
      </w:tr>
    </w:tbl>
    <w:p>
      <w:pPr>
        <w:spacing w:after="0" w:before="80"/>
      </w:pPr>
      <w:r>
        <w:t xml:space="preserve"/>
      </w:r>
    </w:p>
    <w:p>
      <w:pPr>
        <w:pStyle w:val="Heading2"/>
        <w:spacing w:after="100" w:before="280"/>
      </w:pPr>
      <w:r>
        <w:rPr>
          <w:rFonts w:ascii="Arial" w:cs="Arial" w:eastAsia="Arial" w:hAnsi="Arial"/>
          <w:b/>
          <w:bCs/>
          <w:color w:val="00695C"/>
          <w:sz w:val="28"/>
          <w:szCs w:val="28"/>
        </w:rPr>
        <w:t xml:space="preserve">9.2 Canary Analysis Dashboard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Prometheus query: compare error rates between canary and baseline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 in Grafana panel during Step 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Error rate: new 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sum(rate(http_requests_total{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status=~'5..'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sum(rate(http_requests_total{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Error rate: monolith (orders only)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sum(rate(http_requests_total{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path=~'/api/orders/.*',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status=~'5..'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sum(rate(http_requests_total{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service='monolith',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path=~'/api/orders/.*'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Latency p99 comparison: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histogram_quantile(0.99,</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rate(http_request_duration_seconds_bucket{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service='order-service'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}[5m]))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Show both on same Grafana panel: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Side-by-side lines: new service vs monolith for orders</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Immediate visual comparison; alert when gap exceeds threshold</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10. Step 5: Remove Old Code</w:t>
      </w:r>
    </w:p>
    <w:p>
      <w:pPr>
        <w:shd w:fill="FFEBEE" w:val="clear"/>
        <w:spacing w:after="200"/>
        <w:ind w:left="240" w:right="240"/>
      </w:pPr>
      <w:r>
        <w:rPr>
          <w:rFonts w:ascii="Arial" w:cs="Arial" w:eastAsia="Arial" w:hAnsi="Arial"/>
          <w:color w:val="B71C1C"/>
          <w:sz w:val="24"/>
          <w:szCs w:val="24"/>
        </w:rPr>
        <w:t xml:space="preserve">Delete the monolith module -- the most emotionally satisfying step</w:t>
      </w:r>
    </w:p>
    <w:p>
      <w:pPr>
        <w:pBdr>
          <w:bottom w:val="single" w:color="B71C1C" w:sz="8" w:space="1"/>
        </w:pBdr>
        <w:spacing w:after="160"/>
      </w:pPr>
    </w:p>
    <w:p>
      <w:pPr>
        <w:spacing w:after="160"/>
      </w:pPr>
      <w:r>
        <w:rPr>
          <w:rFonts w:ascii="Arial" w:cs="Arial" w:eastAsia="Arial" w:hAnsi="Arial"/>
          <w:b w:val="false"/>
          <w:bCs w:val="false"/>
          <w:color w:val="333333"/>
          <w:sz w:val="22"/>
          <w:szCs w:val="22"/>
        </w:rPr>
        <w:t xml:space="preserve">Step 5 is the 'strangling' step: the old code is removed from the monolith. The monolith becomes smaller. The new service has proven itself in production and no longer needs a fallback. Step 5 is more irreversible than the previous steps because it involves code deletion, but less irreversible than Step 6 (data decomposition).</w:t>
      </w:r>
    </w:p>
    <w:p>
      <w:pPr>
        <w:spacing w:after="160"/>
      </w:pPr>
      <w:r>
        <w:rPr>
          <w:rFonts w:ascii="Arial" w:cs="Arial" w:eastAsia="Arial" w:hAnsi="Arial"/>
          <w:b w:val="false"/>
          <w:bCs w:val="false"/>
          <w:color w:val="333333"/>
          <w:sz w:val="22"/>
          <w:szCs w:val="22"/>
        </w:rPr>
        <w:t xml:space="preserve">Timing: Step 5 should begin only after the new service has run at 100% traffic for at least two to four weeks without incidents. This period allows time for low-frequency edge cases to surface (month-end processing, rare user actions, infrequent automated jobs) that might not appear in the first days of operation.</w:t>
      </w:r>
    </w:p>
    <w:p>
      <w:pPr>
        <w:pStyle w:val="Heading2"/>
        <w:spacing w:after="100" w:before="280"/>
      </w:pPr>
      <w:r>
        <w:rPr>
          <w:rFonts w:ascii="Arial" w:cs="Arial" w:eastAsia="Arial" w:hAnsi="Arial"/>
          <w:b/>
          <w:bCs/>
          <w:color w:val="B71C1C"/>
          <w:sz w:val="28"/>
          <w:szCs w:val="28"/>
        </w:rPr>
        <w:t xml:space="preserve">10.1 Code Deletion Checklist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Step 5: Code deletion checklist for Order capability</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PRE-DELETION CHECKS: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New service at 100% traffic for &gt;= 4 weeks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No rollbacks or incidents in that 4-week period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All known edge cases (month-end, batch jobs) have been processed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Team has reviewed and signed off on deletion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CODE DELETION: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OrderController (HTTP endpoints for 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OrderService (business logic)</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OrderRepository (DB access)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 OrderItem domain models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Delete order-related DTOs and mappers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order-related @Bean configurations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order-related test classes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order-related dependencies (if now unused)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Search for all import statements referencing deleted classes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Build and run remaining monolith tests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Deploy updated monolith to staging; smoke test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FACADE CLEANUP:</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Remove /api/orders/* -&gt; monolith route (if any remains)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Confirm facade has NO routes pointing to monolith for orders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POST-DELETION: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Deploy updated monolith to production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Monitor monolith for 24 hours (verify no unintended side effects)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 Update system documentation and architecture diagrams</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 ] Celebrate -- the monolith is smaller</w:t>
      </w: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STEP 5  </w:t>
      </w:r>
      <w:r>
        <w:rPr>
          <w:rFonts w:ascii="Arial" w:cs="Arial" w:eastAsia="Arial" w:hAnsi="Arial"/>
          <w:color w:val="333333"/>
          <w:sz w:val="22"/>
          <w:szCs w:val="22"/>
        </w:rPr>
        <w:t xml:space="preserve">Code deletion is a team exercise, not a solo task. Schedule a dedicated session, do the deletion together, review the diff carefully, and run all remaining tests before deploying. A thorough code review catches accidental deletions and missed dependencies.</w:t>
      </w:r>
    </w:p>
    <w:p>
      <w:r>
        <w:br w:type="page"/>
      </w:r>
    </w:p>
    <w:p>
      <w:r>
        <w:br w:type="page"/>
      </w:r>
    </w:p>
    <w:p>
      <w:pPr>
        <w:pStyle w:val="Heading1"/>
        <w:shd w:fill="E65100" w:val="clear"/>
        <w:spacing w:after="60" w:before="300"/>
        <w:ind w:left="240" w:right="240"/>
      </w:pPr>
      <w:r>
        <w:rPr>
          <w:rFonts w:ascii="Arial" w:cs="Arial" w:eastAsia="Arial" w:hAnsi="Arial"/>
          <w:b/>
          <w:bCs/>
          <w:color w:val="FFFFFF"/>
          <w:sz w:val="44"/>
          <w:szCs w:val="44"/>
        </w:rPr>
        <w:t xml:space="preserve">11. Step 6: Decompose Data</w:t>
      </w:r>
    </w:p>
    <w:p>
      <w:pPr>
        <w:shd w:fill="FBE9E7" w:val="clear"/>
        <w:spacing w:after="200"/>
        <w:ind w:left="240" w:right="240"/>
      </w:pPr>
      <w:r>
        <w:rPr>
          <w:rFonts w:ascii="Arial" w:cs="Arial" w:eastAsia="Arial" w:hAnsi="Arial"/>
          <w:color w:val="E65100"/>
          <w:sz w:val="24"/>
          <w:szCs w:val="24"/>
        </w:rPr>
        <w:t xml:space="preserve">Migrate data ownership to the new service's database -- the hardest and most irreversible step</w:t>
      </w:r>
    </w:p>
    <w:p>
      <w:pPr>
        <w:pBdr>
          <w:bottom w:val="single" w:color="E65100" w:sz="8" w:space="1"/>
        </w:pBdr>
        <w:spacing w:after="160"/>
      </w:pPr>
    </w:p>
    <w:p>
      <w:pPr>
        <w:spacing w:after="160"/>
      </w:pPr>
      <w:r>
        <w:rPr>
          <w:rFonts w:ascii="Arial" w:cs="Arial" w:eastAsia="Arial" w:hAnsi="Arial"/>
          <w:b w:val="false"/>
          <w:bCs w:val="false"/>
          <w:color w:val="333333"/>
          <w:sz w:val="22"/>
          <w:szCs w:val="22"/>
        </w:rPr>
        <w:t xml:space="preserve">Step 6 is the most complex and irreversible step of the Strangler Fig migration. It formally transfers data ownership from the monolith's shared database to the new service's independent database. Once complete, the monolith's database no longer contains the data for this capability, and the new service is the authoritative owner of that data.</w:t>
      </w:r>
    </w:p>
    <w:p>
      <w:pPr>
        <w:spacing w:after="160"/>
      </w:pPr>
      <w:r>
        <w:rPr>
          <w:rFonts w:ascii="Arial" w:cs="Arial" w:eastAsia="Arial" w:hAnsi="Arial"/>
          <w:b w:val="false"/>
          <w:bCs w:val="false"/>
          <w:color w:val="333333"/>
          <w:sz w:val="22"/>
          <w:szCs w:val="22"/>
        </w:rPr>
        <w:t xml:space="preserve">Many teams defer Step 6 or skip it entirely for some capabilities -- the new service reads from the monolith's database (via a read-only connection) or keeps a synced copy. This is technically viable but represents an incomplete migration: the services are still coupled through the shared database. True microservices independence requires each service to own its data.</w:t>
      </w:r>
    </w:p>
    <w:p>
      <w:pPr>
        <w:pStyle w:val="Heading2"/>
        <w:spacing w:after="100" w:before="280"/>
      </w:pPr>
      <w:r>
        <w:rPr>
          <w:rFonts w:ascii="Arial" w:cs="Arial" w:eastAsia="Arial" w:hAnsi="Arial"/>
          <w:b/>
          <w:bCs/>
          <w:color w:val="E65100"/>
          <w:sz w:val="28"/>
          <w:szCs w:val="28"/>
        </w:rPr>
        <w:t xml:space="preserve">11.1 Why Data Decomposition Is Hard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Challenge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tables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orders table is written by order code AND referenced as a foreign key by payments, shipping, and inventory tables</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Identify all cross-service references; replace FK constraints with application-level references before decomposing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consistency during migration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During the cutover window, orders may be created in both the old DB and the new DB</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Dual-write + reconciliation before cutover; stop monolith writes before starting new service writes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Missing domain events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the monolith does not emit events, the new service cannot sync incrementally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 event emission to monolith temporarily (Outbox pattern); or use CDC (Debezium) to stream monolith DB changes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Historical data volume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5 years of order history may be large (hundreds of GB)</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Migrate in batches; migrate recent data first; archive old data separately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Rollback complexity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Once the monolith's orders table is cleared, rolling back requires migrating data back</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Keep monolith table as archive for 90 days; do not drop until fully confident</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12. Step 6: Data Migration Patterns</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12.1 The Dual-Write + Sync Pattern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Step 6 data migration: Dual-Write + Sync approach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PHASE A: Dual-write (both DBs receive writes)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Code change: new orders written to BOTH monolith DB AND new service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Existing orders: batch-migrated from monolith DB to new service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Reconciliation job: verifies both DBs have the same data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New service: reads from its own DB (now fully populated and current)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Duration: days to weeks until reconciliation passes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PHASE B: Cutover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Stop dual-write: writes go to new service DB ONLY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Final reconciliation: verify both DBs agree at cutover timestamp</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New service: authoritative owner of order data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Monolith: reads from new service DB (read-only connection) or API</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PHASE C: Clean up (after 30-90 days)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Remove monolith read access to new service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Monolith calls new service API for any order queries it still needs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Archive monolith orders table (do not drop immediately)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After 90 days: drop monolith orders table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Key metrics during PHASE 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Row count match: monolith orders = new service orders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Checksum match: specific records identical in both DBs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Latency: dual-write should not significantly increase write latency</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 Lag: new service DB should be &lt; 1 second behind monolith DB</w:t>
      </w:r>
    </w:p>
    <w:p>
      <w:pPr>
        <w:pStyle w:val="Heading2"/>
        <w:spacing w:after="100" w:before="280"/>
      </w:pPr>
      <w:r>
        <w:rPr>
          <w:rFonts w:ascii="Arial" w:cs="Arial" w:eastAsia="Arial" w:hAnsi="Arial"/>
          <w:b/>
          <w:bCs/>
          <w:color w:val="E65100"/>
          <w:sz w:val="28"/>
          <w:szCs w:val="28"/>
        </w:rPr>
        <w:t xml:space="preserve">12.2 CDC-Driven Migration with Debezium</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Step 6: CDC-driven data migration (no dual-write in application code)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Use Debezium to stream all changes from monolith DB to new service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Application code does NOT change -- no dual-write code needed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Architecture: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Monolith -&gt; writes to monolith orders table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Debezium -&gt; reads monolith DB WAL (Change Data Capture)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Debezium -&gt; streams changes to Kafka</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New Service Consumer -&gt; reads Kafka, applies to new service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Debezium connector for monolith orders table: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"name": "monolith-orders-sync",</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"config":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"connector.class": "io.debezium.connector.postgresql.PostgresConnector",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"database.hostname": "monolith-db",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"table.include.list": "public.orders,public.order_items",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"transforms": "route",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"transforms.route.type": "org.apache.kafka.connect.transforms.ReplaceField$Value",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"snapshot.mode": "initial"  // initial: migrate all existing rows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Cutover process: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 Debezium catches up to real-time (lag &lt; 1s)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 Verify new service DB matches monolith DB (reconciliation check)</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3. Pause Debezium connector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4. Switch writes to new service 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5. Resume new service from Kafka (processes any remaining events)</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6. Decommission Debezium connector for this table</w:t>
      </w:r>
    </w:p>
    <w:p>
      <w:pPr>
        <w:pBdr>
          <w:top w:val="single" w:color="E65100" w:sz="2"/>
          <w:bottom w:val="single" w:color="E65100" w:sz="2"/>
          <w:left w:val="single" w:color="E65100" w:sz="20"/>
          <w:right w:val="single" w:color="E65100" w:sz="2"/>
        </w:pBdr>
        <w:shd w:fill="FBE9E7" w:val="clear"/>
        <w:spacing w:after="160"/>
        <w:ind w:left="360" w:right="360"/>
      </w:pPr>
      <w:r>
        <w:rPr>
          <w:rFonts w:ascii="Arial" w:cs="Arial" w:eastAsia="Arial" w:hAnsi="Arial"/>
          <w:b/>
          <w:bCs/>
          <w:color w:val="E65100"/>
          <w:sz w:val="22"/>
          <w:szCs w:val="22"/>
        </w:rPr>
        <w:t xml:space="preserve">STEP 6  </w:t>
      </w:r>
      <w:r>
        <w:rPr>
          <w:rFonts w:ascii="Arial" w:cs="Arial" w:eastAsia="Arial" w:hAnsi="Arial"/>
          <w:color w:val="333333"/>
          <w:sz w:val="22"/>
          <w:szCs w:val="22"/>
        </w:rPr>
        <w:t xml:space="preserve">Data decomposition is the step that makes the migration truly complete. A service that owns its data is independently deployable, independently scalable, and independently evolvable. A service that still reads from or writes to the monolith database is not truly a microservice -- it is a distributed monolith. Complete Step 6.</w:t>
      </w:r>
    </w:p>
    <w:p>
      <w:r>
        <w:br w:type="page"/>
      </w:r>
    </w:p>
    <w:p>
      <w:pPr>
        <w:pStyle w:val="Heading1"/>
        <w:spacing w:after="120" w:before="360"/>
      </w:pPr>
      <w:r>
        <w:rPr>
          <w:rFonts w:ascii="Arial" w:cs="Arial" w:eastAsia="Arial" w:hAnsi="Arial"/>
          <w:b/>
          <w:bCs/>
          <w:color w:val="0D1B2A"/>
          <w:sz w:val="40"/>
          <w:szCs w:val="40"/>
        </w:rPr>
        <w:t xml:space="preserve">13. Full Worked Example: Extracting Order Service</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following timeline traces all six steps for extracting the Order Service from a hypothetical e-commerce monolith. Timelines are illustrative; actual duration depends on team size and capability complexity.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Timeline: extracting Order Service from e-commerce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1-2: STEP 1 (Identify Boundary)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Score all monolith capabilities using scoring matrix</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Management scores 18/25 -- selected as 2nd migration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(Notification Service extracted first at 20/25 as warmup)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Define API contract: GET/POST/PUT /api/orders, /api/orders/{id}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Map data ownership: orders + order_items owned by Order code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Identify cross-cutting concerns: reads users table; emits to payments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3-6: STEP 2 (Build New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New repository: order-service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Stack: Spring Boot (same as monolith -- team familiarity)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Database: own PostgreSQL instance (order_service_db)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Populate: batch migration of orders from monolith 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Sync: Outbox events from monolith keep order_service_db current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Shadow mode: 2 weeks capturing diffs vs monolith responses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Diff analysis: 3 discrepancies found and fixed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7: STEP 3 (Create Facade)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Deploy nginx facade in front of monolith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Initial routing: ALL /api/orders/* -&gt; monolith (pass-through)</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Validate: response times and error rates unchanged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Facade config committed to Git; routing changes via config update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8: STEP 4, STAGE 1 (10% canary)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nginx: 10% of /api/orders/* -&gt;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Monitor for 48 hours: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Order Service error rate: 0.08% (monolith baseline: 0.1%)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p99 latency: 145ms (monolith: 180ms) -- improved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 Zero rollback events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Outcome: proceed to Stage 2</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9: STEP 4, STAGE 2 (50% canary)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nginx: 50% of /api/orders/* -&gt;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Monitor 48 hours: all metrics green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9 (end): STEP 4, STAGE 3 (100% migration)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Update nginx: 100% of /api/orders/* -&gt; Order Service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Monitor 4 weeks: one minor bug found and fixed in week 10</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Month-end processing validated successfully in week 11</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13: STEP 5 (Remove Old Code)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Delete order code from monolith: ~3,200 lines removed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Monolith tests: all passing; no regressions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Deploy updated monolith; monitor 24h: clean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14-16: STEP 6 (Decompose Data)</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Phase A: Debezium streams monolith DB changes to Order Service DB</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(continues from STEP 2 Outbox sync -- already running)</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14: reconciliation check passes consistently</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15: cutover -- Order Service DB is authoritative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15-16: Debezium connector decommissioned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16: monolith orders table archived (not dropped yet)</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WEEK 20: FINAL CLEANUP</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Monolith orders table dropped (after 30-day archive period)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Order Service: fully independent -- own code, own DB, own pipeline</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Total elapsed time: 20 weeks (5 months) for full extraction</w:t>
      </w:r>
    </w:p>
    <w:p>
      <w:r>
        <w:br w:type="page"/>
      </w:r>
    </w:p>
    <w:p>
      <w:pPr>
        <w:pStyle w:val="Heading1"/>
        <w:spacing w:after="120" w:before="360"/>
      </w:pPr>
      <w:r>
        <w:rPr>
          <w:rFonts w:ascii="Arial" w:cs="Arial" w:eastAsia="Arial" w:hAnsi="Arial"/>
          <w:b/>
          <w:bCs/>
          <w:color w:val="0D1B2A"/>
          <w:sz w:val="40"/>
          <w:szCs w:val="40"/>
        </w:rPr>
        <w:t xml:space="preserve">14. Module 2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14.1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3360"/>
      </w:tblGrid>
      <w:tr>
        <w:trPr>
          <w:tblHeader/>
        </w:trPr>
        <w:tc>
          <w:tcPr>
            <w:tcW w:type="dxa" w:w="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Action</w:t>
            </w:r>
          </w:p>
        </w:tc>
        <w:tc>
          <w:tcPr>
            <w:tcW w:type="dxa" w:w="33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Output</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Identify Boundary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Score capabilities on coupling, data ownership, change frequency; use DDD bounded contexts</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Prioritised migration candidate list</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Build New Service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Implement capability as standalone service; own repo, own DB, own pipeline; validate in shadow mode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in staging, passing shadow validation</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3</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 Facade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Deploy API Gateway/nginx/proxy routing ALL traffic to monolith initially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Routing layer deployed; zero behaviour change</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Migrate Traffic</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 -&gt; 50% -&gt; 100% canary; monitor error rate, latency, business metrics at each stage</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100% of traffic on new service; monolith dormant</w:t>
            </w:r>
          </w:p>
        </w:tc>
      </w:tr>
      <w:tr>
        <w:trPr>
          <w:tblHeader w:val="false"/>
        </w:trPr>
        <w:tc>
          <w:tcPr>
            <w:tcW w:type="dxa" w:w="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5</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Remove Old Code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After 4+ weeks at 100% traffic, delete monolith code for this capability</w:t>
            </w:r>
          </w:p>
        </w:tc>
        <w:tc>
          <w:tcPr>
            <w:tcW w:type="dxa" w:w="33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Monolith code deleted; service smaller</w:t>
            </w:r>
          </w:p>
        </w:tc>
      </w:tr>
      <w:tr>
        <w:trPr>
          <w:tblHeader w:val="false"/>
        </w:trPr>
        <w:tc>
          <w:tcPr>
            <w:tcW w:type="dxa" w:w="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Decompose Data</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Dual-write + reconciliation + cutover OR CDC with Debezium; archive old tables</w:t>
            </w:r>
          </w:p>
        </w:tc>
        <w:tc>
          <w:tcPr>
            <w:tcW w:type="dxa" w:w="33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New service owns its data; monolith DB tables archived/dropped</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14.2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How do you identify the best candidate for the first migration in a Strangler Fig? What three criteria matter most and why?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Three criteria for selecting the first migration candidate, in priority order: (1) Low coupling: the capability should have few inbound callers (other modules that call into it) and few outbound dependencies (other modules it calls into). Low coupling means: the new service can be built without coordinating with other teams, deployed without affecting other capabilities, and rolled back without cascading failures. Measured as: count of import statements in the monolith pointing to this capability's classes (inbound), and count of import statements from this capability to other parts of the monolith (outbound). Target: &lt; 3 in each direction for a first migration. (2) Clear data ownership: the capability exclusively writes to specific database tables. Tables written only by Order code can be cleanly migrated to the Order Service's database. Tables written by many capabilities (e.g., a status table updated by orders, payments, shipping, and inventory) cannot be cleanly migrated without complex coordination. Measured as: which code paths in the monolith contain INSERT/UPDATE statements against each table. (3) High change frequency: capabilities that change frequently benefit most from independent deployment. If the order management code is modified every week but the notification system is untouched for months, extracting order management delivers immediate value (faster, independent deployments) while extracting notifications delivers little. Measured as: commit frequency per capability directory in the VCS. Why these criteria in this order: coupling determines the difficulty of extraction (highly-coupled capabilities require massive refactoring before they can be extracted); data ownership determines the difficulty of Step 6 (data decomposition); change frequency determines the business value delivered after extraction. A low-coupling, clear-ownership, high-change capability is both easy to extract and valuable after extraction.</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Describe the Step 3 facade in detail. Why is it deployed before any traffic is shifted, and what are the two main routing strategies it supports?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facade (also called a proxy, API gateway, or routing layer) is the component that makes the Strangler Fig migration's traffic shifting possible. It is deployed in Step 3 and initially configured to route 100% of all traffic to the monolith -- it is a pure pass-through with no change in system behaviour. The reason to deploy the facade before shifting any traffic: the facade is new infrastructure and must itself be validated in production before it becomes a routing mechanism. Any bug in the facade (e.g., request headers being dropped, timeouts misconfigured, encoding issues) will affect all traffic. Validating it as a pass-through catches these issues without any risk from the new service. It also establishes a clean baseline: after the facade is deployed and stable, the team knows that any subsequent issues are caused by routing changes, not the facade infrastructure itself. Two main routing strategies: (1) Path-based routing: all requests to /api/orders/* go to the new Order Service; all other requests go to the monolith. Simple to configure in nginx or API Gateway as a location block or routing rule. Appropriate when the capability has clean, dedicated API paths. Rollback: change the routing rule to send /api/orders/* back to the monolith. (2) Feature flag / percentage-based routing (canary): a configurable percentage of requests (e.g., 10%) are sent to the new service; the remainder go to the monolith. Used for gradual canary releases. Appropriate when the team wants fine-grained control over the proportion of users affected by the new service. Rollback: set the percentage to 0%. Both strategies support immediate rollback: the facade routing configuration is changed (in nginx config, API Gateway rule, or feature flag toggle) and the full traffic shifts back to the monolith in seconds.</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Walk through the Step 4 canary release process. What are the stages, what metrics are monitored at each stage, and what triggers an immediate rollback?</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4 canary release stages: Stage 0 (baseline): before Step 4 begins, capture baseline metrics from the monolith for this capability: error rate (e.g., 0.1%), p50 latency (e.g., 45ms), p99 latency (e.g., 180ms), business conversion rate. These become the comparison benchmarks. Stage 1 (10% canary): update the facade to route 10% of the capability's traffic to the new service. The 10% may be a random sample, internal users, beta users, or a specific geographic region. Monitor for 24-48 hours (at least one full business cycle to catch patterns at different times of day). Metrics: error rate, p50/p95/p99 latency, pod restarts, business conversion rate. Success criteria: error rate within 2x baseline; latency within 1.5x baseline. Stage 2 (50% canary): if Stage 1 is clean, increase to 50%. Both paths are active at statistical parity. Monitor another 24-48 hours with same criteria. Stage 3 (100% full migration): if Stage 2 is clean, shift 100% of traffic to the new service. The monolith code still exists but receives 0% of this capability's traffic. Monitor for 2-4 weeks to catch low-frequency edge cases. Rollback triggers (any of these conditions triggers immediate routing back to 0% new service): new service error rate &gt; 2x monolith baseline; new service p99 latency &gt; 2x monolith p99 for more than 10 minutes without improving; business metric (conversion rate, order success rate) drops &gt; 5% compared to baseline period; any pod restart / OOM kill from the new service; any data inconsistency detected between the two services. Rollback mechanism: update the facade weight to 0% for the new service (100% to monolith). This takes seconds to minutes. No code deployment required.</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Step 6 (data decomposition) and why is it the most complex step? Describe the dual-write + sync approach for migrating data.</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6 (data decomposition) transfers data ownership from the monolith's shared database to the new service's independent database. Before Step 6, the new service may be reading from a synced copy of the monolith's data or from the monolith's database directly. Step 6 makes the new service the authoritative owner: writes go to the new service's database, the monolith's tables for this capability are cleared and eventually dropped. It is the most complex step for several reasons: (1) Shared tables: the orders table may be referenced by foreign keys in payments, shipping, and inventory tables -- removing it requires replacing those FK constraints with application-level references first. (2) Data consistency during transition: there is a window where both systems may write to different databases. Reconciliation must verify they agree. (3) Irreversibility: once the monolith's orders table is cleared, rolling back requires migrating data back and resuming monolith writes. (4) Volume: years of historical data may be large; migration in batches is required. The dual-write + sync approach: Phase A -- Dual-write: code is changed so new orders are written to both the monolith DB and the new service DB simultaneously. A batch migration job migrates historical data from monolith DB to new service DB. A reconciliation job runs continuously comparing row counts and specific records between the two databases. The team waits until reconciliation passes consistently and the new service DB is fully current. Phase B -- Cutover: dual-write is stopped. Future writes go only to the new service DB. A final reconciliation check is run at the cutover timestamp. The new service becomes the authoritative data owner. Phase C -- Cleanup: the monolith's orders table is archived (kept but not written to). After 30-90 days, it is dropped. Any monolith code that still needs order data calls the new service's API.</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Why is Step 1 (identifying boundaries) considered the most important step? What happens if you choose the wrong first migration candidate?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Step 1 is the most important step because it determines everything that follows. The choice of first migration candidate sets the team's experience of the pattern, the difficulty of the initial extraction, and the credibility of the Strangler Fig approach within the organisation. Choosing the wrong candidate has compounding consequences: If the first candidate is highly coupled (many inbound callers, many outbound dependencies): extracting it requires simultaneously refactoring the monolith to remove the coupling. This work is much larger than anticipated. The team spends weeks dealing with unexpected dependencies. The extraction takes 3x longer than estimated. The team concludes 'this pattern does not work'. If the first candidate has unclear data ownership (tables shared by multiple capabilities): Step 6 (data decomposition) is extremely complex. Foreign key constraints span multiple capabilities. Changing them requires coordinating changes to multiple parts of the monolith. The data migration window is long and risky. If the first candidate is a stable capability with low change frequency: after extraction, the team has a microservice that deploys just as rarely as before. No improvement in delivery velocity is felt. Leadership questions the investment. Why Step 1 determines success: the first migration is a learning experience that sets patterns for all subsequent migrations. The team learns: how to shadow test, how to configure the facade, how to run a canary release, how to monitor during migration. These learnings apply to every subsequent extraction. A hard first migration teaches the wrong lessons. A well-chosen first migration (high score on all criteria) succeeds quickly, delivers immediate value (faster deployments for a high-change capability), builds team confidence, and establishes the process patterns that make subsequent migrations progressively faster.</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15. Glossary -- Module 2 Terms</w:t>
      </w:r>
    </w:p>
    <w:p>
      <w:pPr>
        <w:pBdr>
          <w:bottom w:val="single" w:color="1A3A5C" w:sz="8" w:space="1"/>
        </w:pBdr>
        <w:spacing w:after="160"/>
      </w:pPr>
    </w:p>
    <w:p>
      <w:pPr>
        <w:spacing w:after="100"/>
      </w:pPr>
      <w:r>
        <w:rPr>
          <w:rFonts w:ascii="Arial" w:cs="Arial" w:eastAsia="Arial" w:hAnsi="Arial"/>
          <w:b/>
          <w:bCs/>
          <w:color w:val="0D1B2A"/>
          <w:sz w:val="22"/>
          <w:szCs w:val="22"/>
        </w:rPr>
        <w:t xml:space="preserve">Step 1: Identify Boundary: </w:t>
      </w:r>
      <w:r>
        <w:rPr>
          <w:rFonts w:ascii="Arial" w:cs="Arial" w:eastAsia="Arial" w:hAnsi="Arial"/>
          <w:b w:val="false"/>
          <w:bCs w:val="false"/>
          <w:color w:val="333333"/>
          <w:sz w:val="22"/>
          <w:szCs w:val="22"/>
        </w:rPr>
        <w:t xml:space="preserve">The first Strangler Fig step: evaluate monolith capabilities on coupling, data ownership, and change frequency to select the best first migration candidate.</w:t>
      </w:r>
    </w:p>
    <w:p>
      <w:pPr>
        <w:spacing w:after="100"/>
      </w:pPr>
      <w:r>
        <w:rPr>
          <w:rFonts w:ascii="Arial" w:cs="Arial" w:eastAsia="Arial" w:hAnsi="Arial"/>
          <w:b/>
          <w:bCs/>
          <w:color w:val="0D1B2A"/>
          <w:sz w:val="22"/>
          <w:szCs w:val="22"/>
        </w:rPr>
        <w:t xml:space="preserve">Step 2: Build New Service: </w:t>
      </w:r>
      <w:r>
        <w:rPr>
          <w:rFonts w:ascii="Arial" w:cs="Arial" w:eastAsia="Arial" w:hAnsi="Arial"/>
          <w:b w:val="false"/>
          <w:bCs w:val="false"/>
          <w:color w:val="333333"/>
          <w:sz w:val="22"/>
          <w:szCs w:val="22"/>
        </w:rPr>
        <w:t xml:space="preserve">The second Strangler Fig step: implement the selected capability as an independent microservice with its own repo, database, and deployment pipeline.</w:t>
      </w:r>
    </w:p>
    <w:p>
      <w:pPr>
        <w:spacing w:after="100"/>
      </w:pPr>
      <w:r>
        <w:rPr>
          <w:rFonts w:ascii="Arial" w:cs="Arial" w:eastAsia="Arial" w:hAnsi="Arial"/>
          <w:b/>
          <w:bCs/>
          <w:color w:val="0D1B2A"/>
          <w:sz w:val="22"/>
          <w:szCs w:val="22"/>
        </w:rPr>
        <w:t xml:space="preserve">Step 3: Create Facade: </w:t>
      </w:r>
      <w:r>
        <w:rPr>
          <w:rFonts w:ascii="Arial" w:cs="Arial" w:eastAsia="Arial" w:hAnsi="Arial"/>
          <w:b w:val="false"/>
          <w:bCs w:val="false"/>
          <w:color w:val="333333"/>
          <w:sz w:val="22"/>
          <w:szCs w:val="22"/>
        </w:rPr>
        <w:t xml:space="preserve">The third Strangler Fig step: deploy a reverse proxy or API gateway routing all traffic to the monolith initially; validates the routing layer before any traffic is shifted.</w:t>
      </w:r>
    </w:p>
    <w:p>
      <w:pPr>
        <w:spacing w:after="100"/>
      </w:pPr>
      <w:r>
        <w:rPr>
          <w:rFonts w:ascii="Arial" w:cs="Arial" w:eastAsia="Arial" w:hAnsi="Arial"/>
          <w:b/>
          <w:bCs/>
          <w:color w:val="0D1B2A"/>
          <w:sz w:val="22"/>
          <w:szCs w:val="22"/>
        </w:rPr>
        <w:t xml:space="preserve">Step 4: Migrate Traffic: </w:t>
      </w:r>
      <w:r>
        <w:rPr>
          <w:rFonts w:ascii="Arial" w:cs="Arial" w:eastAsia="Arial" w:hAnsi="Arial"/>
          <w:b w:val="false"/>
          <w:bCs w:val="false"/>
          <w:color w:val="333333"/>
          <w:sz w:val="22"/>
          <w:szCs w:val="22"/>
        </w:rPr>
        <w:t xml:space="preserve">The fourth Strangler Fig step: canary release shifting 10% -&gt; 50% -&gt; 100% of the capability's traffic to the new service, monitoring at each stage.</w:t>
      </w:r>
    </w:p>
    <w:p>
      <w:pPr>
        <w:spacing w:after="100"/>
      </w:pPr>
      <w:r>
        <w:rPr>
          <w:rFonts w:ascii="Arial" w:cs="Arial" w:eastAsia="Arial" w:hAnsi="Arial"/>
          <w:b/>
          <w:bCs/>
          <w:color w:val="0D1B2A"/>
          <w:sz w:val="22"/>
          <w:szCs w:val="22"/>
        </w:rPr>
        <w:t xml:space="preserve">Step 5: Remove Old Code: </w:t>
      </w:r>
      <w:r>
        <w:rPr>
          <w:rFonts w:ascii="Arial" w:cs="Arial" w:eastAsia="Arial" w:hAnsi="Arial"/>
          <w:b w:val="false"/>
          <w:bCs w:val="false"/>
          <w:color w:val="333333"/>
          <w:sz w:val="22"/>
          <w:szCs w:val="22"/>
        </w:rPr>
        <w:t xml:space="preserve">The fifth Strangler Fig step: delete the capability's code from the monolith after the new service has run at 100% traffic for 4+ weeks without incidents.</w:t>
      </w:r>
    </w:p>
    <w:p>
      <w:pPr>
        <w:spacing w:after="100"/>
      </w:pPr>
      <w:r>
        <w:rPr>
          <w:rFonts w:ascii="Arial" w:cs="Arial" w:eastAsia="Arial" w:hAnsi="Arial"/>
          <w:b/>
          <w:bCs/>
          <w:color w:val="0D1B2A"/>
          <w:sz w:val="22"/>
          <w:szCs w:val="22"/>
        </w:rPr>
        <w:t xml:space="preserve">Step 6: Decompose Data: </w:t>
      </w:r>
      <w:r>
        <w:rPr>
          <w:rFonts w:ascii="Arial" w:cs="Arial" w:eastAsia="Arial" w:hAnsi="Arial"/>
          <w:b w:val="false"/>
          <w:bCs w:val="false"/>
          <w:color w:val="333333"/>
          <w:sz w:val="22"/>
          <w:szCs w:val="22"/>
        </w:rPr>
        <w:t xml:space="preserve">The sixth and most complex Strangler Fig step: transfer data ownership from the monolith's shared database to the new service's independent database.</w:t>
      </w:r>
    </w:p>
    <w:p>
      <w:pPr>
        <w:spacing w:after="100"/>
      </w:pPr>
      <w:r>
        <w:rPr>
          <w:rFonts w:ascii="Arial" w:cs="Arial" w:eastAsia="Arial" w:hAnsi="Arial"/>
          <w:b/>
          <w:bCs/>
          <w:color w:val="0D1B2A"/>
          <w:sz w:val="22"/>
          <w:szCs w:val="22"/>
        </w:rPr>
        <w:t xml:space="preserve">Migration candidate scoring: </w:t>
      </w:r>
      <w:r>
        <w:rPr>
          <w:rFonts w:ascii="Arial" w:cs="Arial" w:eastAsia="Arial" w:hAnsi="Arial"/>
          <w:b w:val="false"/>
          <w:bCs w:val="false"/>
          <w:color w:val="333333"/>
          <w:sz w:val="22"/>
          <w:szCs w:val="22"/>
        </w:rPr>
        <w:t xml:space="preserve">A systematic method for prioritising Strangler Fig migration order. Score each capability on coupling (in/out), data ownership clarity, change frequency, and team knowledge. Highest score = first to migrate.</w:t>
      </w:r>
    </w:p>
    <w:p>
      <w:pPr>
        <w:spacing w:after="100"/>
      </w:pPr>
      <w:r>
        <w:rPr>
          <w:rFonts w:ascii="Arial" w:cs="Arial" w:eastAsia="Arial" w:hAnsi="Arial"/>
          <w:b/>
          <w:bCs/>
          <w:color w:val="0D1B2A"/>
          <w:sz w:val="22"/>
          <w:szCs w:val="22"/>
        </w:rPr>
        <w:t xml:space="preserve">API contract compatibility: </w:t>
      </w:r>
      <w:r>
        <w:rPr>
          <w:rFonts w:ascii="Arial" w:cs="Arial" w:eastAsia="Arial" w:hAnsi="Arial"/>
          <w:b w:val="false"/>
          <w:bCs w:val="false"/>
          <w:color w:val="333333"/>
          <w:sz w:val="22"/>
          <w:szCs w:val="22"/>
        </w:rPr>
        <w:t xml:space="preserve">The requirement that the new service's external API (HTTP methods, paths, request/response fields, status codes) matches the monolith's API exactly so the facade can route transparently.</w:t>
      </w:r>
    </w:p>
    <w:p>
      <w:pPr>
        <w:spacing w:after="100"/>
      </w:pPr>
      <w:r>
        <w:rPr>
          <w:rFonts w:ascii="Arial" w:cs="Arial" w:eastAsia="Arial" w:hAnsi="Arial"/>
          <w:b/>
          <w:bCs/>
          <w:color w:val="0D1B2A"/>
          <w:sz w:val="22"/>
          <w:szCs w:val="22"/>
        </w:rPr>
        <w:t xml:space="preserve">Dual-write: </w:t>
      </w:r>
      <w:r>
        <w:rPr>
          <w:rFonts w:ascii="Arial" w:cs="Arial" w:eastAsia="Arial" w:hAnsi="Arial"/>
          <w:b w:val="false"/>
          <w:bCs w:val="false"/>
          <w:color w:val="333333"/>
          <w:sz w:val="22"/>
          <w:szCs w:val="22"/>
        </w:rPr>
        <w:t xml:space="preserve">A data decomposition strategy where writes are sent to both the monolith's database and the new service's database simultaneously during migration. Enables reconciliation and a clean cutover.</w:t>
      </w:r>
    </w:p>
    <w:p>
      <w:pPr>
        <w:spacing w:after="100"/>
      </w:pPr>
      <w:r>
        <w:rPr>
          <w:rFonts w:ascii="Arial" w:cs="Arial" w:eastAsia="Arial" w:hAnsi="Arial"/>
          <w:b/>
          <w:bCs/>
          <w:color w:val="0D1B2A"/>
          <w:sz w:val="22"/>
          <w:szCs w:val="22"/>
        </w:rPr>
        <w:t xml:space="preserve">Reconciliation: </w:t>
      </w:r>
      <w:r>
        <w:rPr>
          <w:rFonts w:ascii="Arial" w:cs="Arial" w:eastAsia="Arial" w:hAnsi="Arial"/>
          <w:b w:val="false"/>
          <w:bCs w:val="false"/>
          <w:color w:val="333333"/>
          <w:sz w:val="22"/>
          <w:szCs w:val="22"/>
        </w:rPr>
        <w:t xml:space="preserve">The process of verifying that two databases contain the same data. Used during dual-write phase of Step 6 to validate that the new service's database is consistent with the monolith's before cutover.</w:t>
      </w:r>
    </w:p>
    <w:p>
      <w:pPr>
        <w:spacing w:after="100"/>
      </w:pPr>
      <w:r>
        <w:rPr>
          <w:rFonts w:ascii="Arial" w:cs="Arial" w:eastAsia="Arial" w:hAnsi="Arial"/>
          <w:b/>
          <w:bCs/>
          <w:color w:val="0D1B2A"/>
          <w:sz w:val="22"/>
          <w:szCs w:val="22"/>
        </w:rPr>
        <w:t xml:space="preserve">CDC (Change Data Capture): </w:t>
      </w:r>
      <w:r>
        <w:rPr>
          <w:rFonts w:ascii="Arial" w:cs="Arial" w:eastAsia="Arial" w:hAnsi="Arial"/>
          <w:b w:val="false"/>
          <w:bCs w:val="false"/>
          <w:color w:val="333333"/>
          <w:sz w:val="22"/>
          <w:szCs w:val="22"/>
        </w:rPr>
        <w:t xml:space="preserve">A technique that reads the database WAL to stream all committed changes as events. Used in Step 6 to keep the new service's database in sync with the monolith's database without application-level dual-write code.</w:t>
      </w:r>
    </w:p>
    <w:p>
      <w:pPr>
        <w:spacing w:after="100"/>
      </w:pPr>
      <w:r>
        <w:rPr>
          <w:rFonts w:ascii="Arial" w:cs="Arial" w:eastAsia="Arial" w:hAnsi="Arial"/>
          <w:b/>
          <w:bCs/>
          <w:color w:val="0D1B2A"/>
          <w:sz w:val="22"/>
          <w:szCs w:val="22"/>
        </w:rPr>
        <w:t xml:space="preserve">Canary release (Step 4): </w:t>
      </w:r>
      <w:r>
        <w:rPr>
          <w:rFonts w:ascii="Arial" w:cs="Arial" w:eastAsia="Arial" w:hAnsi="Arial"/>
          <w:b w:val="false"/>
          <w:bCs w:val="false"/>
          <w:color w:val="333333"/>
          <w:sz w:val="22"/>
          <w:szCs w:val="22"/>
        </w:rPr>
        <w:t xml:space="preserve">A traffic migration strategy that gradually increases the percentage of requests sent to the new service (10% -&gt; 50% -&gt; 100%), allowing errors to be caught before they affect all users.</w:t>
      </w:r>
    </w:p>
    <w:p>
      <w:pPr>
        <w:spacing w:after="100"/>
      </w:pPr>
      <w:r>
        <w:rPr>
          <w:rFonts w:ascii="Arial" w:cs="Arial" w:eastAsia="Arial" w:hAnsi="Arial"/>
          <w:b/>
          <w:bCs/>
          <w:color w:val="0D1B2A"/>
          <w:sz w:val="22"/>
          <w:szCs w:val="22"/>
        </w:rPr>
        <w:t xml:space="preserve">Rollback trigger: </w:t>
      </w:r>
      <w:r>
        <w:rPr>
          <w:rFonts w:ascii="Arial" w:cs="Arial" w:eastAsia="Arial" w:hAnsi="Arial"/>
          <w:b w:val="false"/>
          <w:bCs w:val="false"/>
          <w:color w:val="333333"/>
          <w:sz w:val="22"/>
          <w:szCs w:val="22"/>
        </w:rPr>
        <w:t xml:space="preserve">A pre-defined condition (error rate &gt; 2x baseline, p99 latency &gt; 2x, business metric drop &gt; 5%) that triggers immediate routing back to the monolith when exceeded during Step 4.</w:t>
      </w:r>
    </w:p>
    <w:p>
      <w:pPr>
        <w:spacing w:after="100"/>
      </w:pPr>
      <w:r>
        <w:rPr>
          <w:rFonts w:ascii="Arial" w:cs="Arial" w:eastAsia="Arial" w:hAnsi="Arial"/>
          <w:b/>
          <w:bCs/>
          <w:color w:val="0D1B2A"/>
          <w:sz w:val="22"/>
          <w:szCs w:val="22"/>
        </w:rPr>
        <w:t xml:space="preserve">Bounded context: </w:t>
      </w:r>
      <w:r>
        <w:rPr>
          <w:rFonts w:ascii="Arial" w:cs="Arial" w:eastAsia="Arial" w:hAnsi="Arial"/>
          <w:b w:val="false"/>
          <w:bCs w:val="false"/>
          <w:color w:val="333333"/>
          <w:sz w:val="22"/>
          <w:szCs w:val="22"/>
        </w:rPr>
        <w:t xml:space="preserve">A DDD concept identifying a part of the domain with a consistent, unambiguous model. The natural unit of Strangler Fig migration -- each bounded context maps to a potential microservice.</w:t>
      </w:r>
    </w:p>
    <w:p>
      <w:pPr>
        <w:spacing w:after="100"/>
      </w:pPr>
      <w:r>
        <w:rPr>
          <w:rFonts w:ascii="Arial" w:cs="Arial" w:eastAsia="Arial" w:hAnsi="Arial"/>
          <w:b/>
          <w:bCs/>
          <w:color w:val="0D1B2A"/>
          <w:sz w:val="22"/>
          <w:szCs w:val="22"/>
        </w:rPr>
        <w:t xml:space="preserve">Shadow mode (Step 2): </w:t>
      </w:r>
      <w:r>
        <w:rPr>
          <w:rFonts w:ascii="Arial" w:cs="Arial" w:eastAsia="Arial" w:hAnsi="Arial"/>
          <w:b w:val="false"/>
          <w:bCs w:val="false"/>
          <w:color w:val="333333"/>
          <w:sz w:val="22"/>
          <w:szCs w:val="22"/>
        </w:rPr>
        <w:t xml:space="preserve">A validation technique where the new service receives copies of production requests and computes responses without serving them to users. Used during Step 2 to validate the new service before Step 4 begins.</w:t>
      </w:r>
    </w:p>
    <w:p>
      <w:pPr>
        <w:spacing w:after="100"/>
      </w:pPr>
      <w:r>
        <w:rPr>
          <w:rFonts w:ascii="Arial" w:cs="Arial" w:eastAsia="Arial" w:hAnsi="Arial"/>
          <w:b/>
          <w:bCs/>
          <w:color w:val="0D1B2A"/>
          <w:sz w:val="22"/>
          <w:szCs w:val="22"/>
        </w:rPr>
        <w:t xml:space="preserve">Data ownership: </w:t>
      </w:r>
      <w:r>
        <w:rPr>
          <w:rFonts w:ascii="Arial" w:cs="Arial" w:eastAsia="Arial" w:hAnsi="Arial"/>
          <w:b w:val="false"/>
          <w:bCs w:val="false"/>
          <w:color w:val="333333"/>
          <w:sz w:val="22"/>
          <w:szCs w:val="22"/>
        </w:rPr>
        <w:t xml:space="preserve">The principle that a microservice is the authoritative owner of its data -- the only service that writes to its database. Established in Step 6; true independence requires complete data ownership.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2026-04-14T01:55:23.578Z</dcterms:created>
  <dcterms:modified xsi:type="dcterms:W3CDTF">2026-04-14T01:55:23.579Z</dcterms:modified>
</cp:coreProperties>
</file>

<file path=docProps/custom.xml><?xml version="1.0" encoding="utf-8"?>
<Properties xmlns="http://schemas.openxmlformats.org/officeDocument/2006/custom-properties" xmlns:vt="http://schemas.openxmlformats.org/officeDocument/2006/docPropsVTypes"/>
</file>