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56"/>
          <w:szCs w:val="56"/>
        </w:rPr>
        <w:t xml:space="preserve">STRANGLER FIG PATTERN</w:t>
      </w:r>
    </w:p>
    <w:p>
      <w:pPr>
        <w:spacing w:after="180"/>
        <w:jc w:val="center"/>
      </w:pPr>
      <w:r>
        <w:rPr>
          <w:rFonts w:ascii="Arial" w:cs="Arial" w:eastAsia="Arial" w:hAnsi="Arial"/>
          <w:color w:val="1A3A5C"/>
          <w:sz w:val="28"/>
          <w:szCs w:val="28"/>
        </w:rPr>
        <w:t xml:space="preserve">Incremental Migration from Monolith to Microservices</w:t>
      </w:r>
    </w:p>
    <w:p>
      <w:pPr>
        <w:spacing w:after="120"/>
        <w:jc w:val="center"/>
      </w:pPr>
      <w:r>
        <w:rPr>
          <w:rFonts w:ascii="Arial" w:cs="Arial" w:eastAsia="Arial" w:hAnsi="Arial"/>
          <w:b/>
          <w:bCs/>
          <w:color w:val="0D1B2A"/>
          <w:sz w:val="40"/>
          <w:szCs w:val="40"/>
        </w:rPr>
        <w:t xml:space="preserve">Module 3: Key Techniques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Key techniques in the Strangler Fig migration: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ANTI-CORRUPTION LAYER (ACL)         FEATURE TOGGLES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Translation layer between old        Enable new service for subset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and new domain models               of users/requests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Prevents legacy model leaking       Gradual rollout control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into new service                    Per-user, per-tenant,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PARALLEL RUN                        DATABASE DECOMPOSITION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Both systems process request        4 strategies, progressively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Compare results                     more independent: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Shadow traffic validation           1. Shared database (temporary)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Catch bugs before cutover           2. Database 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Data sync</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4. New service owns data</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Supporting Techniques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Anti-Corruption Layer (ACL) -- Concept</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ACL -- Implementation Patterns</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ACL -- In the Strangler Fig Context</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Feature Toggles -- Concept</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Feature Toggles -- Implementation</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Parallel Run -- Concept</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Parallel Run -- Implementation</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Database Decomposition -- Overview</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Strategy 1: Shared Database</w:t>
      </w:r>
    </w:p>
    <w:p>
      <w:pPr>
        <w:spacing w:after="70"/>
        <w:jc w:val="center"/>
      </w:pPr>
      <w:r>
        <w:rPr>
          <w:rFonts w:ascii="Arial" w:cs="Arial" w:eastAsia="Arial" w:hAnsi="Arial"/>
          <w:b/>
          <w:bCs/>
          <w:color w:val="00695C"/>
          <w:sz w:val="22"/>
          <w:szCs w:val="22"/>
        </w:rPr>
        <w:t xml:space="preserve">11. </w:t>
      </w:r>
      <w:r>
        <w:rPr>
          <w:rFonts w:ascii="Arial" w:cs="Arial" w:eastAsia="Arial" w:hAnsi="Arial"/>
          <w:color w:val="555555"/>
          <w:sz w:val="22"/>
          <w:szCs w:val="22"/>
        </w:rPr>
        <w:t xml:space="preserve">Strategy 2: Database View</w:t>
      </w:r>
    </w:p>
    <w:p>
      <w:pPr>
        <w:spacing w:after="70"/>
        <w:jc w:val="center"/>
      </w:pPr>
      <w:r>
        <w:rPr>
          <w:rFonts w:ascii="Arial" w:cs="Arial" w:eastAsia="Arial" w:hAnsi="Arial"/>
          <w:b/>
          <w:bCs/>
          <w:color w:val="00695C"/>
          <w:sz w:val="22"/>
          <w:szCs w:val="22"/>
        </w:rPr>
        <w:t xml:space="preserve">12. </w:t>
      </w:r>
      <w:r>
        <w:rPr>
          <w:rFonts w:ascii="Arial" w:cs="Arial" w:eastAsia="Arial" w:hAnsi="Arial"/>
          <w:color w:val="555555"/>
          <w:sz w:val="22"/>
          <w:szCs w:val="22"/>
        </w:rPr>
        <w:t xml:space="preserve">Strategy 3: Data Sync</w:t>
      </w:r>
    </w:p>
    <w:p>
      <w:pPr>
        <w:spacing w:after="70"/>
        <w:jc w:val="center"/>
      </w:pPr>
      <w:r>
        <w:rPr>
          <w:rFonts w:ascii="Arial" w:cs="Arial" w:eastAsia="Arial" w:hAnsi="Arial"/>
          <w:b/>
          <w:bCs/>
          <w:color w:val="00695C"/>
          <w:sz w:val="22"/>
          <w:szCs w:val="22"/>
        </w:rPr>
        <w:t xml:space="preserve">13. </w:t>
      </w:r>
      <w:r>
        <w:rPr>
          <w:rFonts w:ascii="Arial" w:cs="Arial" w:eastAsia="Arial" w:hAnsi="Arial"/>
          <w:color w:val="555555"/>
          <w:sz w:val="22"/>
          <w:szCs w:val="22"/>
        </w:rPr>
        <w:t xml:space="preserve">Strategy 4: New Service Owns Data</w:t>
      </w:r>
    </w:p>
    <w:p>
      <w:pPr>
        <w:spacing w:after="70"/>
        <w:jc w:val="center"/>
      </w:pPr>
      <w:r>
        <w:rPr>
          <w:rFonts w:ascii="Arial" w:cs="Arial" w:eastAsia="Arial" w:hAnsi="Arial"/>
          <w:b/>
          <w:bCs/>
          <w:color w:val="00695C"/>
          <w:sz w:val="22"/>
          <w:szCs w:val="22"/>
        </w:rPr>
        <w:t xml:space="preserve">14. </w:t>
      </w:r>
      <w:r>
        <w:rPr>
          <w:rFonts w:ascii="Arial" w:cs="Arial" w:eastAsia="Arial" w:hAnsi="Arial"/>
          <w:color w:val="555555"/>
          <w:sz w:val="22"/>
          <w:szCs w:val="22"/>
        </w:rPr>
        <w:t xml:space="preserve">Choosing a Database Strategy</w:t>
      </w:r>
    </w:p>
    <w:p>
      <w:pPr>
        <w:spacing w:after="70"/>
        <w:jc w:val="center"/>
      </w:pPr>
      <w:r>
        <w:rPr>
          <w:rFonts w:ascii="Arial" w:cs="Arial" w:eastAsia="Arial" w:hAnsi="Arial"/>
          <w:b/>
          <w:bCs/>
          <w:color w:val="0D1B2A"/>
          <w:sz w:val="22"/>
          <w:szCs w:val="22"/>
        </w:rPr>
        <w:t xml:space="preserve">15.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16.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Supporting Techniques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2 covered the six-step Strangler Fig process. Module 3 goes deeper into four key techniques that make the process safe, manageable, and correct: the Anti-Corruption Layer, Feature Toggles, the Parallel Run, and Database Decomposition strategies. These techniques are not steps in the process -- they are tools that are applied within and across steps to solve specific problems.</w:t>
      </w:r>
    </w:p>
    <w:p>
      <w:pPr>
        <w:spacing w:after="160"/>
      </w:pPr>
      <w:r>
        <w:rPr>
          <w:rFonts w:ascii="Arial" w:cs="Arial" w:eastAsia="Arial" w:hAnsi="Arial"/>
          <w:b w:val="false"/>
          <w:bCs w:val="false"/>
          <w:color w:val="333333"/>
          <w:sz w:val="22"/>
          <w:szCs w:val="22"/>
        </w:rPr>
        <w:t xml:space="preserve">The Anti-Corruption Layer (ACL) solves the model pollution problem: when the new service must communicate with the monolith (for data or orchestration), the monolith's legacy model should not infect the new service's clean domain model. The ACL translates between the two models, keeping the new service's domain pure. Feature Toggles solve the routing granularity problem: when you need finer control than URL-path routing can provide (per-user, per-tenant, percentage-based). The Parallel Run solves the validation problem: how to be confident the new service is correct before routing live traffic to it. Database Decomposition strategies solve the data ownership problem: how to move from a shared monolith database to independent service databases, progressively and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Technique</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 It Solves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Applied (Step)</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Anti-Corruption Layer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Monolith's legacy model leaking into new service's domain; translation between old and new concepts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2 (Build) and Step 4 (Migrate) -- whenever new and old services communicate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Toggles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finer routing control than URL paths; per-user or percentage-based traffic routing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3 (Facade) and Step 4 (Migrate) -- as routing mechanism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Parallel Run</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high confidence new service is correct before routing live traffic; comparison validation</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2 (Build) -- shadow testing before Step 4</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Decomposition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Moving from shared monolith DB to independent service databases without downtime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6 (Decompose Data) -- choosing and applying the right strategy</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Anti-Corruption Layer (ACL) -- Concept</w:t>
      </w:r>
    </w:p>
    <w:p>
      <w:pPr>
        <w:shd w:fill="E3F2FD" w:val="clear"/>
        <w:spacing w:after="200"/>
        <w:ind w:left="240" w:right="240"/>
      </w:pPr>
      <w:r>
        <w:rPr>
          <w:rFonts w:ascii="Arial" w:cs="Arial" w:eastAsia="Arial" w:hAnsi="Arial"/>
          <w:color w:val="1565C0"/>
          <w:sz w:val="24"/>
          <w:szCs w:val="24"/>
        </w:rPr>
        <w:t xml:space="preserve">Translation layer between old and new -- prevents legacy model from leaking into new service</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Anti-Corruption Layer (ACL): A translation layer that sits between the new service and the monolith (or any legacy system the new service must communicate with). It converts the monolith's domain model, terminology, and data formats to the new service's clean domain model, preventing the legacy model from polluting the new service's design. Coined by Eric Evans in Domain-Driven Design.</w:t>
      </w:r>
    </w:p>
    <w:p>
      <w:pPr>
        <w:spacing w:after="160"/>
      </w:pPr>
      <w:r>
        <w:rPr>
          <w:rFonts w:ascii="Arial" w:cs="Arial" w:eastAsia="Arial" w:hAnsi="Arial"/>
          <w:b w:val="false"/>
          <w:bCs w:val="false"/>
          <w:color w:val="333333"/>
          <w:sz w:val="22"/>
          <w:szCs w:val="22"/>
        </w:rPr>
        <w:t xml:space="preserve">When the new Order Service needs data from the monolith (e.g., user profile information that has not yet been migrated), it cannot simply import the monolith's User class or call the monolith's internal user service directly. Doing so would couple the new service to the monolith's model. If the monolith's User model changes (field renamed, class restructured), the new service breaks. The ACL sits between them, translating the monolith's 'User' concept into the new service's 'Customer' concept, and insulating the new service from changes in the monolith.</w:t>
      </w:r>
    </w:p>
    <w:p>
      <w:pPr>
        <w:pStyle w:val="Heading2"/>
        <w:spacing w:after="100" w:before="280"/>
      </w:pPr>
      <w:r>
        <w:rPr>
          <w:rFonts w:ascii="Arial" w:cs="Arial" w:eastAsia="Arial" w:hAnsi="Arial"/>
          <w:b/>
          <w:bCs/>
          <w:color w:val="1565C0"/>
          <w:sz w:val="28"/>
          <w:szCs w:val="28"/>
        </w:rPr>
        <w:t xml:space="preserve">2.1 The Model Pollution Problem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WITHOUT Anti-Corruption Layer: model pollution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 model (legacy, complex, coupled):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class LegacyUser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 userId;            // numeric ID (legacy)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fullNameStr;     // 'FirstName LastName' in one field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addr_line1;      // cryptic field names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addr_line2;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addr_city;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customerType;       // 1=GOLD, 2=SILVER, 3=BRONZE (magic 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Date dt_created;        // old Date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Order Service -- WITHOUT ACL (bad):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LegacyUser user = monolithClient.getUser(userId);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Now the new service depends on LegacyUser: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Uses legacy field names (addr_line1, fullNameStr)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Uses magic int for customerType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Uses old Date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Any change to LegacyUser BREAKS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city = user.addr_city;  // leaking legacy naming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Order Service -- WITH ACL (good):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ACL translates LegacyUser -&gt; Customer (new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class Customer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UUID id;               // UUID (modern)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PersonName name;       // { firstName, lastName } (structured)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 address;       // { street1, street2, city, ... } (clean)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CustomerTier tier;     // GOLD, SILVER, BRONZE (enum, not 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Instant createdAt;     // Instant (modern)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OrderService uses Customer -- never sees LegacyUser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customer = acl.getCustomer(userId);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String city = customer.address().city();  // clean naming</w:t>
      </w:r>
    </w:p>
    <w:p>
      <w:pPr>
        <w:pStyle w:val="Heading2"/>
        <w:spacing w:after="100" w:before="280"/>
      </w:pPr>
      <w:r>
        <w:rPr>
          <w:rFonts w:ascii="Arial" w:cs="Arial" w:eastAsia="Arial" w:hAnsi="Arial"/>
          <w:b/>
          <w:bCs/>
          <w:color w:val="1565C0"/>
          <w:sz w:val="28"/>
          <w:szCs w:val="28"/>
        </w:rPr>
        <w:t xml:space="preserve">2.2 Why ACL Is Essential in Strangler 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rPr>
          <w:tblHeader/>
        </w:trPr>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ACL</w:t>
            </w:r>
          </w:p>
        </w:tc>
        <w:tc>
          <w:tcPr>
            <w:tcW w:type="dxa" w:w="5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ACL</w:t>
            </w:r>
          </w:p>
        </w:tc>
      </w:tr>
      <w:tr>
        <w:trPr>
          <w:tblHeader w:val="false"/>
        </w:trPr>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imports legacy classes; legacy changes break new service</w:t>
            </w:r>
          </w:p>
        </w:tc>
        <w:tc>
          <w:tcPr>
            <w:tcW w:type="dxa" w:w="5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uses its own model; legacy changes only affect ACL translation code</w:t>
            </w:r>
          </w:p>
        </w:tc>
      </w:tr>
      <w:tr>
        <w:trPr>
          <w:tblHeader w:val="false"/>
        </w:trPr>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uses legacy naming conventions (addr_line1, dt_created)</w:t>
            </w:r>
          </w:p>
        </w:tc>
        <w:tc>
          <w:tcPr>
            <w:tcW w:type="dxa" w:w="5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uses clean naming (address.street, createdAt)</w:t>
            </w:r>
          </w:p>
        </w:tc>
      </w:tr>
      <w:tr>
        <w:trPr>
          <w:tblHeader w:val="false"/>
        </w:trPr>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domain model polluted by legacy concepts</w:t>
            </w:r>
          </w:p>
        </w:tc>
        <w:tc>
          <w:tcPr>
            <w:tcW w:type="dxa" w:w="5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domain model is clean and expressive</w:t>
            </w:r>
          </w:p>
        </w:tc>
      </w:tr>
      <w:tr>
        <w:trPr>
          <w:tblHeader w:val="false"/>
        </w:trPr>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new service requires monolith (tightly coupled)</w:t>
            </w:r>
          </w:p>
        </w:tc>
        <w:tc>
          <w:tcPr>
            <w:tcW w:type="dxa" w:w="5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new service: mock the ACL; no monolith dependency in tests</w:t>
            </w:r>
          </w:p>
        </w:tc>
      </w:tr>
      <w:tr>
        <w:trPr>
          <w:tblHeader w:val="false"/>
        </w:trPr>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cannot be used after monolith is decommissioned without refactoring</w:t>
            </w:r>
          </w:p>
        </w:tc>
        <w:tc>
          <w:tcPr>
            <w:tcW w:type="dxa" w:w="5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is the only component changed when monolith is replaced; new service unchanged</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ACL  </w:t>
      </w:r>
      <w:r>
        <w:rPr>
          <w:rFonts w:ascii="Arial" w:cs="Arial" w:eastAsia="Arial" w:hAnsi="Arial"/>
          <w:color w:val="333333"/>
          <w:sz w:val="22"/>
          <w:szCs w:val="22"/>
        </w:rPr>
        <w:t xml:space="preserve">The Anti-Corruption Layer is not about preventing all communication with the monolith -- it is about preventing the monolith's internal model from infecting the new service's domain. The ACL translates between models at the boundary. The new service uses only its own, clean model internally.</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ACL -- Implementation Patterns</w:t>
      </w:r>
    </w:p>
    <w:p>
      <w:pPr>
        <w:shd w:fill="E3F2FD" w:val="clear"/>
        <w:spacing w:after="200"/>
        <w:ind w:left="240" w:right="240"/>
      </w:pPr>
      <w:r>
        <w:rPr>
          <w:rFonts w:ascii="Arial" w:cs="Arial" w:eastAsia="Arial" w:hAnsi="Arial"/>
          <w:color w:val="1565C0"/>
          <w:sz w:val="24"/>
          <w:szCs w:val="24"/>
        </w:rPr>
        <w:t xml:space="preserve">Adapter, Facade, and Translator -- the three ACL implementation patterns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The Translator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ACL Translator: converts between monolith and new service models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ACL component -- lives in the new service's infrastructure layer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CustomerAcl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MonolithUserClient monolithClient;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Fetches a Customer from the monolith's User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Translates LegacyUser -&gt; Customer (new service's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 new service NEVER sees LegacyUser.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Customer getCustomerById(UUID customerId)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Call monolith's legacy user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LegacyUserResponse legacy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monolithClient.getUserById(customerId.toString());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Translate: legacy model -&gt; new service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Customer.builder()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.id(UUID.fromString(legacy.getUserId()))  // long -&gt; 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.name(PersonName.of(                       // split full 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legacy.getFullNameStr().split(" ")[0],  // firstName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legacy.getFullNameStr().split(" ")[1]   // lastName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.address(Address.of(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legacy.getAddrLine1(),    // translate field names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legacy.getAddrLine2(),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legacy.getAddrCity(),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legacy.getAddrCountry()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.tier(CustomerTier.fromLegacyCode(         // int -&gt; enum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legacy.getCustomerType()))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.createdAt(legacy.getDtCreated().toInstant()) // Date -&gt; Instant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Order Service uses CustomerAcl -- not MonolithUserClient directly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OrderCommandService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CustomerAcl customerAcl;  // the only monolith dependency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placeOrder(PlaceOrderCommand cmd)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customer = customerAcl.getCustomerById(cmd.customerId());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customer is the new service's model: no legacy contamination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city = customer.address().city();  // clean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3.2 ACL as a Circuit Breaker with 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ACL can also handle monolith unavailability gracefully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CustomerAcl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MonolithUserClient monolithClient;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LocalCustomerRepository localRepo;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Resilience4j circuit breaker: if monolith is down, use local cache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"monolith-user", fallbackMethod = "fromLocal")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Customer getCustomerById(UUID customerId)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LegacyUserResponse legacy = monolithClient.getUserById(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translate(legacy);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use locally synced customer data if monolith unreachable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Customer fromLocal(UUID customerId, Exception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localRepo.findById(customerId)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.orElseThrow(() -&gt; new CustomerNotFoundException(customerId));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Customer translate(LegacyUserResponse legacy)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ACL handles: model translation + resilience + caching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 is the single point of contact between new service and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 monolith is decommissioned: replace ACL with direct DB access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or new User Service call -- new service code unchanged</w:t>
      </w:r>
    </w:p>
    <w:p>
      <w:r>
        <w:br w:type="page"/>
      </w:r>
    </w:p>
    <w:p>
      <w:pPr>
        <w:pStyle w:val="Heading1"/>
        <w:spacing w:after="120" w:before="360"/>
      </w:pPr>
      <w:r>
        <w:rPr>
          <w:rFonts w:ascii="Arial" w:cs="Arial" w:eastAsia="Arial" w:hAnsi="Arial"/>
          <w:b/>
          <w:bCs/>
          <w:color w:val="0D1B2A"/>
          <w:sz w:val="40"/>
          <w:szCs w:val="40"/>
        </w:rPr>
        <w:t xml:space="preserve">4. ACL -- In the Strangler Fig Context</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In the Strangler Fig migration, the ACL evolves through three stages that mirror the overall migration progress.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Migration Stage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ACL Role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ACL Does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ACL Is Removed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New service calls monolith for data not yet migrated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TRANSLATOR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Converts monolith REST responses to new service's domain model. All inter-service calls go through ACL.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is removed when the data source is migrated. If User data migrates to User Service, CustomerAcl is replaced with UserServiceClient.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Monolith calls new service for migrated capability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Adapts new service's API to the interface the monolith expects. Monolith may have hardcoded assumptions about response formats.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is removed when monolith's calling code is deleted (Step 5).</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Data decomposition in progress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 TRANSLATOR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Translates events from monolith format to new service's event format. Ensures data synced from monolith matches new service's schema.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is removed when data sync is complete and new service owns its data.</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ACL is a seam, not a permanent fixture. Its existence is a sign that migration is in progress. Measure ACL health by tracking: how many translation methods it has (more = more coupling), how many times it is called (decreasing = good -- migration proceeding), and whether its tests are passing (ACL bugs are hard to debug because they span two models). Set a goal: the ACL should shrink and eventually disappear.</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Feature Toggles -- Concept</w:t>
      </w:r>
    </w:p>
    <w:p>
      <w:pPr>
        <w:shd w:fill="E8F5E9" w:val="clear"/>
        <w:spacing w:after="200"/>
        <w:ind w:left="240" w:right="240"/>
      </w:pPr>
      <w:r>
        <w:rPr>
          <w:rFonts w:ascii="Arial" w:cs="Arial" w:eastAsia="Arial" w:hAnsi="Arial"/>
          <w:color w:val="1B5E20"/>
          <w:sz w:val="24"/>
          <w:szCs w:val="24"/>
        </w:rPr>
        <w:t xml:space="preserve">Enable new service for a controlled subset of users, requests, or percentage of traffic</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Feature Toggle (also: Feature Flag, Feature Switch): A configuration mechanism that allows a software feature or routing behaviour to be turned on or off at runtime, without deploying new code. In the Strangler Fig context, feature toggles control which users or requests are routed to the new service vs the monolith.</w:t>
      </w:r>
    </w:p>
    <w:p>
      <w:pPr>
        <w:spacing w:after="160"/>
      </w:pPr>
      <w:r>
        <w:rPr>
          <w:rFonts w:ascii="Arial" w:cs="Arial" w:eastAsia="Arial" w:hAnsi="Arial"/>
          <w:b w:val="false"/>
          <w:bCs w:val="false"/>
          <w:color w:val="333333"/>
          <w:sz w:val="22"/>
          <w:szCs w:val="22"/>
        </w:rPr>
        <w:t xml:space="preserve">Path-based routing (nginx, API Gateway rules) is coarse-grained: all requests to /api/orders/* go to the new service. Feature toggles provide fine-grained routing control: new service enabled for 10% of users, or for users in a specific region, or for specific customer tiers, or for internal users only. This granularity is essential for safe canary releases and for enabling specific test populations without affecting production users.</w:t>
      </w:r>
    </w:p>
    <w:p>
      <w:pPr>
        <w:pStyle w:val="Heading2"/>
        <w:spacing w:after="100" w:before="280"/>
      </w:pPr>
      <w:r>
        <w:rPr>
          <w:rFonts w:ascii="Arial" w:cs="Arial" w:eastAsia="Arial" w:hAnsi="Arial"/>
          <w:b/>
          <w:bCs/>
          <w:color w:val="1B5E20"/>
          <w:sz w:val="28"/>
          <w:szCs w:val="28"/>
        </w:rPr>
        <w:t xml:space="preserve">5.1 Toggle Granularity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Toggle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Routing Decision Based 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Percentage rollout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 N% of requests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release: 1% -&gt; 5% -&gt; 25% -&gt; 100%</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 enabled for 10% of /api/orders/* traffic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segment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Specific user IDs or user attributes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users first; then beta users; then all</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 enabled for employees and beta program members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Tenant/account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Organisation or account ID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Enterprise customer migrated first; others follow</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 enabled for accounts where feature flag 'order_v2' = true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Geographic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country, region, data center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GDPR-compliant rollout; regional deployment testing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 enabled for EU region; US region still on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Session/request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header or query parameter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 testing; automated test runs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X-Use-Order-Service: true header routes to new service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5.2 Toggle Lifecycle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Feature toggle lifecycle in Strangler Fig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CREATION (Step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Toggle name: 'order-service-migration'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Initial state: OFF for all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Gateway behaviour when OFF: route to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Gateway behaviour when ON:  route to new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RAMP UP (Step 4):</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1: ON for internal users only (0.1% of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2: ON for 10% of all users (random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3: ON for 50% of all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4: ON for 100% of all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CLEANUP (Step 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4+ weeks at 100%: remove toggle logic from 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Route all /api/orders/* to Order Service permanently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toggle from toggle management system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toggle-related code from 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IMPORTANT: clean up toggles after use.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Stale toggles accumulate into 'toggle debt'.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 toggle is a conditional in the routing logic.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Too many stale toggles make the system hard to understand.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Schedule toggle deletion when migration is complete.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FEATURE TOGGLE  </w:t>
      </w:r>
      <w:r>
        <w:rPr>
          <w:rFonts w:ascii="Arial" w:cs="Arial" w:eastAsia="Arial" w:hAnsi="Arial"/>
          <w:color w:val="333333"/>
          <w:sz w:val="22"/>
          <w:szCs w:val="22"/>
        </w:rPr>
        <w:t xml:space="preserve">Feature toggles are a precision instrument. The granularity they provide -- per-user, per-tenant, percentage-based -- enables rollouts that path-based routing cannot. But they add operational complexity: they must be configured, maintained, monitored, and cleaned up. Every toggle needs an owner and a planned expiry. Never let toggles accumulate without a plan for their removal.</w:t>
      </w:r>
    </w:p>
    <w:p>
      <w:r>
        <w:br w:type="page"/>
      </w:r>
    </w:p>
    <w:p>
      <w:pPr>
        <w:pStyle w:val="Heading1"/>
        <w:spacing w:after="120" w:before="360"/>
      </w:pPr>
      <w:r>
        <w:rPr>
          <w:rFonts w:ascii="Arial" w:cs="Arial" w:eastAsia="Arial" w:hAnsi="Arial"/>
          <w:b/>
          <w:bCs/>
          <w:color w:val="0D1B2A"/>
          <w:sz w:val="40"/>
          <w:szCs w:val="40"/>
        </w:rPr>
        <w:t xml:space="preserve">6. Feature Toggles -- Implementation</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Spring Cloud Gateway with Feature Flags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Feature flag routing in Spring Cloud 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Using Unleash or LaunchDarkly for flag management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OrderRoutingFilter implements GatewayFilter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UnleashClient unleash;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Mono&lt;Void&gt; filter(ServerWebExchange exchange,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GatewayFilterChain chain)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ServerHttpRequest request = exchange.getRequest();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intercept order endpoints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(!request.getPath().toString().startsWith("/api/orders"))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chain.filter(exchange);  // pass through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Evaluate feature flag for this 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userId = request.getHeaders().getFirst("X-User-Id");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UnleashContext ctx = UnleashContext.builder()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.addProperty("userGroup",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request.getHeaders().getFirst("X-User-Group"))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boolean useNewService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unleash.isEnabled("order-service-migration", ctx);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targetUri = useNewService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"http://order-service:8081"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"http://monolith:8080";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Proxy to selected backend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ServerHttpRequest mutated = request.mutate()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.header("X-Routed-To",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useNewService ? "order-service" :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proxyRequest(exchange.mutate()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.request(mutated).build(), targetUri);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6.2 Unleash Feature Flag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Unleash feature flag: 'order-service-migration'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Configure in Unleash dashboard or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name: order-service-migration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description: Route order API traffic to new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enabled: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strategies: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gradualRolloutUserId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parameters: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percentage: 10    # 10% of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groupId: orders   # consistent hashing: same user always same route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24h with 10% stable: update to 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gradualRolloutUserId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parameters: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percentage: 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groupId: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Internal users always get new service (for testing):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userWithId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parameters: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userIds: 'engineer1,engineer2,qa-team'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full rollout: disable toggle, use permanent routing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enabled: false  # stop evaluating, route at gateway level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Unleash strategy properties: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gradualRolloutUserId: % of users (deterministic by userId hash)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gradualRolloutRandom: % random per request (not user-sticky)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userWithId: specific user IDs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remoteAddress: route by IP range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flexibleRollout: combine multiple constraints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Parallel Run -- Concept</w:t>
      </w:r>
    </w:p>
    <w:p>
      <w:pPr>
        <w:shd w:fill="F3E5F5" w:val="clear"/>
        <w:spacing w:after="200"/>
        <w:ind w:left="240" w:right="240"/>
      </w:pPr>
      <w:r>
        <w:rPr>
          <w:rFonts w:ascii="Arial" w:cs="Arial" w:eastAsia="Arial" w:hAnsi="Arial"/>
          <w:color w:val="4A148C"/>
          <w:sz w:val="24"/>
          <w:szCs w:val="24"/>
        </w:rPr>
        <w:t xml:space="preserve">Both systems process requests simultaneously -- compare results to validate correctness</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Parallel Run: A validation technique where both the old system (monolith) and the new service process the same request simultaneously. The old system's response is returned to the user. The new service's response is captured and compared against the old system's. Discrepancies are logged for investigation. No user sees the new service's response until it matches the old system's consistently.</w:t>
      </w:r>
    </w:p>
    <w:p>
      <w:pPr>
        <w:spacing w:after="160"/>
      </w:pPr>
      <w:r>
        <w:rPr>
          <w:rFonts w:ascii="Arial" w:cs="Arial" w:eastAsia="Arial" w:hAnsi="Arial"/>
          <w:b w:val="false"/>
          <w:bCs w:val="false"/>
          <w:color w:val="333333"/>
          <w:sz w:val="22"/>
          <w:szCs w:val="22"/>
        </w:rPr>
        <w:t xml:space="preserve">The Parallel Run is a more sophisticated version of shadow mode. Shadow mode means requests are duplicated and the new service's responses are captured. Parallel Run implies active comparison: the responses are diffed and discrepancies are categorised and investigated. This comparison phase is what makes the team confident enough to route live traffic to the new service.</w:t>
      </w:r>
    </w:p>
    <w:p>
      <w:pPr>
        <w:pStyle w:val="Heading2"/>
        <w:spacing w:after="100" w:before="280"/>
      </w:pPr>
      <w:r>
        <w:rPr>
          <w:rFonts w:ascii="Arial" w:cs="Arial" w:eastAsia="Arial" w:hAnsi="Arial"/>
          <w:b/>
          <w:bCs/>
          <w:color w:val="4A148C"/>
          <w:sz w:val="28"/>
          <w:szCs w:val="28"/>
        </w:rPr>
        <w:t xml:space="preserve">7.1 Parallel Run vs Shadow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Shadow Mode (Basic)</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Parallel Run (Full)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sent to new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(async copy)</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(async copy)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returned to user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from monolith</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from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response captured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Comparison to monolith response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or none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Systematic diff with categorisation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Discrepancy investigation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 hoc</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Structured: expected vs unexpected diffs tracked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Exit criteria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error rate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 rate &lt; threshold; all unexpected diffs investigated and resolved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Days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Weeks (until diff threshold met)</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7.2 The Comparison Problem</w:t>
      </w:r>
    </w:p>
    <w:p>
      <w:pPr>
        <w:spacing w:after="160"/>
      </w:pPr>
      <w:r>
        <w:rPr>
          <w:rFonts w:ascii="Arial" w:cs="Arial" w:eastAsia="Arial" w:hAnsi="Arial"/>
          <w:b w:val="false"/>
          <w:bCs w:val="false"/>
          <w:color w:val="333333"/>
          <w:sz w:val="22"/>
          <w:szCs w:val="22"/>
        </w:rPr>
        <w:t xml:space="preserve">Comparing responses from two systems is harder than it sounds. Not all differences are bugs. Some differences are expected and acceptable (new service uses different timestamp formats, adds new fields, returns items in a different order). The team must distinguish: expected differences (not bugs), unexpected differences that are bugs in the new service, and unexpected differences that reveal undocumented behaviour in the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Response comparison categories: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EXPECTED differences (acceptable -- ignore these):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Field ordering in JSON response (irrelevant to consumers)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Timestamp format ('2024-04-13T15:00:00Z' vs '2024-04-13 15:00:00')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New fields added by new service (additive, backward compatible)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Whitespace differences in text fields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Null vs missing field (both mean 'no 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UNEXPECTED differences (investigate these):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Missing fields in new service response (field not implemented)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Different values for same field (logic bug in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HTTP status code difference (new service returns 404, monolith 200)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Different error message (new service throws exception differently)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Data type difference (string vs number for numeric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MONOLITH BUGS REVEALED (interesting findings):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Monolith returns incorrect value; new service returns correct 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Monolith has undocumented behaviour; new service follows spec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In this case: decide whether to match monolith (compatibility)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to fix the bug (breaking change requiring client updates)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Exit criteria for Parallel Run: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Unexpected diff rate &lt; 0.1% over 7-day rolling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known unexpected diffs investigated and categorised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 high-severity unexpected diffs in last 48 hours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8. Parallel Run -- Implementation</w:t>
      </w:r>
    </w:p>
    <w:p>
      <w:pPr>
        <w:shd w:fill="F3E5F5" w:val="clear"/>
        <w:spacing w:after="200"/>
        <w:ind w:left="240" w:right="240"/>
      </w:pPr>
      <w:r>
        <w:rPr>
          <w:rFonts w:ascii="Arial" w:cs="Arial" w:eastAsia="Arial" w:hAnsi="Arial"/>
          <w:color w:val="4A148C"/>
          <w:sz w:val="24"/>
          <w:szCs w:val="24"/>
        </w:rPr>
        <w:t xml:space="preserve">Async request duplication with structured response comparison and reporting</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8.1 Parallel Run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Parallel Run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[Facade / Gateway]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SYNC request -&gt; [Monolith] -&gt; Response to client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ASYNC copy  -&gt; [Order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[Parallel Run Comparator]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diff(monolith_response,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order_service_response)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[Results Database]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request_id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path, method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monolith_response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new_service_response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diff_result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diff_category (expected/unexpected)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timestamp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 Dashboard / Alerts]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Daily diff rate chart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Unexpected diff drilldown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Alert: diff rate rising</w:t>
      </w:r>
    </w:p>
    <w:p>
      <w:pPr>
        <w:pStyle w:val="Heading2"/>
        <w:spacing w:after="100" w:before="280"/>
      </w:pPr>
      <w:r>
        <w:rPr>
          <w:rFonts w:ascii="Arial" w:cs="Arial" w:eastAsia="Arial" w:hAnsi="Arial"/>
          <w:b/>
          <w:bCs/>
          <w:color w:val="4A148C"/>
          <w:sz w:val="28"/>
          <w:szCs w:val="28"/>
        </w:rPr>
        <w:t xml:space="preserve">8.2 Spring Boot Parallel Run Filter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Parallel Run filter in Spring Cloud Gateway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ParallelRunFilter implements GatewayFilter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WebClient orderServiceClient;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ResponseComparator comparator;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DiffRepository diffRepo;</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Mono&lt;Void&gt; filter(ServerWebExchange exchange,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GatewayFilterChain chain)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Capture the monolith's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chain.filter(exchange).then(Mono.fromRunnable(() -&gt;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ServerHttpResponse monolithResp = exchange.getResponse();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byte[] monolithBody = captureBody(monolithResp);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Async: send same request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ServerHttpRequest req = exchange.getRequest();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orderServiceClient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.method(req.getMethod())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.uri(req.getURI())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.headers(h -&gt; h.addAll(req.getHeaders()))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.retrieve()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.toEntity(byte[].class)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.subscribe(newServiceResp -&gt;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Compare responses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DiffResult diff = comparator.compare(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monolithBody,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newServiceResp.getBody(),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req.getPath().value()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Store diff result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diffRepo.save(DiffRecord.of(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req.getPath().value(),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req.getMethod().name(),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monolithBody,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newServiceResp.getBody(),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Alert if unexpected diff rate is rising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(diff.isUnexpected())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alertingService.increment(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"parallel-run.unexpected-diffs");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error -&gt; log.error(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"Parallel run error: {}", error.getMessage()));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PARALLEL RUN  </w:t>
      </w:r>
      <w:r>
        <w:rPr>
          <w:rFonts w:ascii="Arial" w:cs="Arial" w:eastAsia="Arial" w:hAnsi="Arial"/>
          <w:color w:val="333333"/>
          <w:sz w:val="22"/>
          <w:szCs w:val="22"/>
        </w:rPr>
        <w:t xml:space="preserve">The Parallel Run is the most rigorous validation technique in the Strangler Fig toolkit. Running it for two to four weeks with high traffic coverage gives the team statistical confidence that the new service correctly handles all production request patterns -- including edge cases that staging tests would never reveal. It is expensive (doubles the load sent to the system) but the confidence it provides is worth the cost for complex, high-value capabilities.</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9. Database Decomposition -- Overview</w:t>
      </w:r>
    </w:p>
    <w:p>
      <w:pPr>
        <w:shd w:fill="E0F2F1" w:val="clear"/>
        <w:spacing w:after="200"/>
        <w:ind w:left="240" w:right="240"/>
      </w:pPr>
      <w:r>
        <w:rPr>
          <w:rFonts w:ascii="Arial" w:cs="Arial" w:eastAsia="Arial" w:hAnsi="Arial"/>
          <w:color w:val="00695C"/>
          <w:sz w:val="24"/>
          <w:szCs w:val="24"/>
        </w:rPr>
        <w:t xml:space="preserve">Four strategies from most coupled to fully independent</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Database decomposition is the process of separating the new service's data from the monolith's shared database. It is the most technically complex aspect of the Strangler Fig migration. The goal is to move from a state where both the monolith and the new service read and write to the same database, to a state where the new service owns its data in its own database and the monolith accesses that data through the new service's API.</w:t>
      </w:r>
    </w:p>
    <w:p>
      <w:pPr>
        <w:spacing w:after="160"/>
      </w:pPr>
      <w:r>
        <w:rPr>
          <w:rFonts w:ascii="Arial" w:cs="Arial" w:eastAsia="Arial" w:hAnsi="Arial"/>
          <w:b w:val="false"/>
          <w:bCs w:val="false"/>
          <w:color w:val="333333"/>
          <w:sz w:val="22"/>
          <w:szCs w:val="22"/>
        </w:rPr>
        <w:t xml:space="preserve">Four strategies exist, ordered from most coupled to most independent. Teams typically start at Strategy 1 (shared database) during initial development and progress toward Strategy 4 (full ownership) as the migration matures. Some teams stop at Strategy 2 or 3 if the business cost of full decomposition is not justified. Each strategy represents a different point on the independence-complexity trade-off curve.</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000"/>
        <w:gridCol w:w="3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Level</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Complexity</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Shared database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monolith and new service access the same DB and tables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full schema coupling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no migration needed</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Initial development; testing; short-term during Step 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Database view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reads from DB view; monolith writes to underlying tables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schema read coupling only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LOW-MEDIUM -- create views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needs reads; writes still in monolith; read-heavy capability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Data sync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has its own DB; data replicated from monolith DB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event/CDC coupling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sync infrastructure</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code independence needed; data ownership transfer later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New service owns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owns its DB; monolith calls new service's API for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API coupling only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data migration + API contract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complete; true microservices independence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Strategy 1: Shared Database</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Shared Database: Both the monolith and the new service connect to the same database instance and access the same tables. No data migration is required. The new service reads and writes directly to the monolith's existing tables.</w:t>
      </w:r>
    </w:p>
    <w:p>
      <w:pPr>
        <w:spacing w:after="160"/>
      </w:pPr>
      <w:r>
        <w:rPr>
          <w:rFonts w:ascii="Arial" w:cs="Arial" w:eastAsia="Arial" w:hAnsi="Arial"/>
          <w:b w:val="false"/>
          <w:bCs w:val="false"/>
          <w:color w:val="333333"/>
          <w:sz w:val="22"/>
          <w:szCs w:val="22"/>
        </w:rPr>
        <w:t xml:space="preserve">The shared database is the simplest starting point for database decomposition. It allows the new service to be built and deployed quickly without solving the data migration problem. It is explicitly temporary -- sharing a database between services violates the Database per Service pattern and creates tight schema coupling. Any schema change to the shared tables requires coordinating changes in both the monolith and the new service.</w:t>
      </w:r>
    </w:p>
    <w:p>
      <w:pPr>
        <w:pStyle w:val="Heading2"/>
        <w:spacing w:after="100" w:before="280"/>
      </w:pPr>
      <w:r>
        <w:rPr>
          <w:rFonts w:ascii="Arial" w:cs="Arial" w:eastAsia="Arial" w:hAnsi="Arial"/>
          <w:b/>
          <w:bCs/>
          <w:color w:val="00695C"/>
          <w:sz w:val="28"/>
          <w:szCs w:val="28"/>
        </w:rPr>
        <w:t xml:space="preserve">10.1 Shared Database Architecture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Strategy 1: Shared Database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New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(writes)                (reads + writes)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[Shared PostgreSQL: monolith_db]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orders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order_items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users table (shared)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Connection strings: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jdbc:postgresql://db:5432/monolith_db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Service: jdbc:postgresql://db:5432/monolith_db (same!)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During Step 2 (Build) and early Step 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Both services read and write to the same tables.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This is TEMPORARY -- move to Strategy 2, 3, or 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before marking migration complete.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RISKS of staying at Strategy 1 long-term: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Schema change coordination: ALTER TABLE requires deploying both services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Lock contention: both services compete for the same tables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 independent scaling: cannot scale DB for one service without other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Tight coupling: services cannot be independently deployed in true sense</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Deployment coupling: DB migration affects both services simultaneously</w:t>
      </w:r>
    </w:p>
    <w:p>
      <w:pPr>
        <w:pStyle w:val="Heading2"/>
        <w:spacing w:after="100" w:before="280"/>
      </w:pPr>
      <w:r>
        <w:rPr>
          <w:rFonts w:ascii="Arial" w:cs="Arial" w:eastAsia="Arial" w:hAnsi="Arial"/>
          <w:b/>
          <w:bCs/>
          <w:color w:val="00695C"/>
          <w:sz w:val="28"/>
          <w:szCs w:val="28"/>
        </w:rPr>
        <w:t xml:space="preserve">10.2 When Shared Database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rPr>
          <w:tblHeader/>
        </w:trPr>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Acceptable</w:t>
            </w:r>
          </w:p>
        </w:tc>
        <w:tc>
          <w:tcPr>
            <w:tcW w:type="dxa" w:w="5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 Acceptable</w:t>
            </w:r>
          </w:p>
        </w:tc>
      </w:tr>
      <w:tr>
        <w:trPr>
          <w:tblHeader w:val="false"/>
        </w:trPr>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During Step 2 (Build): new service in staging only</w:t>
            </w:r>
          </w:p>
        </w:tc>
        <w:tc>
          <w:tcPr>
            <w:tcW w:type="dxa" w:w="5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Step 4 (100% traffic): new service in production long-term</w:t>
            </w:r>
          </w:p>
        </w:tc>
      </w:tr>
      <w:tr>
        <w:trPr>
          <w:tblHeader w:val="false"/>
        </w:trPr>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Short-term (2-4 weeks) while data sync is being built</w:t>
            </w:r>
          </w:p>
        </w:tc>
        <w:tc>
          <w:tcPr>
            <w:tcW w:type="dxa" w:w="5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Indefinitely -- becomes a form of distributed monolith</w:t>
            </w:r>
          </w:p>
        </w:tc>
      </w:tr>
      <w:tr>
        <w:trPr>
          <w:tblHeader w:val="false"/>
        </w:trPr>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capability is being validated before investment in data decomposition</w:t>
            </w:r>
          </w:p>
        </w:tc>
        <w:tc>
          <w:tcPr>
            <w:tcW w:type="dxa" w:w="5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the team says 'we'll do data decomposition later' and later never comes</w:t>
            </w:r>
          </w:p>
        </w:tc>
      </w:tr>
      <w:tr>
        <w:trPr>
          <w:tblHeader w:val="false"/>
        </w:trPr>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Internal/low-risk capabilities where DB coupling is acceptable</w:t>
            </w:r>
          </w:p>
        </w:tc>
        <w:tc>
          <w:tcPr>
            <w:tcW w:type="dxa" w:w="5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Customer-facing capabilities with high-frequency schema changes</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DB STRATEGY  </w:t>
      </w:r>
      <w:r>
        <w:rPr>
          <w:rFonts w:ascii="Arial" w:cs="Arial" w:eastAsia="Arial" w:hAnsi="Arial"/>
          <w:color w:val="333333"/>
          <w:sz w:val="22"/>
          <w:szCs w:val="22"/>
        </w:rPr>
        <w:t xml:space="preserve">Strategy 1 is the worst long-term state but the most practical starting point. Every migration should aim to pass through Strategy 1 quickly and reach at minimum Strategy 3 (data sync) before calling the migration 'done'. Strategy 1 left in place indefinitely creates a distributed monolith: the worst of both worlds -- operational complexity of microservices with the coupling of a monolith.</w:t>
      </w:r>
    </w:p>
    <w:p>
      <w:r>
        <w:br w:type="page"/>
      </w:r>
    </w:p>
    <w:p>
      <w:pPr>
        <w:pStyle w:val="Heading1"/>
        <w:spacing w:after="120" w:before="360"/>
      </w:pPr>
      <w:r>
        <w:rPr>
          <w:rFonts w:ascii="Arial" w:cs="Arial" w:eastAsia="Arial" w:hAnsi="Arial"/>
          <w:b/>
          <w:bCs/>
          <w:color w:val="0D1B2A"/>
          <w:sz w:val="40"/>
          <w:szCs w:val="40"/>
        </w:rPr>
        <w:t xml:space="preserve">11. Strategy 2: Database View</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Database View Strategy: The new service reads from a database view that presents the monolith's data in the shape the new service expects. The monolith continues to write to its original tables. The view is a translation layer in SQL -- similar to the Anti-Corruption Layer but at the database level.</w:t>
      </w:r>
    </w:p>
    <w:p>
      <w:pPr>
        <w:spacing w:after="160"/>
      </w:pPr>
      <w:r>
        <w:rPr>
          <w:rFonts w:ascii="Arial" w:cs="Arial" w:eastAsia="Arial" w:hAnsi="Arial"/>
          <w:b w:val="false"/>
          <w:bCs w:val="false"/>
          <w:color w:val="333333"/>
          <w:sz w:val="22"/>
          <w:szCs w:val="22"/>
        </w:rPr>
        <w:t xml:space="preserve">The database view strategy works well when the new service primarily reads data and the monolith still owns the write path. The view can reshape the monolith's normalised tables into the denormalised or differently-structured format the new service's queries need, without requiring data migration. It is particularly useful when the monolith's schema is complex and the new service wants a simplified read model.</w:t>
      </w:r>
    </w:p>
    <w:p>
      <w:pPr>
        <w:pStyle w:val="Heading2"/>
        <w:spacing w:after="100" w:before="280"/>
      </w:pPr>
      <w:r>
        <w:rPr>
          <w:rFonts w:ascii="Arial" w:cs="Arial" w:eastAsia="Arial" w:hAnsi="Arial"/>
          <w:b/>
          <w:bCs/>
          <w:color w:val="00695C"/>
          <w:sz w:val="28"/>
          <w:szCs w:val="28"/>
        </w:rPr>
        <w:t xml:space="preserve">11.1 Database View Implementation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Strategy 2: Database 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DB: complex, normalised legacy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reads from view that presents clean shape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Monolith's legacy tables (written by monolith only):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legacy_orders: { ord_id, user_id, ord_status_cd, ord_total_amt, ord_dt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legacy_order_lines: { line_id, ord_id, prod_id, qty, unit_prc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users: { user_id, full_name_str, email_addr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View for new Order Service (clean names, clean shape):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VIEW order_service_orders AS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o.ord_id        AS order_id,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o.user_id       AS customer_id,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u.email_addr    AS customer_email,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o.ord_status_cd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'P' THEN 'PENDING'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'C' THEN 'CONFIRMED'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'S' THEN 'SHIPPED'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'D' THEN 'DELIVERED'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WHEN 'X' THEN 'CANCELLED'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END             AS status,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o.ord_total_amt AS total_amount,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o.ord_dt        AS placed_at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legacy_orders 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JOIN users u ON u.user_id = o.user_id;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reads from 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SELECT * FROM order_service_orders WHERE order_id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need to know about legacy_orders or its cryptic column names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LIMITATION: view is read-only.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CANNOT write through the 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Writes still go to monolith (which writes to legacy_orders).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Strategy 2 is appropriate ONLY if new service is read-heavy.</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DB STRATEGY  </w:t>
      </w:r>
      <w:r>
        <w:rPr>
          <w:rFonts w:ascii="Arial" w:cs="Arial" w:eastAsia="Arial" w:hAnsi="Arial"/>
          <w:color w:val="333333"/>
          <w:sz w:val="22"/>
          <w:szCs w:val="22"/>
        </w:rPr>
        <w:t xml:space="preserve">Database views are an elegant short-term bridge but they maintain the coupling to the monolith's database schema. The new service cannot evolve its data model independently -- any change to the view requires coordinating with the monolith's table structure. Use Strategy 2 while building the data sync infrastructure for Strategy 3.</w:t>
      </w:r>
    </w:p>
    <w:p>
      <w:r>
        <w:br w:type="page"/>
      </w:r>
    </w:p>
    <w:p>
      <w:pPr>
        <w:pStyle w:val="Heading1"/>
        <w:spacing w:after="120" w:before="360"/>
      </w:pPr>
      <w:r>
        <w:rPr>
          <w:rFonts w:ascii="Arial" w:cs="Arial" w:eastAsia="Arial" w:hAnsi="Arial"/>
          <w:b/>
          <w:bCs/>
          <w:color w:val="0D1B2A"/>
          <w:sz w:val="40"/>
          <w:szCs w:val="40"/>
        </w:rPr>
        <w:t xml:space="preserve">12. Strategy 3: Data Sync</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Data Sync Strategy: The new service has its own database, and data is replicated from the monolith's database to the new service's database using CDC (Debezium), events (Outbox pattern), or ETL. The new service reads from its own database; writes may still go through the monolith (or be gradually transferred to the new service).</w:t>
      </w:r>
    </w:p>
    <w:p>
      <w:pPr>
        <w:spacing w:after="160"/>
      </w:pPr>
      <w:r>
        <w:rPr>
          <w:rFonts w:ascii="Arial" w:cs="Arial" w:eastAsia="Arial" w:hAnsi="Arial"/>
          <w:b w:val="false"/>
          <w:bCs w:val="false"/>
          <w:color w:val="333333"/>
          <w:sz w:val="22"/>
          <w:szCs w:val="22"/>
        </w:rPr>
        <w:t xml:space="preserve">Data sync is the sweet spot for most Strangler Fig migrations: it gives the new service its own database (read independence, independent schema evolution, independent scaling) while the monolith remains the write authority during the transition. The sync mechanism keeps the new service's database current. Data decomposition (Step 6, Strategy 4) transfers write authority later.</w:t>
      </w:r>
    </w:p>
    <w:p>
      <w:pPr>
        <w:pStyle w:val="Heading2"/>
        <w:spacing w:after="100" w:before="280"/>
      </w:pPr>
      <w:r>
        <w:rPr>
          <w:rFonts w:ascii="Arial" w:cs="Arial" w:eastAsia="Arial" w:hAnsi="Arial"/>
          <w:b/>
          <w:bCs/>
          <w:color w:val="00695C"/>
          <w:sz w:val="28"/>
          <w:szCs w:val="28"/>
        </w:rPr>
        <w:t xml:space="preserve">12.1 Event-Driven Data Sync with Outbox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Strategy 3: Data Sync using Outbox Pattern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New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@Transactional                     @KafkaListener('order-events')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placeOrder() {                     onOrderPlaced(event)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orderRepo.save(order);             // upsert into own 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outboxRepo.save(event);  &lt;-- emit  orderRepo.upsert(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OrderProjection.from(event));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 relay -&gt; Kafka]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orders table (synced from monolith via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DB schema (clean, service-appropriate):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order_id UUID (translated from monolith's legacy int ord_id)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customer_id UUID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status VARCHAR (PENDING/CONFIRMED/etc -- not P/C/etc)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total_amount DECIMAL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placed_at TIMESTAMPTZ</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Reads: from own DB (fast, no monolith dependency for reads)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Writes: still go to monolith (monolith emits events; sync updates new DB)</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Consistency: eventual (new service DB lags behind monolith by seconds)</w:t>
      </w:r>
    </w:p>
    <w:p>
      <w:pPr>
        <w:pStyle w:val="Heading2"/>
        <w:spacing w:after="100" w:before="280"/>
      </w:pPr>
      <w:r>
        <w:rPr>
          <w:rFonts w:ascii="Arial" w:cs="Arial" w:eastAsia="Arial" w:hAnsi="Arial"/>
          <w:b/>
          <w:bCs/>
          <w:color w:val="00695C"/>
          <w:sz w:val="28"/>
          <w:szCs w:val="28"/>
        </w:rPr>
        <w:t xml:space="preserve">12.2 CDC-Based Data Sync with Debezium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Strategy 3: CDC sync (no application code change in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Debezium reads PostgreSQL WAL from monolith 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Transforms changes to domain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service consumer applies changes to its own 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Architecture: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DB WAL]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[Debezium Connector]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INSERT on legacy_orders -&gt; OrderPlacedEvent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UPDATE on legacy_orders status -&gt; OrderStatusChangedEvent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[Kafka: order-events topic]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Consumer]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applies events to order_service_db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translates legacy schema to service schema (ACL at data level)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Key advantage of CDC over Outbox for data sync: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changes to monolith code required.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Debezium reads the WAL directly.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Historical data: snapshot.mode=initial migrates existing rows.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Real-time: WAL streaming keeps new DB current within seconds.</w:t>
      </w:r>
    </w:p>
    <w:p>
      <w:r>
        <w:br w:type="page"/>
      </w:r>
    </w:p>
    <w:p>
      <w:pPr>
        <w:pStyle w:val="Heading1"/>
        <w:spacing w:after="120" w:before="360"/>
      </w:pPr>
      <w:r>
        <w:rPr>
          <w:rFonts w:ascii="Arial" w:cs="Arial" w:eastAsia="Arial" w:hAnsi="Arial"/>
          <w:b/>
          <w:bCs/>
          <w:color w:val="0D1B2A"/>
          <w:sz w:val="40"/>
          <w:szCs w:val="40"/>
        </w:rPr>
        <w:t xml:space="preserve">13. Strategy 4: New Service Owns Data</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New Service Owns Data: The new service is the authoritative owner of its data. It has its own database, is the only writer to that database, and the monolith accesses this capability's data through the new service's API -- not directly through the database. This is the target state: true database per service independence.</w:t>
      </w:r>
    </w:p>
    <w:p>
      <w:pPr>
        <w:spacing w:after="160"/>
      </w:pPr>
      <w:r>
        <w:rPr>
          <w:rFonts w:ascii="Arial" w:cs="Arial" w:eastAsia="Arial" w:hAnsi="Arial"/>
          <w:b w:val="false"/>
          <w:bCs w:val="false"/>
          <w:color w:val="333333"/>
          <w:sz w:val="22"/>
          <w:szCs w:val="22"/>
        </w:rPr>
        <w:t xml:space="preserve">Strategy 4 is the target end state for every migrated capability. Achieving it requires: (1) stopping the monolith from writing to the shared tables and having it call the new service's API instead, (2) having the new service accept and process those writes in its own database, and (3) archiving the monolith's tables for the capability. This is Step 6 of the Strangler Fig process -- and it is the most complex step.</w:t>
      </w:r>
    </w:p>
    <w:p>
      <w:pPr>
        <w:pStyle w:val="Heading2"/>
        <w:spacing w:after="100" w:before="280"/>
      </w:pPr>
      <w:r>
        <w:rPr>
          <w:rFonts w:ascii="Arial" w:cs="Arial" w:eastAsia="Arial" w:hAnsi="Arial"/>
          <w:b/>
          <w:bCs/>
          <w:color w:val="00695C"/>
          <w:sz w:val="28"/>
          <w:szCs w:val="28"/>
        </w:rPr>
        <w:t xml:space="preserve">13.1 The Strategy 4 Transition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Strategy 4 transition: monolith calls new service's API</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Before Strategy 4 (Strategy 3 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writes to legacy_orders table directly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reads from own DB (synced from monolith via CDC)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After Strategy 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calls Order Service API for order operations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POST /api/orders (create) -&gt;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PUT /api/orders/{id}/confirm -&gt;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Order Service: writes to its own DB; is the authority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Code change in monolith (temporary during Step 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BEFORE: orderRepo.save(order);  // writes to legacy_orders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AFTER:  orderServiceClient.createOrder(order); // calls new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This monolith code change is TEMPORARY.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Once all order-related monolith code is deleted (Step 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more monolith code needs to call the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The monolith simply no longer has order creation code.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Final state: monolith has no order code, no order DB tables.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Service: owns all order data and operations.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True Database per Service achieved.</w:t>
      </w:r>
    </w:p>
    <w:p>
      <w:pPr>
        <w:pStyle w:val="Heading2"/>
        <w:spacing w:after="100" w:before="280"/>
      </w:pPr>
      <w:r>
        <w:rPr>
          <w:rFonts w:ascii="Arial" w:cs="Arial" w:eastAsia="Arial" w:hAnsi="Arial"/>
          <w:b/>
          <w:bCs/>
          <w:color w:val="00695C"/>
          <w:sz w:val="28"/>
          <w:szCs w:val="28"/>
        </w:rPr>
        <w:t xml:space="preserve">13.2 Strategy 4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Check</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to Verify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sole writer to its DB</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audit: verify no connection string from monolith to new service DB</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Monolith's tables for this capability are empty or archived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Row count check: legacy_orders has 0 new rows after cutover date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code no longer accesses capability's tables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search: no SQL/JPA references to legacy_orders/order_items in monolith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API handles all operations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test coverage: all CRUD operations tested against new service endpoints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integrity verified post-migration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Reconciliation: new service DB record count matches archived monolith tables</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DB STRATEGY  </w:t>
      </w:r>
      <w:r>
        <w:rPr>
          <w:rFonts w:ascii="Arial" w:cs="Arial" w:eastAsia="Arial" w:hAnsi="Arial"/>
          <w:color w:val="333333"/>
          <w:sz w:val="22"/>
          <w:szCs w:val="22"/>
        </w:rPr>
        <w:t xml:space="preserve">Strategy 4 is worth the complexity. A service that shares a database with the monolith is not truly independent -- schema changes, database migrations, and database performance issues in one service affect the other. Strategy 4 achieves the microservices independence that justifies the architectural investment.</w:t>
      </w:r>
    </w:p>
    <w:p>
      <w:r>
        <w:br w:type="page"/>
      </w:r>
    </w:p>
    <w:p>
      <w:pPr>
        <w:pStyle w:val="Heading1"/>
        <w:spacing w:after="120" w:before="360"/>
      </w:pPr>
      <w:r>
        <w:rPr>
          <w:rFonts w:ascii="Arial" w:cs="Arial" w:eastAsia="Arial" w:hAnsi="Arial"/>
          <w:b/>
          <w:bCs/>
          <w:color w:val="0D1B2A"/>
          <w:sz w:val="40"/>
          <w:szCs w:val="40"/>
        </w:rPr>
        <w:t xml:space="preserve">14. Choosing a Database Strategy</w:t>
      </w:r>
    </w:p>
    <w:p>
      <w:pPr>
        <w:pBdr>
          <w:bottom w:val="single" w:color="0069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Situation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Strategy</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Rationale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in development (Step 2), not yet in production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1 (Shared DB)</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Fastest to start; no data migration needed; explicitly temporary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read-heavy; monolith owns all writes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2 (DB View)</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View provides read model without data migration; low complexity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needs read independence; writes still in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3 (Data Sync)</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DB for reads; CDC or Outbox keeps it current; monolith still writes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handling 100% of traffic (Step 4 complete)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3 -&gt; Strategy 4</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Ready to transfer write authority; begin Step 6 data decomposition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schema change rate; teams evolving independently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3 or 4</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 blocks independent schema evolution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to meet Database per Service microservices standard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4</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Strategy 4 achieves true database independence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capability, migration deprioritised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2 or 3</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to stop at 2 or 3 if cost of full decomposition &gt; benefit</w:t>
            </w:r>
          </w:p>
        </w:tc>
      </w:tr>
    </w:tbl>
    <w:p>
      <w:pPr>
        <w:spacing w:after="0" w:before="80"/>
      </w:pPr>
      <w: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Database decomposition decision tree: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Q1: Is the new service read-heavy with writes still in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YES -&gt; Strategy 2 (DB View) is acceptable short-term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Q2: Does the new service need read independence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(own DB, own schema, independent scaling)?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YES -&gt; Strategy 3 (Data Sync): set up CDC or Outbox sync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-&gt; Strategy 1 acceptable temporarily during development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Q3: Is the code migration (Steps 1-5) complete?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YES -&gt; Time to begin Step 6 (Strategy 3 -&gt; Strategy 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Transfer write authority to new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-&gt; Stay at Strategy 3 until code migration completes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Q4: Is the monolith's table for this capability empty?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YES -&gt; Proceed to archive and drop the monolith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Strategy 4 achieved</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NO  -&gt; Continue data migration; do not drop yet</w:t>
      </w:r>
    </w:p>
    <w:p>
      <w:r>
        <w:br w:type="page"/>
      </w:r>
    </w:p>
    <w:p>
      <w:pPr>
        <w:pStyle w:val="Heading1"/>
        <w:spacing w:after="120" w:before="360"/>
      </w:pPr>
      <w:r>
        <w:rPr>
          <w:rFonts w:ascii="Arial" w:cs="Arial" w:eastAsia="Arial" w:hAnsi="Arial"/>
          <w:b/>
          <w:bCs/>
          <w:color w:val="0D1B2A"/>
          <w:sz w:val="40"/>
          <w:szCs w:val="40"/>
        </w:rPr>
        <w:t xml:space="preserve">15.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15.1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Technique</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Anti-Corruption Layer (ACL)</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Translation layer between monolith and new service models; prevents legacy model from polluting new service domain; lives in new service's infrastructure layer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Translator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Converts monolith response to new service's model; e.g., LegacyUser -&gt; Customer; maps field names, types, and enums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Toggle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Runtime on/off switch for routing; enables per-user, per-tenant, or percentage-based routing to new service vs monolith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Toggle lifecycle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OFF -&gt; ramp to 10% -&gt; 50% -&gt; 100% -&gt; delete toggle code; stale toggles = toggle debt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Parallel Run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systems process same request; user gets monolith response; new service response compared; unexpected diffs investigated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Parallel Run exit criteria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Unexpected diff rate &lt; 0.1% over 7-day rolling window; all unexpected diffs investigated; no high-severity diffs in 48h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1: Shared DB</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access same DB and tables; fastest start; explicitly temporary; creates distributed monolith if left long-term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2: DB View</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reads from SQL view of monolith tables; monolith writes to underlying tables; read-heavy capabilities only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3: Data Sync</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has own DB; CDC (Debezium) or Outbox keeps it current from monolith; monolith still writes; reads fully independent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Strategy 4: New service owns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sole writer; monolith calls new service API for data; monolith tables archived; true Database per Service independence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15.2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Anti-Corruption Layer and why is it essential in a Strangler Fig migration? Describe what it translates and where it lives.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Anti-Corruption Layer (ACL) is a translation layer that sits between the new microservice and the monolith, preventing the monolith's legacy domain model from infecting the new service's clean domain model. Eric Evans coined the term in Domain-Driven Design to describe the same pattern in inter-system integration. In the Strangler Fig context, when the new Order Service needs user data that has not yet been migrated, it cannot import the monolith's LegacyUser class directly -- doing so would create model coupling. Any change to LegacyUser would break the Order Service. The ACL translates between the two models: the monolith returns a LegacyUser (with fields like fullNameStr, addr_line1, customerType as an int), and the ACL converts this to the Order Service's Customer model (with PersonName, Address struct, CustomerTier enum). The ACL lives in the new service's infrastructure layer -- it is a @Component (or @Service) in the new service's codebase, called by the Order Service's domain code. The domain code only ever sees Customer -- it never sees LegacyUser. Why it is essential: (1) Model isolation -- the new service's domain model is clean and expressive regardless of the monolith's mess. (2) Change insulation -- when the monolith's model changes, only the ACL translation code needs updating; the new service's domain code is unchanged. (3) Testability -- the new service's domain logic can be tested by mocking the ACL; no monolith dependency in unit tests. (4) Migration path -- when the monolith capability is decommissioned, only the ACL changes (it now calls the new User Service instead of the monolith); the Order Service's domain code is unchanged. The ACL is a seam that absorbs change at the boundary between old and new systems.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Compare the Parallel Run technique to simple shadow mode. What additional capabilities does a Parallel Run provide and what are the exit criteria?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Shadow mode (basic): incoming requests are duplicated to the new service; the new service computes a response; that response is captured. The monolith's response is always returned to the user. Shadow mode's primary output is: does the new service error frequently? Does it respond within acceptable latency? It provides limited answer to 'is the new service correct?'. Parallel Run (full): adds systematic response comparison on top of shadow mode. Both the monolith's response and the new service's response are captured. The Parallel Run comparator diffs them and categorises each difference as: (a) expected differences (timestamp format, JSON field ordering, new fields added -- acceptable, not bugs), (b) unexpected differences (missing fields, different values, different HTTP status codes -- bugs in new service or undocumented monolith behaviour), (c) revealed monolith bugs (new service is correct per spec; monolith has a bug). The categorisation is what makes Parallel Run more than shadow mode: it distinguishes bugs from acceptable variation. The team investigates every unexpected diff, either fixing the new service's implementation or documenting why the difference is acceptable. Additional capabilities vs shadow mode: structured diff tracking (not just error rate); systematic root cause investigation per discrepancy; revealed monolith bugs (new information); objective exit criteria based on diff rate rather than subjective confidence. Exit criteria for Parallel Run: unexpected diff rate &lt; 0.1% over a 7-day rolling window; all known unexpected diffs have been investigated and categorised as bug-fixed or acceptable; no high-severity unexpected diffs in the last 48 hours. These criteria give the team statistical and qualitative confidence before routing live traffic to the new service.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Describe the four database decomposition strategies in the Strangler Fig pattern. What are the trade-offs of each and in what order should they be applied?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Four strategies from most coupled to fully independent: Strategy 1 -- Shared Database: both the monolith and the new service connect to the same database and access the same tables. Zero data migration required. Maximum schema coupling -- any ALTER TABLE requires coordinating both services. Acceptable during Step 2 (development) and early testing. Should not persist long-term; leads to a distributed monolith. Strategy 2 -- Database View: the new service reads from a SQL view that presents the monolith's data in a clean format. The monolith writes to the underlying tables. The view handles translation (field renaming, code-to-enum conversion, joins). Lower coupling than Strategy 1 for reads, but the new service cannot write independently. Best for read-heavy capabilities or as a bridge while building sync infrastructure. Still couples the new service to the monolith's database schema. Strategy 3 -- Data Sync: the new service has its own independent database, populated by replicating changes from the monolith's database using CDC (Debezium reading the WAL) or events (Outbox pattern). The new service reads from its own database -- fully independent for reads. The monolith still owns the write path. Eventual consistency: the new service's database lags behind the monolith by seconds. This is the practical sweet spot for most migrations. Strategy 4 -- New Service Owns Data: the new service is the sole writer to its database. The monolith (if it still needs to create orders) calls the new service's API. The monolith's tables for this capability are archived and eventually dropped. True Database per Service independence achieved. Application order: every migration starts at Strategy 1 (or skips to 2) during development, moves to Strategy 3 when the service needs production read independence, and moves to Strategy 4 when the code migration (Steps 1-5) is complete and the team is ready to execute Step 6.</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feature toggle technique and how does it complement path-based routing in the Strangler Fig migration? Describe the toggle lifecycle and the risk of 'toggle debt'.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Feature toggles are runtime configuration switches that control which service handles a request, without deploying new code. In the Strangler Fig context, they provide routing granularity that URL-path routing cannot: a toggle can route 10% of requests to the new service, or route only internal users, or route only users in a specific region -- while path-based routing can only say 'all requests to /api/orders/* go here'. Feature toggles complement path-based routing by adding: (1) Percentage-based canary releases (gradualRolloutUserId strategy in Unleash routes N% of users deterministically), (2) User segment routing (internal users see new service first; beta users second; all users last), (3) Tenant-based routing (enterprise accounts migrated before small accounts), (4) Instant rollback (toggle off = 100% traffic returns to monolith in seconds). Toggle lifecycle: the toggle is created OFF during Step 3 (facade setup). During Step 4, it is gradually enabled: 10% (Stage 1), 50% (Stage 2), 100% (Stage 3). After the new service has been at 100% for 4+ weeks and Step 5 (code removal) is complete, the toggle is deleted: the routing code is removed from the gateway and path-based routing (permanent, no flag evaluation) is used instead. Toggle debt: the risk of allowing stale toggles to accumulate. Each toggle is a conditional in the routing logic. Ten stale toggles mean every request evaluation involves checking ten conditions, most of which are always true or always false (the migration is long complete). Stale toggles also confuse new team members ('why does this flag still exist?') and create false impressions of still-in-progress migrations. Every toggle needs a planned expiry and owner. At migration completion, delete the toggle from both the management system and the gateway code.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team has successfully migrated the Order Service code (Steps 1-5) and is currently at Strategy 3 (data sync via Debezium). Describe in detail how they should execute Strategy 4 (data decomposition) to make the Order Service the authoritative data owner.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Executing Strategy 4 from Strategy 3 with Debezium sync: Pre-conditions to check before starting: (1) New service is serving 100% of order traffic (Step 4 complete). (2) Monolith code for orders has been deleted (Step 5 complete). Wait -- if Step 5 is not complete, the monolith code still writes directly to the monolith's orders table; cannot proceed. (3) Debezium is running and the new service's DB is current (lag &lt; 1 second). Phase A -- Transfer write authority: the monolith still has some code paths that write to legacy_orders (any residual code not yet cleaned up, or batch jobs). Identify and eliminate all remaining monolith writes to legacy_orders. If the monolith legitimately needs to create orders for something, it must now call the Order Service API (POST /api/orders). This is typically needed for a brief period during Step 5 cleanup. Phase B -- Stop Debezium sync: once the monolith has zero writes to legacy_orders (verified by monitoring the table's insert/update rate for 24 hours showing zero activity), pause the Debezium connector. Phase C -- Final reconciliation: run a reconciliation check comparing row counts and checksums between legacy_orders (archived) and the new service's orders table. Fix any discrepancies. Phase D -- Archive monolith table: rename legacy_orders to legacy_orders_archive_YYYY_MM_DD or move it to a separate archive schema. Do not drop it yet. Phase E -- Monitor (30-day window): operate for 30 days with the new service as the sole authority. Watch for: any application errors that might indicate a missed write path, any reports of missing orders, any batch job that was reading from legacy_orders that is now broken. Phase F -- Drop (after 30+ days): drop the archived legacy_orders table. The new service is now the fully independent, authoritative owner of order data. Database per Service achieved.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16.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Anti-Corruption Layer (ACL): </w:t>
      </w:r>
      <w:r>
        <w:rPr>
          <w:rFonts w:ascii="Arial" w:cs="Arial" w:eastAsia="Arial" w:hAnsi="Arial"/>
          <w:b w:val="false"/>
          <w:bCs w:val="false"/>
          <w:color w:val="333333"/>
          <w:sz w:val="22"/>
          <w:szCs w:val="22"/>
        </w:rPr>
        <w:t xml:space="preserve">A translation layer between the new service and the monolith that converts the monolith's legacy model into the new service's clean domain model. Prevents legacy concepts from polluting the new service. Named by Eric Evans in Domain-Driven Design.</w:t>
      </w:r>
    </w:p>
    <w:p>
      <w:pPr>
        <w:spacing w:after="100"/>
      </w:pPr>
      <w:r>
        <w:rPr>
          <w:rFonts w:ascii="Arial" w:cs="Arial" w:eastAsia="Arial" w:hAnsi="Arial"/>
          <w:b/>
          <w:bCs/>
          <w:color w:val="0D1B2A"/>
          <w:sz w:val="22"/>
          <w:szCs w:val="22"/>
        </w:rPr>
        <w:t xml:space="preserve">Model pollution: </w:t>
      </w:r>
      <w:r>
        <w:rPr>
          <w:rFonts w:ascii="Arial" w:cs="Arial" w:eastAsia="Arial" w:hAnsi="Arial"/>
          <w:b w:val="false"/>
          <w:bCs w:val="false"/>
          <w:color w:val="333333"/>
          <w:sz w:val="22"/>
          <w:szCs w:val="22"/>
        </w:rPr>
        <w:t xml:space="preserve">The contamination of a new service's clean domain model by legacy concepts, field names, data types, or conventions from the monolith. The ACL prevents model pollution.</w:t>
      </w:r>
    </w:p>
    <w:p>
      <w:pPr>
        <w:spacing w:after="100"/>
      </w:pPr>
      <w:r>
        <w:rPr>
          <w:rFonts w:ascii="Arial" w:cs="Arial" w:eastAsia="Arial" w:hAnsi="Arial"/>
          <w:b/>
          <w:bCs/>
          <w:color w:val="0D1B2A"/>
          <w:sz w:val="22"/>
          <w:szCs w:val="22"/>
        </w:rPr>
        <w:t xml:space="preserve">Feature toggle (feature flag): </w:t>
      </w:r>
      <w:r>
        <w:rPr>
          <w:rFonts w:ascii="Arial" w:cs="Arial" w:eastAsia="Arial" w:hAnsi="Arial"/>
          <w:b w:val="false"/>
          <w:bCs w:val="false"/>
          <w:color w:val="333333"/>
          <w:sz w:val="22"/>
          <w:szCs w:val="22"/>
        </w:rPr>
        <w:t xml:space="preserve">A runtime configuration switch that controls whether a feature or routing behaviour is enabled, without code deployment. Used for per-user, per-tenant, or percentage-based canary releases.</w:t>
      </w:r>
    </w:p>
    <w:p>
      <w:pPr>
        <w:spacing w:after="100"/>
      </w:pPr>
      <w:r>
        <w:rPr>
          <w:rFonts w:ascii="Arial" w:cs="Arial" w:eastAsia="Arial" w:hAnsi="Arial"/>
          <w:b/>
          <w:bCs/>
          <w:color w:val="0D1B2A"/>
          <w:sz w:val="22"/>
          <w:szCs w:val="22"/>
        </w:rPr>
        <w:t xml:space="preserve">Toggle debt: </w:t>
      </w:r>
      <w:r>
        <w:rPr>
          <w:rFonts w:ascii="Arial" w:cs="Arial" w:eastAsia="Arial" w:hAnsi="Arial"/>
          <w:b w:val="false"/>
          <w:bCs w:val="false"/>
          <w:color w:val="333333"/>
          <w:sz w:val="22"/>
          <w:szCs w:val="22"/>
        </w:rPr>
        <w:t xml:space="preserve">The accumulation of stale, unused feature toggles that add complexity without providing value. Each toggle is a conditional in the routing logic. Toggles must be cleaned up after use.</w:t>
      </w:r>
    </w:p>
    <w:p>
      <w:pPr>
        <w:spacing w:after="100"/>
      </w:pPr>
      <w:r>
        <w:rPr>
          <w:rFonts w:ascii="Arial" w:cs="Arial" w:eastAsia="Arial" w:hAnsi="Arial"/>
          <w:b/>
          <w:bCs/>
          <w:color w:val="0D1B2A"/>
          <w:sz w:val="22"/>
          <w:szCs w:val="22"/>
        </w:rPr>
        <w:t xml:space="preserve">Gradual rollout (Unleash): </w:t>
      </w:r>
      <w:r>
        <w:rPr>
          <w:rFonts w:ascii="Arial" w:cs="Arial" w:eastAsia="Arial" w:hAnsi="Arial"/>
          <w:b w:val="false"/>
          <w:bCs w:val="false"/>
          <w:color w:val="333333"/>
          <w:sz w:val="22"/>
          <w:szCs w:val="22"/>
        </w:rPr>
        <w:t xml:space="preserve">An Unleash toggle strategy that enables a feature for a consistent percentage of users based on user ID hash. 10% means the same 10% of users always see the new service, enabling consistent testing.</w:t>
      </w:r>
    </w:p>
    <w:p>
      <w:pPr>
        <w:spacing w:after="100"/>
      </w:pPr>
      <w:r>
        <w:rPr>
          <w:rFonts w:ascii="Arial" w:cs="Arial" w:eastAsia="Arial" w:hAnsi="Arial"/>
          <w:b/>
          <w:bCs/>
          <w:color w:val="0D1B2A"/>
          <w:sz w:val="22"/>
          <w:szCs w:val="22"/>
        </w:rPr>
        <w:t xml:space="preserve">Parallel Run: </w:t>
      </w:r>
      <w:r>
        <w:rPr>
          <w:rFonts w:ascii="Arial" w:cs="Arial" w:eastAsia="Arial" w:hAnsi="Arial"/>
          <w:b w:val="false"/>
          <w:bCs w:val="false"/>
          <w:color w:val="333333"/>
          <w:sz w:val="22"/>
          <w:szCs w:val="22"/>
        </w:rPr>
        <w:t xml:space="preserve">A validation technique where both the monolith and the new service process the same request simultaneously. The user always receives the monolith's response. The new service's response is compared for correctness.</w:t>
      </w:r>
    </w:p>
    <w:p>
      <w:pPr>
        <w:spacing w:after="100"/>
      </w:pPr>
      <w:r>
        <w:rPr>
          <w:rFonts w:ascii="Arial" w:cs="Arial" w:eastAsia="Arial" w:hAnsi="Arial"/>
          <w:b/>
          <w:bCs/>
          <w:color w:val="0D1B2A"/>
          <w:sz w:val="22"/>
          <w:szCs w:val="22"/>
        </w:rPr>
        <w:t xml:space="preserve">Response comparator: </w:t>
      </w:r>
      <w:r>
        <w:rPr>
          <w:rFonts w:ascii="Arial" w:cs="Arial" w:eastAsia="Arial" w:hAnsi="Arial"/>
          <w:b w:val="false"/>
          <w:bCs w:val="false"/>
          <w:color w:val="333333"/>
          <w:sz w:val="22"/>
          <w:szCs w:val="22"/>
        </w:rPr>
        <w:t xml:space="preserve">The component in a Parallel Run that diffs the monolith's response and the new service's response, categorising differences as expected (acceptable) or unexpected (bugs to investigate).</w:t>
      </w:r>
    </w:p>
    <w:p>
      <w:pPr>
        <w:spacing w:after="100"/>
      </w:pPr>
      <w:r>
        <w:rPr>
          <w:rFonts w:ascii="Arial" w:cs="Arial" w:eastAsia="Arial" w:hAnsi="Arial"/>
          <w:b/>
          <w:bCs/>
          <w:color w:val="0D1B2A"/>
          <w:sz w:val="22"/>
          <w:szCs w:val="22"/>
        </w:rPr>
        <w:t xml:space="preserve">Expected diff: </w:t>
      </w:r>
      <w:r>
        <w:rPr>
          <w:rFonts w:ascii="Arial" w:cs="Arial" w:eastAsia="Arial" w:hAnsi="Arial"/>
          <w:b w:val="false"/>
          <w:bCs w:val="false"/>
          <w:color w:val="333333"/>
          <w:sz w:val="22"/>
          <w:szCs w:val="22"/>
        </w:rPr>
        <w:t xml:space="preserve">A response difference between the monolith and new service that is acceptable and not a bug: different timestamp format, JSON field ordering, new additional fields, null vs missing.</w:t>
      </w:r>
    </w:p>
    <w:p>
      <w:pPr>
        <w:spacing w:after="100"/>
      </w:pPr>
      <w:r>
        <w:rPr>
          <w:rFonts w:ascii="Arial" w:cs="Arial" w:eastAsia="Arial" w:hAnsi="Arial"/>
          <w:b/>
          <w:bCs/>
          <w:color w:val="0D1B2A"/>
          <w:sz w:val="22"/>
          <w:szCs w:val="22"/>
        </w:rPr>
        <w:t xml:space="preserve">Unexpected diff: </w:t>
      </w:r>
      <w:r>
        <w:rPr>
          <w:rFonts w:ascii="Arial" w:cs="Arial" w:eastAsia="Arial" w:hAnsi="Arial"/>
          <w:b w:val="false"/>
          <w:bCs w:val="false"/>
          <w:color w:val="333333"/>
          <w:sz w:val="22"/>
          <w:szCs w:val="22"/>
        </w:rPr>
        <w:t xml:space="preserve">A response difference between the monolith and new service that indicates a bug: missing required fields, different values for the same field, different HTTP status codes.</w:t>
      </w:r>
    </w:p>
    <w:p>
      <w:pPr>
        <w:spacing w:after="100"/>
      </w:pPr>
      <w:r>
        <w:rPr>
          <w:rFonts w:ascii="Arial" w:cs="Arial" w:eastAsia="Arial" w:hAnsi="Arial"/>
          <w:b/>
          <w:bCs/>
          <w:color w:val="0D1B2A"/>
          <w:sz w:val="22"/>
          <w:szCs w:val="22"/>
        </w:rPr>
        <w:t xml:space="preserve">Database decomposition: </w:t>
      </w:r>
      <w:r>
        <w:rPr>
          <w:rFonts w:ascii="Arial" w:cs="Arial" w:eastAsia="Arial" w:hAnsi="Arial"/>
          <w:b w:val="false"/>
          <w:bCs w:val="false"/>
          <w:color w:val="333333"/>
          <w:sz w:val="22"/>
          <w:szCs w:val="22"/>
        </w:rPr>
        <w:t xml:space="preserve">The process of separating the new service's data from the monolith's shared database, progressing from shared tables to independent ownership.</w:t>
      </w:r>
    </w:p>
    <w:p>
      <w:pPr>
        <w:spacing w:after="100"/>
      </w:pPr>
      <w:r>
        <w:rPr>
          <w:rFonts w:ascii="Arial" w:cs="Arial" w:eastAsia="Arial" w:hAnsi="Arial"/>
          <w:b/>
          <w:bCs/>
          <w:color w:val="0D1B2A"/>
          <w:sz w:val="22"/>
          <w:szCs w:val="22"/>
        </w:rPr>
        <w:t xml:space="preserve">Strategy 1: Shared Database: </w:t>
      </w:r>
      <w:r>
        <w:rPr>
          <w:rFonts w:ascii="Arial" w:cs="Arial" w:eastAsia="Arial" w:hAnsi="Arial"/>
          <w:b w:val="false"/>
          <w:bCs w:val="false"/>
          <w:color w:val="333333"/>
          <w:sz w:val="22"/>
          <w:szCs w:val="22"/>
        </w:rPr>
        <w:t xml:space="preserve">Both monolith and new service access the same database tables. Explicitly temporary. Creates distributed monolith if left long-term.</w:t>
      </w:r>
    </w:p>
    <w:p>
      <w:pPr>
        <w:spacing w:after="100"/>
      </w:pPr>
      <w:r>
        <w:rPr>
          <w:rFonts w:ascii="Arial" w:cs="Arial" w:eastAsia="Arial" w:hAnsi="Arial"/>
          <w:b/>
          <w:bCs/>
          <w:color w:val="0D1B2A"/>
          <w:sz w:val="22"/>
          <w:szCs w:val="22"/>
        </w:rPr>
        <w:t xml:space="preserve">Strategy 2: Database View: </w:t>
      </w:r>
      <w:r>
        <w:rPr>
          <w:rFonts w:ascii="Arial" w:cs="Arial" w:eastAsia="Arial" w:hAnsi="Arial"/>
          <w:b w:val="false"/>
          <w:bCs w:val="false"/>
          <w:color w:val="333333"/>
          <w:sz w:val="22"/>
          <w:szCs w:val="22"/>
        </w:rPr>
        <w:t xml:space="preserve">New service reads from a SQL view of the monolith's tables. Monolith writes to underlying tables. Appropriate for read-heavy capabilities.</w:t>
      </w:r>
    </w:p>
    <w:p>
      <w:pPr>
        <w:spacing w:after="100"/>
      </w:pPr>
      <w:r>
        <w:rPr>
          <w:rFonts w:ascii="Arial" w:cs="Arial" w:eastAsia="Arial" w:hAnsi="Arial"/>
          <w:b/>
          <w:bCs/>
          <w:color w:val="0D1B2A"/>
          <w:sz w:val="22"/>
          <w:szCs w:val="22"/>
        </w:rPr>
        <w:t xml:space="preserve">Strategy 3: Data Sync: </w:t>
      </w:r>
      <w:r>
        <w:rPr>
          <w:rFonts w:ascii="Arial" w:cs="Arial" w:eastAsia="Arial" w:hAnsi="Arial"/>
          <w:b w:val="false"/>
          <w:bCs w:val="false"/>
          <w:color w:val="333333"/>
          <w:sz w:val="22"/>
          <w:szCs w:val="22"/>
        </w:rPr>
        <w:t xml:space="preserve">New service has its own database, kept current via CDC (Debezium) or Outbox events from the monolith. Read independence achieved; write authority still with monolith.</w:t>
      </w:r>
    </w:p>
    <w:p>
      <w:pPr>
        <w:spacing w:after="100"/>
      </w:pPr>
      <w:r>
        <w:rPr>
          <w:rFonts w:ascii="Arial" w:cs="Arial" w:eastAsia="Arial" w:hAnsi="Arial"/>
          <w:b/>
          <w:bCs/>
          <w:color w:val="0D1B2A"/>
          <w:sz w:val="22"/>
          <w:szCs w:val="22"/>
        </w:rPr>
        <w:t xml:space="preserve">Strategy 4: New Service Owns Data: </w:t>
      </w:r>
      <w:r>
        <w:rPr>
          <w:rFonts w:ascii="Arial" w:cs="Arial" w:eastAsia="Arial" w:hAnsi="Arial"/>
          <w:b w:val="false"/>
          <w:bCs w:val="false"/>
          <w:color w:val="333333"/>
          <w:sz w:val="22"/>
          <w:szCs w:val="22"/>
        </w:rPr>
        <w:t xml:space="preserve">New service is sole writer to its database. Monolith accesses this capability's data via the new service's API. True Database per Service independence.</w:t>
      </w:r>
    </w:p>
    <w:p>
      <w:pPr>
        <w:spacing w:after="100"/>
      </w:pPr>
      <w:r>
        <w:rPr>
          <w:rFonts w:ascii="Arial" w:cs="Arial" w:eastAsia="Arial" w:hAnsi="Arial"/>
          <w:b/>
          <w:bCs/>
          <w:color w:val="0D1B2A"/>
          <w:sz w:val="22"/>
          <w:szCs w:val="22"/>
        </w:rPr>
        <w:t xml:space="preserve">Toggle expiry: </w:t>
      </w:r>
      <w:r>
        <w:rPr>
          <w:rFonts w:ascii="Arial" w:cs="Arial" w:eastAsia="Arial" w:hAnsi="Arial"/>
          <w:b w:val="false"/>
          <w:bCs w:val="false"/>
          <w:color w:val="333333"/>
          <w:sz w:val="22"/>
          <w:szCs w:val="22"/>
        </w:rPr>
        <w:t xml:space="preserve">A planned date or migration milestone at which a feature toggle is removed from the system. Prevents toggle debt accumulation.</w:t>
      </w:r>
    </w:p>
    <w:p>
      <w:pPr>
        <w:spacing w:after="100"/>
      </w:pPr>
      <w:r>
        <w:rPr>
          <w:rFonts w:ascii="Arial" w:cs="Arial" w:eastAsia="Arial" w:hAnsi="Arial"/>
          <w:b/>
          <w:bCs/>
          <w:color w:val="0D1B2A"/>
          <w:sz w:val="22"/>
          <w:szCs w:val="22"/>
        </w:rPr>
        <w:t xml:space="preserve">Reconciliation (data migration): </w:t>
      </w:r>
      <w:r>
        <w:rPr>
          <w:rFonts w:ascii="Arial" w:cs="Arial" w:eastAsia="Arial" w:hAnsi="Arial"/>
          <w:b w:val="false"/>
          <w:bCs w:val="false"/>
          <w:color w:val="333333"/>
          <w:sz w:val="22"/>
          <w:szCs w:val="22"/>
        </w:rPr>
        <w:t xml:space="preserve">The process of verifying that two databases contain the same data before a data ownership cutover. Checks row counts, checksums, and spot-sampled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2026-04-14T02:02:39.104Z</dcterms:created>
  <dcterms:modified xsi:type="dcterms:W3CDTF">2026-04-14T02:02:39.105Z</dcterms:modified>
</cp:coreProperties>
</file>

<file path=docProps/custom.xml><?xml version="1.0" encoding="utf-8"?>
<Properties xmlns="http://schemas.openxmlformats.org/officeDocument/2006/custom-properties" xmlns:vt="http://schemas.openxmlformats.org/officeDocument/2006/docPropsVTypes"/>
</file>