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SOFTWARE SUPPLY CHAIN SECURITY</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3: SBOM (Software Bill of Materials)</w:t>
      </w:r>
    </w:p>
    <w:p>
      <w:pPr>
        <w:spacing w:after="400"/>
        <w:jc w:val="center"/>
      </w:pPr>
      <w:r>
        <w:rPr>
          <w:i/>
          <w:iCs/>
          <w:color w:val="505050"/>
          <w:sz w:val="22"/>
          <w:szCs w:val="22"/>
        </w:rPr>
        <w:t xml:space="preserve">An in-depth reference covering Software Bills of Materials — what they are, why they matter, the two dominant formats (SPDX and CycloneDX), the tools that generate them (syft, cdxgen, language-specific), how to consume them with vulnerability scanners (grype, osv-scanner, trivy), the regulatory landscape driving adoption (Executive Order 14028), and the best practices for generating and storing them alongside artifacts.</w:t>
      </w:r>
    </w:p>
    <w:p>
      <w:r>
        <w:br w:type="page"/>
      </w:r>
    </w:p>
    <w:p>
      <w:pPr>
        <w:pStyle w:val="Heading1"/>
        <w:spacing w:after="200" w:before="360"/>
      </w:pPr>
      <w:r>
        <w:rPr>
          <w:b/>
          <w:bCs/>
        </w:rPr>
        <w:t xml:space="preserve">Introduction: Knowing What You Ship</w:t>
      </w:r>
    </w:p>
    <w:p>
      <w:pPr>
        <w:spacing w:after="140"/>
        <w:jc w:val="both"/>
      </w:pPr>
      <w:r>
        <w:t xml:space="preserve">Module 2 introduced SLSA as a framework for attesting how an artifact was built. This module addresses a complementary and arguably more immediately-actionable question: what is inside the artifact? A Software Bill of Materials (SBOM) is a structured inventory of the components — libraries, dependencies, transitive dependencies, operating-system packages, tools — that make up a software product. If SLSA is the provenance record (how was this built?), SBOM is the ingredients list (what is in this?). Together they form the two primary data sources for modern supply-chain trust decisions.</w:t>
      </w:r>
    </w:p>
    <w:p>
      <w:pPr>
        <w:spacing w:after="140"/>
        <w:jc w:val="both"/>
      </w:pPr>
      <w:r>
        <w:t xml:space="preserve">The practical value of SBOM was demonstrated dramatically by Log4Shell in December 2021 (covered in Module 1 Chapter 4). The vulnerability's technical fix was clear within hours; the operational problem of finding every place the vulnerable Log4j was deployed took weeks to months for most organizations. Teams with current, comprehensive SBOMs for their production artifacts answered the 'where do we have Log4j?' question in minutes. Teams without them ran emergency inventory projects, often incomplete, under time pressure. That contrast is why SBOMs have moved from a niche compliance concern to a widely-required supply-chain-security baseline in a remarkably short period.</w:t>
      </w:r>
    </w:p>
    <w:p>
      <w:pPr>
        <w:spacing w:after="140"/>
        <w:jc w:val="both"/>
      </w:pPr>
      <w:r>
        <w:t xml:space="preserve">The landscape has specific details worth knowing. Two SBOM formats dominate — SPDX and CycloneDX — with different origins, different emphases, and different ecosystem positions. Several excellent tools generate SBOMs from existing artifacts, each with its own coverage and accuracy characteristics. A separate set of tools consumes SBOMs to answer specific questions, most commonly 'which of my components have known vulnerabilities?' Regulatory requirements, particularly US Executive Order 14028 and the forthcoming EU Cyber Resilience Act, are making SBOM generation a requirement for federal software vendors and soon for a much broader set of software producers. And emerging best practices — generating SBOMs at build time, signing them, storing them alongside artifacts — are crystallizing into the foundation for automated vulnerability management at scale.</w:t>
      </w:r>
    </w:p>
    <w:p>
      <w:pPr>
        <w:spacing w:after="140"/>
        <w:jc w:val="both"/>
      </w:pPr>
      <w:r>
        <w:t xml:space="preserve">Each curriculum bullet is treated as a chapter. You will learn: (1) what an SBOM actually contains and why it is different from other kinds of software inventory; (2) the specific operational problems SBOMs solve and the incidents that made those problems unavoidable; (3) the SPDX format and its ISO-standard status; (4) the CycloneDX format and its vulnerability-management focus; (5) the major generation tools including syft, cdxgen, and language-specific options; (6) the consumption path via vulnerability scanners like grype, osv-scanner, and trivy; (7) the regulatory drivers, especially Executive Order 14028; and (8) the best practices for generation and storage that make SBOMs actually usable.</w:t>
      </w:r>
    </w:p>
    <w:p>
      <w:r>
        <w:br w:type="page"/>
      </w:r>
    </w:p>
    <w:p>
      <w:pPr>
        <w:pStyle w:val="Heading1"/>
        <w:spacing w:after="200" w:before="360"/>
      </w:pPr>
      <w:r>
        <w:rPr>
          <w:b/>
          <w:bCs/>
        </w:rPr>
        <w:t xml:space="preserve">Chapter 1: What an SBOM Is</w:t>
      </w:r>
    </w:p>
    <w:p>
      <w:pPr>
        <w:pStyle w:val="Heading2"/>
        <w:spacing w:after="160" w:before="280"/>
      </w:pPr>
      <w:r>
        <w:rPr>
          <w:b/>
          <w:bCs/>
        </w:rPr>
        <w:t xml:space="preserve">1.1 The Definition</w:t>
      </w:r>
    </w:p>
    <w:p>
      <w:pPr>
        <w:spacing w:after="140"/>
        <w:jc w:val="both"/>
      </w:pPr>
      <w:r>
        <w:rPr>
          <w:b/>
          <w:bCs/>
        </w:rPr>
        <w:t xml:space="preserve">A Software Bill of Materials (SBOM) </w:t>
      </w:r>
      <w:r>
        <w:t xml:space="preserve">is a structured, machine-readable inventory of the software components that make up a product. The term is borrowed from manufacturing, where a bill of materials lists every physical component of a manufactured product — every screw, every circuit board, every cable. The analogy is intentional: an SBOM lists every software component of an application in the same kind of exhaustive, auditable way.</w:t>
      </w:r>
    </w:p>
    <w:p>
      <w:pPr>
        <w:spacing w:after="140"/>
        <w:jc w:val="both"/>
      </w:pPr>
      <w:r>
        <w:t xml:space="preserve">A typical SBOM entry for a single component records:</w:t>
      </w:r>
    </w:p>
    <w:p>
      <w:pPr>
        <w:pStyle w:val="ListParagraph"/>
        <w:numPr>
          <w:ilvl w:val="0"/>
          <w:numId w:val="2"/>
        </w:numPr>
        <w:spacing w:after="80"/>
      </w:pPr>
      <w:r>
        <w:t xml:space="preserve">Component name and version (e.g., 'log4j-core 2.14.1').</w:t>
      </w:r>
    </w:p>
    <w:p>
      <w:pPr>
        <w:pStyle w:val="ListParagraph"/>
        <w:numPr>
          <w:ilvl w:val="0"/>
          <w:numId w:val="2"/>
        </w:numPr>
        <w:spacing w:after="80"/>
      </w:pPr>
      <w:r>
        <w:t xml:space="preserve">A globally-unique identifier for the component, usually a Package URL (purl) or CPE (Common Platform Enumeration).</w:t>
      </w:r>
    </w:p>
    <w:p>
      <w:pPr>
        <w:pStyle w:val="ListParagraph"/>
        <w:numPr>
          <w:ilvl w:val="0"/>
          <w:numId w:val="2"/>
        </w:numPr>
        <w:spacing w:after="80"/>
      </w:pPr>
      <w:r>
        <w:t xml:space="preserve">The supplier or author of the component.</w:t>
      </w:r>
    </w:p>
    <w:p>
      <w:pPr>
        <w:pStyle w:val="ListParagraph"/>
        <w:numPr>
          <w:ilvl w:val="0"/>
          <w:numId w:val="2"/>
        </w:numPr>
        <w:spacing w:after="80"/>
      </w:pPr>
      <w:r>
        <w:t xml:space="preserve">A cryptographic hash of the component's files.</w:t>
      </w:r>
    </w:p>
    <w:p>
      <w:pPr>
        <w:pStyle w:val="ListParagraph"/>
        <w:numPr>
          <w:ilvl w:val="0"/>
          <w:numId w:val="2"/>
        </w:numPr>
        <w:spacing w:after="80"/>
      </w:pPr>
      <w:r>
        <w:t xml:space="preserve">The license under which the component is distributed.</w:t>
      </w:r>
    </w:p>
    <w:p>
      <w:pPr>
        <w:pStyle w:val="ListParagraph"/>
        <w:numPr>
          <w:ilvl w:val="0"/>
          <w:numId w:val="2"/>
        </w:numPr>
        <w:spacing w:after="80"/>
      </w:pPr>
      <w:r>
        <w:t xml:space="preserve">The relationship to other components (depends-on, contained-in, etc.).</w:t>
      </w:r>
    </w:p>
    <w:p>
      <w:pPr>
        <w:pStyle w:val="ListParagraph"/>
        <w:numPr>
          <w:ilvl w:val="0"/>
          <w:numId w:val="2"/>
        </w:numPr>
        <w:spacing w:after="80"/>
      </w:pPr>
      <w:r>
        <w:t xml:space="preserve">Optional metadata: known vulnerabilities, provenance, declarations about specific exploitability.</w:t>
      </w:r>
    </w:p>
    <w:p>
      <w:pPr>
        <w:spacing w:after="140"/>
        <w:jc w:val="both"/>
      </w:pPr>
      <w:r>
        <w:t xml:space="preserve">A complete SBOM has many such entries — one for each distinct component in the product. A modern application can easily have hundreds or thousands of SBOM entries, because modern applications depend on many libraries, which themselves depend on many more libraries, and so on through a deep transitive-dependency graph.</w:t>
      </w:r>
    </w:p>
    <w:p>
      <w:pPr>
        <w:pStyle w:val="Heading2"/>
        <w:spacing w:after="160" w:before="280"/>
      </w:pPr>
      <w:r>
        <w:rPr>
          <w:b/>
          <w:bCs/>
        </w:rPr>
        <w:t xml:space="preserve">1.2 What 'Component' Means</w:t>
      </w:r>
    </w:p>
    <w:p>
      <w:pPr>
        <w:spacing w:after="140"/>
        <w:jc w:val="both"/>
      </w:pPr>
      <w:r>
        <w:t xml:space="preserve">The definition of 'component' varies slightly by context and format, but covers several distinct kinds of software:</w:t>
      </w:r>
    </w:p>
    <w:p>
      <w:pPr>
        <w:pStyle w:val="ListParagraph"/>
        <w:numPr>
          <w:ilvl w:val="0"/>
          <w:numId w:val="2"/>
        </w:numPr>
        <w:spacing w:after="80"/>
      </w:pPr>
      <w:r>
        <w:rPr>
          <w:b/>
          <w:bCs/>
        </w:rPr>
        <w:t xml:space="preserve">Direct application dependencies. </w:t>
      </w:r>
      <w:r>
        <w:t xml:space="preserve">Libraries the application explicitly declares: the versions listed in package.json, requirements.txt, Cargo.toml, go.mod, pom.xml, or equivalent. These are the dependencies a developer is aware of and chose to include.</w:t>
      </w:r>
    </w:p>
    <w:p>
      <w:pPr>
        <w:pStyle w:val="ListParagraph"/>
        <w:numPr>
          <w:ilvl w:val="0"/>
          <w:numId w:val="2"/>
        </w:numPr>
        <w:spacing w:after="80"/>
      </w:pPr>
      <w:r>
        <w:rPr>
          <w:b/>
          <w:bCs/>
        </w:rPr>
        <w:t xml:space="preserve">Transitive dependencies. </w:t>
      </w:r>
      <w:r>
        <w:t xml:space="preserve">Libraries that the direct dependencies themselves depend on. A typical application has 5–10x more transitive than direct dependencies. These are the dependencies a developer usually does not know about individually, and they are the ones that caused the Log4j surprise.</w:t>
      </w:r>
    </w:p>
    <w:p>
      <w:pPr>
        <w:pStyle w:val="ListParagraph"/>
        <w:numPr>
          <w:ilvl w:val="0"/>
          <w:numId w:val="2"/>
        </w:numPr>
        <w:spacing w:after="80"/>
      </w:pPr>
      <w:r>
        <w:rPr>
          <w:b/>
          <w:bCs/>
        </w:rPr>
        <w:t xml:space="preserve">Operating-system packages. </w:t>
      </w:r>
      <w:r>
        <w:t xml:space="preserve">For container images or virtual machines, the OS packages installed as part of the base image (apt, apk, yum, rpm). These are often a large fraction of the total SBOM entries.</w:t>
      </w:r>
    </w:p>
    <w:p>
      <w:pPr>
        <w:pStyle w:val="ListParagraph"/>
        <w:numPr>
          <w:ilvl w:val="0"/>
          <w:numId w:val="2"/>
        </w:numPr>
        <w:spacing w:after="80"/>
      </w:pPr>
      <w:r>
        <w:rPr>
          <w:b/>
          <w:bCs/>
        </w:rPr>
        <w:t xml:space="preserve">Embedded or bundled components. </w:t>
      </w:r>
      <w:r>
        <w:t xml:space="preserve">Libraries vendored directly into the application (copied into the repository rather than referenced as dependencies) or statically linked into binaries.</w:t>
      </w:r>
    </w:p>
    <w:p>
      <w:pPr>
        <w:pStyle w:val="ListParagraph"/>
        <w:numPr>
          <w:ilvl w:val="0"/>
          <w:numId w:val="2"/>
        </w:numPr>
        <w:spacing w:after="80"/>
      </w:pPr>
      <w:r>
        <w:rPr>
          <w:b/>
          <w:bCs/>
        </w:rPr>
        <w:t xml:space="preserve">Build-time tooling (sometimes). </w:t>
      </w:r>
      <w:r>
        <w:t xml:space="preserve">Compilers, build systems, and development tooling that were used to produce the artifact. Whether these appear in the SBOM is format-dependent and context-dependent; they are more common in high-assurance contexts.</w:t>
      </w:r>
    </w:p>
    <w:p>
      <w:pPr>
        <w:spacing w:after="140"/>
        <w:jc w:val="both"/>
      </w:pPr>
      <w:r>
        <w:t xml:space="preserve">A comprehensive SBOM covers all of these. A less-comprehensive SBOM may cover only direct dependencies, which is less useful — the most consequential vulnerabilities are often in transitive dependencies invisible to any view that stops at the direct-dependency level.</w:t>
      </w:r>
    </w:p>
    <w:p>
      <w:pPr>
        <w:pStyle w:val="Heading2"/>
        <w:spacing w:after="160" w:before="280"/>
      </w:pPr>
      <w:r>
        <w:rPr>
          <w:b/>
          <w:bCs/>
        </w:rPr>
        <w:t xml:space="preserve">1.3 SBOM vs. Other Kinds of Inventory</w:t>
      </w:r>
    </w:p>
    <w:p>
      <w:pPr>
        <w:spacing w:after="140"/>
        <w:jc w:val="both"/>
      </w:pPr>
      <w:r>
        <w:t xml:space="preserve">Several kinds of inventory exist in software engineering. Understanding how SBOM differs from each clarifies what it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Inventory type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Scope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Focus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package.json / requirements.txt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Direct application dependencies only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Declarative specification for reproducible install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Lockfile (package-lock.json, poetry.lock)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Full resolved dependency tree at install time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Pinning and integrity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Asset inventory (CMDB)</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Running infrastructure and deployed applications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Operational awareness at the system level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SBOM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Complete component inventory of a specific artifact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Supply-chain accountability, vulnerability matching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VEX (Vulnerability Exploitability eXchange)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Assertions about specific vulnerabilities in an artifact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Exploitability disposition, not component inventory</w:t>
            </w:r>
          </w:p>
        </w:tc>
      </w:tr>
    </w:tbl>
    <w:p>
      <w:pPr>
        <w:spacing w:after="100"/>
      </w:pPr>
      <w:r>
        <w:t xml:space="preserve"/>
      </w:r>
    </w:p>
    <w:p>
      <w:pPr>
        <w:spacing w:after="140"/>
        <w:jc w:val="both"/>
      </w:pPr>
      <w:r>
        <w:t xml:space="preserve">Two critical distinctions: (a) an SBOM is associated with a specific artifact — a specific container image, a specific release build, a specific deployment — not with a project in the abstract. Each build of a project has its own SBOM, and they may differ if dependencies changed. (b) an SBOM is a fact about an existing artifact, not a specification for how to build one. A package.json declares 'I depend on these packages'; an SBOM records 'this artifact contains these specific components at these specific versions.' The SBOM is produced by inspecting the built artifact, not by reading the build specification.</w:t>
      </w:r>
    </w:p>
    <w:p>
      <w:pPr>
        <w:pStyle w:val="Heading2"/>
        <w:spacing w:after="160" w:before="280"/>
      </w:pPr>
      <w:r>
        <w:rPr>
          <w:b/>
          <w:bCs/>
        </w:rPr>
        <w:t xml:space="preserve">1.4 The Machine-Readable Requirement</w:t>
      </w:r>
    </w:p>
    <w:p>
      <w:pPr>
        <w:spacing w:after="140"/>
        <w:jc w:val="both"/>
      </w:pPr>
      <w:r>
        <w:t xml:space="preserve">A plain-English list of components, however accurate, is not an SBOM for most operational purposes. SBOMs are specifically structured, machine-readable formats. The machine-readable requirement enables:</w:t>
      </w:r>
    </w:p>
    <w:p>
      <w:pPr>
        <w:pStyle w:val="ListParagraph"/>
        <w:numPr>
          <w:ilvl w:val="0"/>
          <w:numId w:val="2"/>
        </w:numPr>
        <w:spacing w:after="80"/>
      </w:pPr>
      <w:r>
        <w:t xml:space="preserve">Automated matching against vulnerability databases — the specific thing Log4Shell showed to be urgent.</w:t>
      </w:r>
    </w:p>
    <w:p>
      <w:pPr>
        <w:pStyle w:val="ListParagraph"/>
        <w:numPr>
          <w:ilvl w:val="0"/>
          <w:numId w:val="2"/>
        </w:numPr>
        <w:spacing w:after="80"/>
      </w:pPr>
      <w:r>
        <w:t xml:space="preserve">Comparison between versions of the same artifact to see what changed.</w:t>
      </w:r>
    </w:p>
    <w:p>
      <w:pPr>
        <w:pStyle w:val="ListParagraph"/>
        <w:numPr>
          <w:ilvl w:val="0"/>
          <w:numId w:val="2"/>
        </w:numPr>
        <w:spacing w:after="80"/>
      </w:pPr>
      <w:r>
        <w:t xml:space="preserve">Aggregation across an organization's portfolio of artifacts.</w:t>
      </w:r>
    </w:p>
    <w:p>
      <w:pPr>
        <w:pStyle w:val="ListParagraph"/>
        <w:numPr>
          <w:ilvl w:val="0"/>
          <w:numId w:val="2"/>
        </w:numPr>
        <w:spacing w:after="80"/>
      </w:pPr>
      <w:r>
        <w:t xml:space="preserve">Integration with CI/CD tooling for automated gating.</w:t>
      </w:r>
    </w:p>
    <w:p>
      <w:pPr>
        <w:pStyle w:val="ListParagraph"/>
        <w:numPr>
          <w:ilvl w:val="0"/>
          <w:numId w:val="2"/>
        </w:numPr>
        <w:spacing w:after="80"/>
      </w:pPr>
      <w:r>
        <w:t xml:space="preserve">Exchange between organizations with unambiguous interpretation.</w:t>
      </w:r>
    </w:p>
    <w:p>
      <w:pPr>
        <w:spacing w:after="140"/>
        <w:jc w:val="both"/>
      </w:pPr>
      <w:r>
        <w:t xml:space="preserve">Two formats dominate: SPDX and CycloneDX. Each is a specific schema that software can emit and consume. Chapters 3 and 4 of this module address each in detail.</w:t>
      </w:r>
    </w:p>
    <w:p>
      <w:pPr>
        <w:pStyle w:val="Heading2"/>
        <w:spacing w:after="160" w:before="280"/>
      </w:pPr>
      <w:r>
        <w:rPr>
          <w:b/>
          <w:bCs/>
        </w:rPr>
        <w:t xml:space="preserve">1.5 The Accuracy Problem</w:t>
      </w:r>
    </w:p>
    <w:p>
      <w:pPr>
        <w:spacing w:after="140"/>
        <w:jc w:val="both"/>
      </w:pPr>
      <w:r>
        <w:t xml:space="preserve">An SBOM is valuable only to the extent it is accurate. Several specific kinds of inaccuracy undermine SBOMs in practice:</w:t>
      </w:r>
    </w:p>
    <w:p>
      <w:pPr>
        <w:pStyle w:val="ListParagraph"/>
        <w:numPr>
          <w:ilvl w:val="0"/>
          <w:numId w:val="2"/>
        </w:numPr>
        <w:spacing w:after="80"/>
      </w:pPr>
      <w:r>
        <w:rPr>
          <w:b/>
          <w:bCs/>
        </w:rPr>
        <w:t xml:space="preserve">Missed components. </w:t>
      </w:r>
      <w:r>
        <w:t xml:space="preserve">A vendored library that was copy-pasted into the codebase rather than installed as a package may not appear in the SBOM. A statically-linked library may or may not be detected depending on the generation tool.</w:t>
      </w:r>
    </w:p>
    <w:p>
      <w:pPr>
        <w:pStyle w:val="ListParagraph"/>
        <w:numPr>
          <w:ilvl w:val="0"/>
          <w:numId w:val="2"/>
        </w:numPr>
        <w:spacing w:after="80"/>
      </w:pPr>
      <w:r>
        <w:rPr>
          <w:b/>
          <w:bCs/>
        </w:rPr>
        <w:t xml:space="preserve">Wrong versions. </w:t>
      </w:r>
      <w:r>
        <w:t xml:space="preserve">The SBOM records a version, but the version is derived from package metadata that may not reflect what was actually built (e.g., a local patch applied after download).</w:t>
      </w:r>
    </w:p>
    <w:p>
      <w:pPr>
        <w:pStyle w:val="ListParagraph"/>
        <w:numPr>
          <w:ilvl w:val="0"/>
          <w:numId w:val="2"/>
        </w:numPr>
        <w:spacing w:after="80"/>
      </w:pPr>
      <w:r>
        <w:rPr>
          <w:b/>
          <w:bCs/>
        </w:rPr>
        <w:t xml:space="preserve">Stale SBOMs. </w:t>
      </w:r>
      <w:r>
        <w:t xml:space="preserve">The SBOM was generated at an earlier build and the artifact has since been modified. This is why per-build SBOM generation matters, addressed in Chapter 8.</w:t>
      </w:r>
    </w:p>
    <w:p>
      <w:pPr>
        <w:pStyle w:val="ListParagraph"/>
        <w:numPr>
          <w:ilvl w:val="0"/>
          <w:numId w:val="2"/>
        </w:numPr>
        <w:spacing w:after="80"/>
      </w:pPr>
      <w:r>
        <w:rPr>
          <w:b/>
          <w:bCs/>
        </w:rPr>
        <w:t xml:space="preserve">Generation-tool gaps. </w:t>
      </w:r>
      <w:r>
        <w:t xml:space="preserve">Different tools detect different kinds of components. A tool that understands JavaScript may miss embedded Go binaries; a tool for Go may miss Python packages. Comprehensive coverage often requires combining multiple tools.</w:t>
      </w:r>
    </w:p>
    <w:p>
      <w:pPr>
        <w:pStyle w:val="ListParagraph"/>
        <w:numPr>
          <w:ilvl w:val="0"/>
          <w:numId w:val="2"/>
        </w:numPr>
        <w:spacing w:after="80"/>
      </w:pPr>
      <w:r>
        <w:rPr>
          <w:b/>
          <w:bCs/>
        </w:rPr>
        <w:t xml:space="preserve">Ambiguous component identity. </w:t>
      </w:r>
      <w:r>
        <w:t xml:space="preserve">Components with generic names may be hard to match against vulnerability databases. A library named 'json' might be one of dozens of different projects.</w:t>
      </w:r>
    </w:p>
    <w:p>
      <w:pPr>
        <w:spacing w:after="140"/>
        <w:jc w:val="both"/>
      </w:pPr>
      <w:r>
        <w:t xml:space="preserve">The accuracy problem is not a reason to skip SBOMs — it is a reason to invest in the tooling and practices that make SBOMs reliable. An imperfect SBOM is far more useful than no SBOM; a 95%-complete inventory still catches the overwhelming majority of relevant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A Software Bill of Materials (SBOM) is a structured, machine-readable inventory of every component in a specific software artifact — direct dependencies, transitive dependencies, OS packages, and bundled libraries. It is associated with a specific built artifact, not a project specification, and it is produced by inspecting the artifact rather than reading its build definition. Machine-readability is essential for the automated vulnerability matching, comparison, and enforcement that makes SBOMs operationally valuable. Accuracy matters and is imperfect in practice, but even imperfect SBOMs are transformatively better than no inventory.</w:t>
            </w:r>
          </w:p>
        </w:tc>
      </w:tr>
    </w:tbl>
    <w:p>
      <w:r>
        <w:br w:type="page"/>
      </w:r>
    </w:p>
    <w:p>
      <w:pPr>
        <w:pStyle w:val="Heading1"/>
        <w:spacing w:after="200" w:before="360"/>
      </w:pPr>
      <w:r>
        <w:rPr>
          <w:b/>
          <w:bCs/>
        </w:rPr>
        <w:t xml:space="preserve">Chapter 2: Why SBOMs — The Problems They Solve</w:t>
      </w:r>
    </w:p>
    <w:p>
      <w:pPr>
        <w:pStyle w:val="Heading2"/>
        <w:spacing w:after="160" w:before="280"/>
      </w:pPr>
      <w:r>
        <w:rPr>
          <w:b/>
          <w:bCs/>
        </w:rPr>
        <w:t xml:space="preserve">2.1 The Central Value Proposition</w:t>
      </w:r>
    </w:p>
    <w:p>
      <w:pPr>
        <w:spacing w:after="140"/>
        <w:jc w:val="both"/>
      </w:pPr>
      <w:r>
        <w:rPr>
          <w:b/>
          <w:bCs/>
        </w:rPr>
        <w:t xml:space="preserve">The core value of an SBOM </w:t>
      </w:r>
      <w:r>
        <w:t xml:space="preserve">is that it lets you answer questions about your software quickly. Specifically, questions of the form 'do any of my products contain component X?' — where X is typically a library just disclosed to contain a vulnerability. Without an SBOM, answering that question requires an investigation. With an SBOM, it is a database query.</w:t>
      </w:r>
    </w:p>
    <w:p>
      <w:pPr>
        <w:spacing w:after="140"/>
        <w:jc w:val="both"/>
      </w:pPr>
      <w:r>
        <w:t xml:space="preserve">This compression of response time — from days of investigation to minutes of query — is what transforms SBOMs from a compliance artifact into a practical security tool. During a vulnerability disclosure event, every hour between disclosure and patching is an hour of exposure. The teams that patched Log4Shell in the first 24 hours were overwhelmingly the teams that could immediately identify their affected systems.</w:t>
      </w:r>
    </w:p>
    <w:p>
      <w:pPr>
        <w:pStyle w:val="Heading2"/>
        <w:spacing w:after="160" w:before="280"/>
      </w:pPr>
      <w:r>
        <w:rPr>
          <w:b/>
          <w:bCs/>
        </w:rPr>
        <w:t xml:space="preserve">2.2 The Log4Shell Post-Mortem</w:t>
      </w:r>
    </w:p>
    <w:p>
      <w:pPr>
        <w:spacing w:after="140"/>
        <w:jc w:val="both"/>
      </w:pPr>
      <w:r>
        <w:t xml:space="preserve">Module 1 Chapter 4 covered Log4Shell in detail. Revisiting it here from the SBOM perspective clarifies exactly what was missing and what an SBOM would have provided. In December 2021, every organization running Java infrastructure had to answer three questions in rapid succession:</w:t>
      </w:r>
    </w:p>
    <w:p>
      <w:pPr>
        <w:pStyle w:val="ListParagraph"/>
        <w:numPr>
          <w:ilvl w:val="0"/>
          <w:numId w:val="2"/>
        </w:numPr>
        <w:spacing w:after="80"/>
      </w:pPr>
      <w:r>
        <w:t xml:space="preserve">Do we have Log4j anywhere?</w:t>
      </w:r>
    </w:p>
    <w:p>
      <w:pPr>
        <w:pStyle w:val="ListParagraph"/>
        <w:numPr>
          <w:ilvl w:val="0"/>
          <w:numId w:val="2"/>
        </w:numPr>
        <w:spacing w:after="80"/>
      </w:pPr>
      <w:r>
        <w:t xml:space="preserve">If so, which versions, and are any of them vulnerable?</w:t>
      </w:r>
    </w:p>
    <w:p>
      <w:pPr>
        <w:pStyle w:val="ListParagraph"/>
        <w:numPr>
          <w:ilvl w:val="0"/>
          <w:numId w:val="2"/>
        </w:numPr>
        <w:spacing w:after="80"/>
      </w:pPr>
      <w:r>
        <w:t xml:space="preserve">Which specific deployments are affected, so we can prioritize patching?</w:t>
      </w:r>
    </w:p>
    <w:p>
      <w:pPr>
        <w:spacing w:after="140"/>
        <w:jc w:val="both"/>
      </w:pPr>
      <w:r>
        <w:t xml:space="preserve">The first question is a simple inventory question. In theory, every organization should have been able to answer it from existing records: we ship these applications; these applications have these dependencies. In practice, almost no organization could — because the dependency records were scattered across package-manager lockfiles, Docker image layers, vendored code, and the undocumented transitive closure of each direct dependency. Reconstructing the full picture took many organizations days or weeks of effort running specialized scanning tools against their running systems.</w:t>
      </w:r>
    </w:p>
    <w:p>
      <w:pPr>
        <w:spacing w:after="140"/>
        <w:jc w:val="both"/>
      </w:pPr>
      <w:r>
        <w:t xml:space="preserve">An organization with current SBOMs for all its production artifacts would have run a single query against its SBOM collection: 'return all artifacts with a component matching log4j-core below version 2.17.0.' The query would have returned in seconds, with the complete, authoritative list. The hours or days saved translate directly to hours or days of reduced exposure.</w:t>
      </w:r>
    </w:p>
    <w:p>
      <w:pPr>
        <w:spacing w:after="140"/>
        <w:jc w:val="both"/>
      </w:pPr>
      <w:r>
        <w:t xml:space="preserve">The Log4Shell response experience is why Executive Order 14028 (Chapter 7 of this module) specifically mandates SBOMs for federal software suppliers. The US federal government experienced the inventory pain firsthand across every agency, and the resulting policy direction is that such pain should not be repeated.</w:t>
      </w:r>
    </w:p>
    <w:p>
      <w:pPr>
        <w:pStyle w:val="Heading2"/>
        <w:spacing w:after="160" w:before="280"/>
      </w:pPr>
      <w:r>
        <w:rPr>
          <w:b/>
          <w:bCs/>
        </w:rPr>
        <w:t xml:space="preserve">2.3 The xz-utils Variation</w:t>
      </w:r>
    </w:p>
    <w:p>
      <w:pPr>
        <w:spacing w:after="140"/>
        <w:jc w:val="both"/>
      </w:pPr>
      <w:r>
        <w:t xml:space="preserve">The xz-utils incident (Module 1 Chapter 6) is a different shape of SBOM use case. Unlike Log4Shell, xz-utils is not a widely-used Java library in explicit dependencies; it is a low-level system library that Linux distributions include in base images and that gets pulled in transitively by a surprising number of indirect paths. For most organizations, the question 'do we have xz-utils installed anywhere?' was harder than the equivalent Log4j question because the chain to the library went through OS packages rather than application package managers.</w:t>
      </w:r>
    </w:p>
    <w:p>
      <w:pPr>
        <w:spacing w:after="140"/>
        <w:jc w:val="both"/>
      </w:pPr>
      <w:r>
        <w:t xml:space="preserve">An SBOM that covers only application-level dependencies would have missed xz-utils in most affected environments. A comprehensive SBOM — one that includes OS packages from the container base image — would have caught it immediately. This is why Chapter 1's distinction between 'application dependencies only' and 'comprehensive inventory' matters operationally: what you get from reading package.json is not enough. The SBOM must be generated from the actual built artifact, covering everything that ends up inside it.</w:t>
      </w:r>
    </w:p>
    <w:p>
      <w:pPr>
        <w:pStyle w:val="Heading2"/>
        <w:spacing w:after="160" w:before="280"/>
      </w:pPr>
      <w:r>
        <w:rPr>
          <w:b/>
          <w:bCs/>
        </w:rPr>
        <w:t xml:space="preserve">2.4 Other Use Cases Beyond Vulnerability Response</w:t>
      </w:r>
    </w:p>
    <w:p>
      <w:pPr>
        <w:spacing w:after="140"/>
        <w:jc w:val="both"/>
      </w:pPr>
      <w:r>
        <w:t xml:space="preserve">Vulnerability response is the most urgent SBOM use case but not the only one. Other uses worth knowing:</w:t>
      </w:r>
    </w:p>
    <w:p>
      <w:pPr>
        <w:pStyle w:val="ListParagraph"/>
        <w:numPr>
          <w:ilvl w:val="0"/>
          <w:numId w:val="2"/>
        </w:numPr>
        <w:spacing w:after="80"/>
      </w:pPr>
      <w:r>
        <w:rPr>
          <w:b/>
          <w:bCs/>
        </w:rPr>
        <w:t xml:space="preserve">License compliance. </w:t>
      </w:r>
      <w:r>
        <w:t xml:space="preserve">Every component has a license; some licenses have obligations (GPL requires source distribution; some proprietary licenses restrict commercial use). An SBOM lets you enumerate all licenses in a product and verify compliance — critical for organizations shipping proprietary products that depend on open-source code.</w:t>
      </w:r>
    </w:p>
    <w:p>
      <w:pPr>
        <w:pStyle w:val="ListParagraph"/>
        <w:numPr>
          <w:ilvl w:val="0"/>
          <w:numId w:val="2"/>
        </w:numPr>
        <w:spacing w:after="80"/>
      </w:pPr>
      <w:r>
        <w:rPr>
          <w:b/>
          <w:bCs/>
        </w:rPr>
        <w:t xml:space="preserve">Due diligence in acquisitions. </w:t>
      </w:r>
      <w:r>
        <w:t xml:space="preserve">When one company acquires another, the acquirer typically audits the acquired company's software for quality, security, and licensing. SBOMs make this audit dramatically faster and more reliable than source-code archeology. Several acquisitions have been re-negotiated or delayed because of SBOM-revealed license issues.</w:t>
      </w:r>
    </w:p>
    <w:p>
      <w:pPr>
        <w:pStyle w:val="ListParagraph"/>
        <w:numPr>
          <w:ilvl w:val="0"/>
          <w:numId w:val="2"/>
        </w:numPr>
        <w:spacing w:after="80"/>
      </w:pPr>
      <w:r>
        <w:rPr>
          <w:b/>
          <w:bCs/>
        </w:rPr>
        <w:t xml:space="preserve">Regulatory compliance beyond security. </w:t>
      </w:r>
      <w:r>
        <w:t xml:space="preserve">FDA medical-device regulations, automotive SPICE, aviation DO-178C, and various national-security standards all increasingly require component inventories. SBOM is the lingua franca.</w:t>
      </w:r>
    </w:p>
    <w:p>
      <w:pPr>
        <w:pStyle w:val="ListParagraph"/>
        <w:numPr>
          <w:ilvl w:val="0"/>
          <w:numId w:val="2"/>
        </w:numPr>
        <w:spacing w:after="80"/>
      </w:pPr>
      <w:r>
        <w:rPr>
          <w:b/>
          <w:bCs/>
        </w:rPr>
        <w:t xml:space="preserve">Export control. </w:t>
      </w:r>
      <w:r>
        <w:t xml:space="preserve">Some software components have cryptographic implementations or other features subject to export-control regulations. SBOMs help track which products contain controlled components.</w:t>
      </w:r>
    </w:p>
    <w:p>
      <w:pPr>
        <w:pStyle w:val="ListParagraph"/>
        <w:numPr>
          <w:ilvl w:val="0"/>
          <w:numId w:val="2"/>
        </w:numPr>
        <w:spacing w:after="80"/>
      </w:pPr>
      <w:r>
        <w:rPr>
          <w:b/>
          <w:bCs/>
        </w:rPr>
        <w:t xml:space="preserve">End-of-life tracking. </w:t>
      </w:r>
      <w:r>
        <w:t xml:space="preserve">When a dependency reaches end-of-life (no more security updates from its maintainers), an SBOM lets you identify every product that uses it and plan migrations. Without an SBOM, EOL tracking becomes a best-effort process with certain gaps.</w:t>
      </w:r>
    </w:p>
    <w:p>
      <w:pPr>
        <w:pStyle w:val="ListParagraph"/>
        <w:numPr>
          <w:ilvl w:val="0"/>
          <w:numId w:val="2"/>
        </w:numPr>
        <w:spacing w:after="80"/>
      </w:pPr>
      <w:r>
        <w:rPr>
          <w:b/>
          <w:bCs/>
        </w:rPr>
        <w:t xml:space="preserve">Customer transparency. </w:t>
      </w:r>
      <w:r>
        <w:t xml:space="preserve">Some enterprise customers now require SBOMs as part of vendor due diligence. Providing an SBOM is a signal of mature supply-chain practices; the absence of one is a warning sign.</w:t>
      </w:r>
    </w:p>
    <w:p>
      <w:pPr>
        <w:pStyle w:val="Heading2"/>
        <w:spacing w:after="160" w:before="280"/>
      </w:pPr>
      <w:r>
        <w:rPr>
          <w:b/>
          <w:bCs/>
        </w:rPr>
        <w:t xml:space="preserve">2.5 The Regulatory Tailwind</w:t>
      </w:r>
    </w:p>
    <w:p>
      <w:pPr>
        <w:spacing w:after="140"/>
        <w:jc w:val="both"/>
      </w:pPr>
      <w:r>
        <w:t xml:space="preserve">Beyond voluntary adoption, SBOMs are increasingly mandated by regulation. A brief preview of Chapter 7:</w:t>
      </w:r>
    </w:p>
    <w:p>
      <w:pPr>
        <w:pStyle w:val="ListParagraph"/>
        <w:numPr>
          <w:ilvl w:val="0"/>
          <w:numId w:val="2"/>
        </w:numPr>
        <w:spacing w:after="80"/>
      </w:pPr>
      <w:r>
        <w:t xml:space="preserve">US Executive Order 14028 (2021) and subsequent OMB memos require SBOMs from federal software suppliers.</w:t>
      </w:r>
    </w:p>
    <w:p>
      <w:pPr>
        <w:pStyle w:val="ListParagraph"/>
        <w:numPr>
          <w:ilvl w:val="0"/>
          <w:numId w:val="2"/>
        </w:numPr>
        <w:spacing w:after="80"/>
      </w:pPr>
      <w:r>
        <w:t xml:space="preserve">The EU Cyber Resilience Act (2024) extends similar requirements to essentially all software sold in the EU.</w:t>
      </w:r>
    </w:p>
    <w:p>
      <w:pPr>
        <w:pStyle w:val="ListParagraph"/>
        <w:numPr>
          <w:ilvl w:val="0"/>
          <w:numId w:val="2"/>
        </w:numPr>
        <w:spacing w:after="80"/>
      </w:pPr>
      <w:r>
        <w:t xml:space="preserve">Several US state laws (e.g., specific cybersecurity-related statutes in New York and California) reference SBOM obligations.</w:t>
      </w:r>
    </w:p>
    <w:p>
      <w:pPr>
        <w:pStyle w:val="ListParagraph"/>
        <w:numPr>
          <w:ilvl w:val="0"/>
          <w:numId w:val="2"/>
        </w:numPr>
        <w:spacing w:after="80"/>
      </w:pPr>
      <w:r>
        <w:t xml:space="preserve">Industry-specific regulations (FDA for medical devices, automotive cybersecurity regulations) explicitly cite SBOMs as expected practice.</w:t>
      </w:r>
    </w:p>
    <w:p>
      <w:pPr>
        <w:spacing w:after="140"/>
        <w:jc w:val="both"/>
      </w:pPr>
      <w:r>
        <w:t xml:space="preserve">The regulatory direction is uniform: SBOMs are becoming mandatory for increasingly large swaths of the software economy. An organization that already produces SBOMs is ahead of the regulatory curve; one that does not is likely to face catch-up work on tight deadlines.</w:t>
      </w:r>
    </w:p>
    <w:p>
      <w:pPr>
        <w:pStyle w:val="Heading2"/>
        <w:spacing w:after="160" w:before="280"/>
      </w:pPr>
      <w:r>
        <w:rPr>
          <w:b/>
          <w:bCs/>
        </w:rPr>
        <w:t xml:space="preserve">2.6 The Counter-Argument: Aren't SBOMs Just Noise?</w:t>
      </w:r>
    </w:p>
    <w:p>
      <w:pPr>
        <w:spacing w:after="140"/>
        <w:jc w:val="both"/>
      </w:pPr>
      <w:r>
        <w:t xml:space="preserve">A reasonable skeptic might ask: generating an SBOM produces a large JSON or XML file listing hundreds of components. Is this actually useful, or is it just compliance paperwork that nobody reads? The honest answer depends on whether the SBOM is consumed.</w:t>
      </w:r>
    </w:p>
    <w:p>
      <w:pPr>
        <w:spacing w:after="140"/>
        <w:jc w:val="both"/>
      </w:pPr>
      <w:r>
        <w:t xml:space="preserve">An SBOM that is generated, stored, and never examined provides no value. An SBOM that is continuously matched against vulnerability databases, integrated with incident-response runbooks, consumed by admission controllers, and queried during security reviews provides value proportional to those uses. The generation is cheap and automatable; the consumption is where the effort must be invested for SBOMs to deliver their promise.</w:t>
      </w:r>
    </w:p>
    <w:p>
      <w:pPr>
        <w:spacing w:after="140"/>
        <w:jc w:val="both"/>
      </w:pPr>
      <w:r>
        <w:t xml:space="preserve">This is the pattern described in later chapters: generate SBOMs (Chapters 5) and feed them into consumption pipelines (Chapter 6) that actually act on their contents. The combination is what turns SBOMs from paperwork into a defensive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SBOMs exist to let organizations answer inventory questions about their software quickly — especially the 'do we have vulnerable component X anywhere?' question that dominates vulnerability-response timelines. The Log4Shell and xz-utils incidents are the canonical motivating examples: teams with current SBOMs patched in hours; teams without them took weeks. Beyond vulnerability response, SBOMs enable license compliance, acquisition due diligence, regulatory reporting, end-of-life tracking, and customer transparency. The value is realized through consumption — generating SBOMs without consuming them produces paperwork; pairing generation with scanning and admission control turns them into a defensive tool.</w:t>
            </w:r>
          </w:p>
        </w:tc>
      </w:tr>
    </w:tbl>
    <w:p>
      <w:r>
        <w:br w:type="page"/>
      </w:r>
    </w:p>
    <w:p>
      <w:pPr>
        <w:pStyle w:val="Heading1"/>
        <w:spacing w:after="200" w:before="360"/>
      </w:pPr>
      <w:r>
        <w:rPr>
          <w:b/>
          <w:bCs/>
        </w:rPr>
        <w:t xml:space="preserve">Chapter 3: SPDX — Linux Foundation, ISO Standard</w:t>
      </w:r>
    </w:p>
    <w:p>
      <w:pPr>
        <w:pStyle w:val="Heading2"/>
        <w:spacing w:after="160" w:before="280"/>
      </w:pPr>
      <w:r>
        <w:rPr>
          <w:b/>
          <w:bCs/>
        </w:rPr>
        <w:t xml:space="preserve">3.1 What SPDX Is</w:t>
      </w:r>
    </w:p>
    <w:p>
      <w:pPr>
        <w:spacing w:after="140"/>
        <w:jc w:val="both"/>
      </w:pPr>
      <w:r>
        <w:rPr>
          <w:b/>
          <w:bCs/>
        </w:rPr>
        <w:t xml:space="preserve">SPDX </w:t>
      </w:r>
      <w:r>
        <w:t xml:space="preserve">stands for Software Package Data Exchange. It is a specification, originally developed by the Linux Foundation starting in 2010, for communicating software composition information. SPDX predates the current wave of supply-chain security concern by a decade — it was initially motivated by license compliance. The format has since broadened to include security and vulnerability concerns, and is one of the two dominant SBOM formats today.</w:t>
      </w:r>
    </w:p>
    <w:p>
      <w:pPr>
        <w:spacing w:after="140"/>
        <w:jc w:val="both"/>
      </w:pPr>
      <w:r>
        <w:t xml:space="preserve">Key facts about SPDX:</w:t>
      </w:r>
    </w:p>
    <w:p>
      <w:pPr>
        <w:pStyle w:val="ListParagraph"/>
        <w:numPr>
          <w:ilvl w:val="0"/>
          <w:numId w:val="2"/>
        </w:numPr>
        <w:spacing w:after="80"/>
      </w:pPr>
      <w:r>
        <w:t xml:space="preserve">Maintained by the SPDX working group under the Linux Foundation.</w:t>
      </w:r>
    </w:p>
    <w:p>
      <w:pPr>
        <w:pStyle w:val="ListParagraph"/>
        <w:numPr>
          <w:ilvl w:val="0"/>
          <w:numId w:val="2"/>
        </w:numPr>
        <w:spacing w:after="80"/>
      </w:pPr>
      <w:r>
        <w:t xml:space="preserve">Current version is SPDX 3.0, published 2024; SPDX 2.3 remains widely used.</w:t>
      </w:r>
    </w:p>
    <w:p>
      <w:pPr>
        <w:pStyle w:val="ListParagraph"/>
        <w:numPr>
          <w:ilvl w:val="0"/>
          <w:numId w:val="2"/>
        </w:numPr>
        <w:spacing w:after="80"/>
      </w:pPr>
      <w:r>
        <w:t xml:space="preserve">Formalized as an ISO/IEC international standard (ISO/IEC 5962:2021), giving it formal international-standards status.</w:t>
      </w:r>
    </w:p>
    <w:p>
      <w:pPr>
        <w:pStyle w:val="ListParagraph"/>
        <w:numPr>
          <w:ilvl w:val="0"/>
          <w:numId w:val="2"/>
        </w:numPr>
        <w:spacing w:after="80"/>
      </w:pPr>
      <w:r>
        <w:t xml:space="preserve">Broad adoption in the Linux Foundation ecosystem and US federal procurement contexts.</w:t>
      </w:r>
    </w:p>
    <w:p>
      <w:pPr>
        <w:pStyle w:val="ListParagraph"/>
        <w:numPr>
          <w:ilvl w:val="0"/>
          <w:numId w:val="2"/>
        </w:numPr>
        <w:spacing w:after="80"/>
      </w:pPr>
      <w:r>
        <w:t xml:space="preserve">Supports multiple serialization formats (JSON, YAML, RDF, tag-value).</w:t>
      </w:r>
    </w:p>
    <w:p>
      <w:pPr>
        <w:pStyle w:val="Heading2"/>
        <w:spacing w:after="160" w:before="280"/>
      </w:pPr>
      <w:r>
        <w:rPr>
          <w:b/>
          <w:bCs/>
        </w:rPr>
        <w:t xml:space="preserve">3.2 The ISO Status and Why It Matters</w:t>
      </w:r>
    </w:p>
    <w:p>
      <w:pPr>
        <w:spacing w:after="140"/>
        <w:jc w:val="both"/>
      </w:pPr>
      <w:r>
        <w:t xml:space="preserve">SPDX was published as ISO/IEC 5962:2021 ("Information technology — SPDX Specification V2.2.1") in September 2021. The ISO status matters specifically for regulated and governmental contexts where ISO-standard formats carry procedural weight. Specifically:</w:t>
      </w:r>
    </w:p>
    <w:p>
      <w:pPr>
        <w:pStyle w:val="ListParagraph"/>
        <w:numPr>
          <w:ilvl w:val="0"/>
          <w:numId w:val="2"/>
        </w:numPr>
        <w:spacing w:after="80"/>
      </w:pPr>
      <w:r>
        <w:t xml:space="preserve">Some regulations reference ISO standards by number; SPDX being ISO lets regulators cite it unambiguously.</w:t>
      </w:r>
    </w:p>
    <w:p>
      <w:pPr>
        <w:pStyle w:val="ListParagraph"/>
        <w:numPr>
          <w:ilvl w:val="0"/>
          <w:numId w:val="2"/>
        </w:numPr>
        <w:spacing w:after="80"/>
      </w:pPr>
      <w:r>
        <w:t xml:space="preserve">Some government procurement processes preferentially accept ISO-standard formats.</w:t>
      </w:r>
    </w:p>
    <w:p>
      <w:pPr>
        <w:pStyle w:val="ListParagraph"/>
        <w:numPr>
          <w:ilvl w:val="0"/>
          <w:numId w:val="2"/>
        </w:numPr>
        <w:spacing w:after="80"/>
      </w:pPr>
      <w:r>
        <w:t xml:space="preserve">In international trade contexts, ISO standards have established procedures for adoption across jurisdictions.</w:t>
      </w:r>
    </w:p>
    <w:p>
      <w:pPr>
        <w:spacing w:after="140"/>
        <w:jc w:val="both"/>
      </w:pPr>
      <w:r>
        <w:t xml:space="preserve">For most working engineers, the ISO status is an attribute to be aware of rather than a day-to-day operational concern. But in contexts with regulatory scrutiny (federal government, defense, healthcare, critical infrastructure), SPDX's ISO status is often the tipping factor in choosing SPDX over CycloneDX.</w:t>
      </w:r>
    </w:p>
    <w:p>
      <w:pPr>
        <w:pStyle w:val="Heading2"/>
        <w:spacing w:after="160" w:before="280"/>
      </w:pPr>
      <w:r>
        <w:rPr>
          <w:b/>
          <w:bCs/>
        </w:rPr>
        <w:t xml:space="preserve">3.3 The SPDX Document Structure</w:t>
      </w:r>
    </w:p>
    <w:p>
      <w:pPr>
        <w:spacing w:after="140"/>
        <w:jc w:val="both"/>
      </w:pPr>
      <w:r>
        <w:t xml:space="preserve">An SPDX document is a structured record with several top-level sections. At the highest level, the structure is:</w:t>
      </w:r>
    </w:p>
    <w:p>
      <w:pPr>
        <w:pStyle w:val="ListParagraph"/>
        <w:numPr>
          <w:ilvl w:val="0"/>
          <w:numId w:val="2"/>
        </w:numPr>
        <w:spacing w:after="80"/>
      </w:pPr>
      <w:r>
        <w:rPr>
          <w:b/>
          <w:bCs/>
        </w:rPr>
        <w:t xml:space="preserve">Document metadata. </w:t>
      </w:r>
      <w:r>
        <w:t xml:space="preserve">Information about the SPDX document itself: version, creator, creation date, document name and namespace.</w:t>
      </w:r>
    </w:p>
    <w:p>
      <w:pPr>
        <w:pStyle w:val="ListParagraph"/>
        <w:numPr>
          <w:ilvl w:val="0"/>
          <w:numId w:val="2"/>
        </w:numPr>
        <w:spacing w:after="80"/>
      </w:pPr>
      <w:r>
        <w:rPr>
          <w:b/>
          <w:bCs/>
        </w:rPr>
        <w:t xml:space="preserve">Packages. </w:t>
      </w:r>
      <w:r>
        <w:t xml:space="preserve">Components included in the software product. Each package has its own metadata: name, version, supplier, license, checksum, source location, relationships to other packages.</w:t>
      </w:r>
    </w:p>
    <w:p>
      <w:pPr>
        <w:pStyle w:val="ListParagraph"/>
        <w:numPr>
          <w:ilvl w:val="0"/>
          <w:numId w:val="2"/>
        </w:numPr>
        <w:spacing w:after="80"/>
      </w:pPr>
      <w:r>
        <w:rPr>
          <w:b/>
          <w:bCs/>
        </w:rPr>
        <w:t xml:space="preserve">Files. </w:t>
      </w:r>
      <w:r>
        <w:t xml:space="preserve">Individual files included, typically with per-file license information. Often optional for high-level SBOMs.</w:t>
      </w:r>
    </w:p>
    <w:p>
      <w:pPr>
        <w:pStyle w:val="ListParagraph"/>
        <w:numPr>
          <w:ilvl w:val="0"/>
          <w:numId w:val="2"/>
        </w:numPr>
        <w:spacing w:after="80"/>
      </w:pPr>
      <w:r>
        <w:rPr>
          <w:b/>
          <w:bCs/>
        </w:rPr>
        <w:t xml:space="preserve">Snippets. </w:t>
      </w:r>
      <w:r>
        <w:t xml:space="preserve">Portions of files; useful for indicating that a specific region of a file has different licensing from the rest.</w:t>
      </w:r>
    </w:p>
    <w:p>
      <w:pPr>
        <w:pStyle w:val="ListParagraph"/>
        <w:numPr>
          <w:ilvl w:val="0"/>
          <w:numId w:val="2"/>
        </w:numPr>
        <w:spacing w:after="80"/>
      </w:pPr>
      <w:r>
        <w:rPr>
          <w:b/>
          <w:bCs/>
        </w:rPr>
        <w:t xml:space="preserve">Relationships. </w:t>
      </w:r>
      <w:r>
        <w:t xml:space="preserve">How the packages relate to each other (depends-on, contains, build-dependency, test-dependency, etc.).</w:t>
      </w:r>
    </w:p>
    <w:p>
      <w:pPr>
        <w:pStyle w:val="ListParagraph"/>
        <w:numPr>
          <w:ilvl w:val="0"/>
          <w:numId w:val="2"/>
        </w:numPr>
        <w:spacing w:after="80"/>
      </w:pPr>
      <w:r>
        <w:rPr>
          <w:b/>
          <w:bCs/>
        </w:rPr>
        <w:t xml:space="preserve">Annotations. </w:t>
      </w:r>
      <w:r>
        <w:t xml:space="preserve">Free-form notes attached to packages or the document itself, useful for human-readable context.</w:t>
      </w:r>
    </w:p>
    <w:p>
      <w:pPr>
        <w:pStyle w:val="Heading2"/>
        <w:spacing w:after="160" w:before="280"/>
      </w:pPr>
      <w:r>
        <w:rPr>
          <w:b/>
          <w:bCs/>
        </w:rPr>
        <w:t xml:space="preserve">3.4 A Minimal SPDX JSON Example</w:t>
      </w:r>
    </w:p>
    <w:p>
      <w:pPr>
        <w:spacing w:after="140"/>
        <w:jc w:val="both"/>
      </w:pPr>
      <w:r>
        <w:t xml:space="preserve">An SPDX document in JSON format might look like this (heavily simplified):</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  "spdxVersion": "SPDX-2.3",</w:t>
      </w:r>
    </w:p>
    <w:p>
      <w:pPr>
        <w:shd w:fill="F2F2F2" w:val="clear"/>
        <w:spacing w:after="40" w:before="40"/>
        <w:ind w:left="360"/>
      </w:pPr>
      <w:r>
        <w:rPr>
          <w:rFonts w:ascii="Consolas" w:cs="Consolas" w:eastAsia="Consolas" w:hAnsi="Consolas"/>
          <w:sz w:val="20"/>
          <w:szCs w:val="20"/>
        </w:rPr>
        <w:t xml:space="preserve">  "dataLicense": "CC0-1.0",</w:t>
      </w:r>
    </w:p>
    <w:p>
      <w:pPr>
        <w:shd w:fill="F2F2F2" w:val="clear"/>
        <w:spacing w:after="40" w:before="40"/>
        <w:ind w:left="360"/>
      </w:pPr>
      <w:r>
        <w:rPr>
          <w:rFonts w:ascii="Consolas" w:cs="Consolas" w:eastAsia="Consolas" w:hAnsi="Consolas"/>
          <w:sz w:val="20"/>
          <w:szCs w:val="20"/>
        </w:rPr>
        <w:t xml:space="preserve">  "SPDXID": "SPDXRef-DOCUMENT",</w:t>
      </w:r>
    </w:p>
    <w:p>
      <w:pPr>
        <w:shd w:fill="F2F2F2" w:val="clear"/>
        <w:spacing w:after="40" w:before="40"/>
        <w:ind w:left="360"/>
      </w:pPr>
      <w:r>
        <w:rPr>
          <w:rFonts w:ascii="Consolas" w:cs="Consolas" w:eastAsia="Consolas" w:hAnsi="Consolas"/>
          <w:sz w:val="20"/>
          <w:szCs w:val="20"/>
        </w:rPr>
        <w:t xml:space="preserve">  "name": "example-application-1.0",</w:t>
      </w:r>
    </w:p>
    <w:p>
      <w:pPr>
        <w:shd w:fill="F2F2F2" w:val="clear"/>
        <w:spacing w:after="40" w:before="40"/>
        <w:ind w:left="360"/>
      </w:pPr>
      <w:r>
        <w:rPr>
          <w:rFonts w:ascii="Consolas" w:cs="Consolas" w:eastAsia="Consolas" w:hAnsi="Consolas"/>
          <w:sz w:val="20"/>
          <w:szCs w:val="20"/>
        </w:rPr>
        <w:t xml:space="preserve">  "documentNamespace": "https://example.com/sbom/1234",</w:t>
      </w:r>
    </w:p>
    <w:p>
      <w:pPr>
        <w:shd w:fill="F2F2F2" w:val="clear"/>
        <w:spacing w:after="40" w:before="40"/>
        <w:ind w:left="360"/>
      </w:pPr>
      <w:r>
        <w:rPr>
          <w:rFonts w:ascii="Consolas" w:cs="Consolas" w:eastAsia="Consolas" w:hAnsi="Consolas"/>
          <w:sz w:val="20"/>
          <w:szCs w:val="20"/>
        </w:rPr>
        <w:t xml:space="preserve">  "creationInfo": {</w:t>
      </w:r>
    </w:p>
    <w:p>
      <w:pPr>
        <w:shd w:fill="F2F2F2" w:val="clear"/>
        <w:spacing w:after="40" w:before="40"/>
        <w:ind w:left="360"/>
      </w:pPr>
      <w:r>
        <w:rPr>
          <w:rFonts w:ascii="Consolas" w:cs="Consolas" w:eastAsia="Consolas" w:hAnsi="Consolas"/>
          <w:sz w:val="20"/>
          <w:szCs w:val="20"/>
        </w:rPr>
        <w:t xml:space="preserve">    "created": "2024-03-15T10:23:45Z",</w:t>
      </w:r>
    </w:p>
    <w:p>
      <w:pPr>
        <w:shd w:fill="F2F2F2" w:val="clear"/>
        <w:spacing w:after="40" w:before="40"/>
        <w:ind w:left="360"/>
      </w:pPr>
      <w:r>
        <w:rPr>
          <w:rFonts w:ascii="Consolas" w:cs="Consolas" w:eastAsia="Consolas" w:hAnsi="Consolas"/>
          <w:sz w:val="20"/>
          <w:szCs w:val="20"/>
        </w:rPr>
        <w:t xml:space="preserve">    "creators": ["Tool: syft-1.0.0"]</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"packages":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"SPDXID": "SPDXRef-Package-log4j-core",</w:t>
      </w:r>
    </w:p>
    <w:p>
      <w:pPr>
        <w:shd w:fill="F2F2F2" w:val="clear"/>
        <w:spacing w:after="40" w:before="40"/>
        <w:ind w:left="360"/>
      </w:pPr>
      <w:r>
        <w:rPr>
          <w:rFonts w:ascii="Consolas" w:cs="Consolas" w:eastAsia="Consolas" w:hAnsi="Consolas"/>
          <w:sz w:val="20"/>
          <w:szCs w:val="20"/>
        </w:rPr>
        <w:t xml:space="preserve">      "name": "log4j-core",</w:t>
      </w:r>
    </w:p>
    <w:p>
      <w:pPr>
        <w:shd w:fill="F2F2F2" w:val="clear"/>
        <w:spacing w:after="40" w:before="40"/>
        <w:ind w:left="360"/>
      </w:pPr>
      <w:r>
        <w:rPr>
          <w:rFonts w:ascii="Consolas" w:cs="Consolas" w:eastAsia="Consolas" w:hAnsi="Consolas"/>
          <w:sz w:val="20"/>
          <w:szCs w:val="20"/>
        </w:rPr>
        <w:t xml:space="preserve">      "versionInfo": "2.17.1",</w:t>
      </w:r>
    </w:p>
    <w:p>
      <w:pPr>
        <w:shd w:fill="F2F2F2" w:val="clear"/>
        <w:spacing w:after="40" w:before="40"/>
        <w:ind w:left="360"/>
      </w:pPr>
      <w:r>
        <w:rPr>
          <w:rFonts w:ascii="Consolas" w:cs="Consolas" w:eastAsia="Consolas" w:hAnsi="Consolas"/>
          <w:sz w:val="20"/>
          <w:szCs w:val="20"/>
        </w:rPr>
        <w:t xml:space="preserve">      "supplier": "Organization: Apache Software Foundation",</w:t>
      </w:r>
    </w:p>
    <w:p>
      <w:pPr>
        <w:shd w:fill="F2F2F2" w:val="clear"/>
        <w:spacing w:after="40" w:before="40"/>
        <w:ind w:left="360"/>
      </w:pPr>
      <w:r>
        <w:rPr>
          <w:rFonts w:ascii="Consolas" w:cs="Consolas" w:eastAsia="Consolas" w:hAnsi="Consolas"/>
          <w:sz w:val="20"/>
          <w:szCs w:val="20"/>
        </w:rPr>
        <w:t xml:space="preserve">      "downloadLocation": "https://repo1.maven.org/maven2/org/apache/logging/log4j/log4j-core/2.17.1/log4j-core-2.17.1.jar",</w:t>
      </w:r>
    </w:p>
    <w:p>
      <w:pPr>
        <w:shd w:fill="F2F2F2" w:val="clear"/>
        <w:spacing w:after="40" w:before="40"/>
        <w:ind w:left="360"/>
      </w:pPr>
      <w:r>
        <w:rPr>
          <w:rFonts w:ascii="Consolas" w:cs="Consolas" w:eastAsia="Consolas" w:hAnsi="Consolas"/>
          <w:sz w:val="20"/>
          <w:szCs w:val="20"/>
        </w:rPr>
        <w:t xml:space="preserve">      "licenseConcluded": "Apache-2.0",</w:t>
      </w:r>
    </w:p>
    <w:p>
      <w:pPr>
        <w:shd w:fill="F2F2F2" w:val="clear"/>
        <w:spacing w:after="40" w:before="40"/>
        <w:ind w:left="360"/>
      </w:pPr>
      <w:r>
        <w:rPr>
          <w:rFonts w:ascii="Consolas" w:cs="Consolas" w:eastAsia="Consolas" w:hAnsi="Consolas"/>
          <w:sz w:val="20"/>
          <w:szCs w:val="20"/>
        </w:rPr>
        <w:t xml:space="preserve">      "checksums":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"algorithm": "SHA256",</w:t>
      </w:r>
    </w:p>
    <w:p>
      <w:pPr>
        <w:shd w:fill="F2F2F2" w:val="clear"/>
        <w:spacing w:after="40" w:before="40"/>
        <w:ind w:left="360"/>
      </w:pPr>
      <w:r>
        <w:rPr>
          <w:rFonts w:ascii="Consolas" w:cs="Consolas" w:eastAsia="Consolas" w:hAnsi="Consolas"/>
          <w:sz w:val="20"/>
          <w:szCs w:val="20"/>
        </w:rPr>
        <w:t xml:space="preserve">          "checksumValue": "e5a41c11e4c1d8e1..."</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"externalRefs":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"referenceCategory": "PACKAGE-MANAGER",</w:t>
      </w:r>
    </w:p>
    <w:p>
      <w:pPr>
        <w:shd w:fill="F2F2F2" w:val="clear"/>
        <w:spacing w:after="40" w:before="40"/>
        <w:ind w:left="360"/>
      </w:pPr>
      <w:r>
        <w:rPr>
          <w:rFonts w:ascii="Consolas" w:cs="Consolas" w:eastAsia="Consolas" w:hAnsi="Consolas"/>
          <w:sz w:val="20"/>
          <w:szCs w:val="20"/>
        </w:rPr>
        <w:t xml:space="preserve">          "referenceType": "purl",</w:t>
      </w:r>
    </w:p>
    <w:p>
      <w:pPr>
        <w:shd w:fill="F2F2F2" w:val="clear"/>
        <w:spacing w:after="40" w:before="40"/>
        <w:ind w:left="360"/>
      </w:pPr>
      <w:r>
        <w:rPr>
          <w:rFonts w:ascii="Consolas" w:cs="Consolas" w:eastAsia="Consolas" w:hAnsi="Consolas"/>
          <w:sz w:val="20"/>
          <w:szCs w:val="20"/>
        </w:rPr>
        <w:t xml:space="preserve">          "referenceLocator": "pkg:maven/org.apache.logging.log4j/log4j-core@2.17.1"</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"relationships":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"spdxElementId": "SPDXRef-DOCUMENT",</w:t>
      </w:r>
    </w:p>
    <w:p>
      <w:pPr>
        <w:shd w:fill="F2F2F2" w:val="clear"/>
        <w:spacing w:after="40" w:before="40"/>
        <w:ind w:left="360"/>
      </w:pPr>
      <w:r>
        <w:rPr>
          <w:rFonts w:ascii="Consolas" w:cs="Consolas" w:eastAsia="Consolas" w:hAnsi="Consolas"/>
          <w:sz w:val="20"/>
          <w:szCs w:val="20"/>
        </w:rPr>
        <w:t xml:space="preserve">      "relationshipType": "DESCRIBES",</w:t>
      </w:r>
    </w:p>
    <w:p>
      <w:pPr>
        <w:shd w:fill="F2F2F2" w:val="clear"/>
        <w:spacing w:after="40" w:before="40"/>
        <w:ind w:left="360"/>
      </w:pPr>
      <w:r>
        <w:rPr>
          <w:rFonts w:ascii="Consolas" w:cs="Consolas" w:eastAsia="Consolas" w:hAnsi="Consolas"/>
          <w:sz w:val="20"/>
          <w:szCs w:val="20"/>
        </w:rPr>
        <w:t xml:space="preserve">      "relatedSpdxElement": "SPDXRef-Package-log4j-core"</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Real SBOMs have hundreds of such package entries and a correspondingly complex relationships graph. The example above shows the minimal shape; production SBOMs include many more fields.</w:t>
      </w:r>
    </w:p>
    <w:p>
      <w:pPr>
        <w:pStyle w:val="Heading2"/>
        <w:spacing w:after="160" w:before="280"/>
      </w:pPr>
      <w:r>
        <w:rPr>
          <w:b/>
          <w:bCs/>
        </w:rPr>
        <w:t xml:space="preserve">3.5 Key SPDX Concepts</w:t>
      </w:r>
    </w:p>
    <w:p>
      <w:pPr>
        <w:pStyle w:val="ListParagraph"/>
        <w:numPr>
          <w:ilvl w:val="0"/>
          <w:numId w:val="2"/>
        </w:numPr>
        <w:spacing w:after="80"/>
      </w:pPr>
      <w:r>
        <w:rPr>
          <w:b/>
          <w:bCs/>
        </w:rPr>
        <w:t xml:space="preserve">SPDXID. </w:t>
      </w:r>
      <w:r>
        <w:t xml:space="preserve">A document-local identifier for every element (document, package, file). References between elements use SPDXIDs. This is how the graph structure is expressed in a flat JSON document.</w:t>
      </w:r>
    </w:p>
    <w:p>
      <w:pPr>
        <w:pStyle w:val="ListParagraph"/>
        <w:numPr>
          <w:ilvl w:val="0"/>
          <w:numId w:val="2"/>
        </w:numPr>
        <w:spacing w:after="80"/>
      </w:pPr>
      <w:r>
        <w:rPr>
          <w:b/>
          <w:bCs/>
        </w:rPr>
        <w:t xml:space="preserve">SPDX License Expressions. </w:t>
      </w:r>
      <w:r>
        <w:t xml:space="preserve">A standardized syntax for expressing licenses: 'Apache-2.0', 'GPL-3.0-only', 'MIT OR BSD-3-Clause', 'Apache-2.0 WITH LLVM-exception'. The SPDX License List is widely used beyond SPDX itself as the canonical way to identify open-source licenses.</w:t>
      </w:r>
    </w:p>
    <w:p>
      <w:pPr>
        <w:pStyle w:val="ListParagraph"/>
        <w:numPr>
          <w:ilvl w:val="0"/>
          <w:numId w:val="2"/>
        </w:numPr>
        <w:spacing w:after="80"/>
      </w:pPr>
      <w:r>
        <w:rPr>
          <w:b/>
          <w:bCs/>
        </w:rPr>
        <w:t xml:space="preserve">Package URL (purl) external references. </w:t>
      </w:r>
      <w:r>
        <w:t xml:space="preserve">The package-manager-aware identifier format, e.g., pkg:maven/org.apache.logging.log4j/log4j-core@2.17.1. purl is how SPDX identifies packages for cross-referencing with vulnerability databases; it is covered more fully in later chapters.</w:t>
      </w:r>
    </w:p>
    <w:p>
      <w:pPr>
        <w:pStyle w:val="ListParagraph"/>
        <w:numPr>
          <w:ilvl w:val="0"/>
          <w:numId w:val="2"/>
        </w:numPr>
        <w:spacing w:after="80"/>
      </w:pPr>
      <w:r>
        <w:rPr>
          <w:b/>
          <w:bCs/>
        </w:rPr>
        <w:t xml:space="preserve">Relationship types. </w:t>
      </w:r>
      <w:r>
        <w:t xml:space="preserve">SPDX defines many relationship types: DESCRIBES, CONTAINS, DEPENDS_ON, BUILD_DEPENDENCY_OF, DEV_DEPENDENCY_OF, RUNTIME_DEPENDENCY_OF, PREREQUISITE_FOR, and others. This vocabulary lets SBOMs express the fine-grained structure of a dependency graph.</w:t>
      </w:r>
    </w:p>
    <w:p>
      <w:pPr>
        <w:pStyle w:val="ListParagraph"/>
        <w:numPr>
          <w:ilvl w:val="0"/>
          <w:numId w:val="2"/>
        </w:numPr>
        <w:spacing w:after="80"/>
      </w:pPr>
      <w:r>
        <w:rPr>
          <w:b/>
          <w:bCs/>
        </w:rPr>
        <w:t xml:space="preserve">declared vs concluded license. </w:t>
      </w:r>
      <w:r>
        <w:t xml:space="preserve">A distinction SPDX makes: licenseDeclared is what the package declares for itself; licenseConcluded is what the SBOM author has determined to be the actual license after review. This matters for license compliance workflows where automated detection may be wrong.</w:t>
      </w:r>
    </w:p>
    <w:p>
      <w:pPr>
        <w:pStyle w:val="Heading2"/>
        <w:spacing w:after="160" w:before="280"/>
      </w:pPr>
      <w:r>
        <w:rPr>
          <w:b/>
          <w:bCs/>
        </w:rPr>
        <w:t xml:space="preserve">3.6 SPDX 3.0</w:t>
      </w:r>
    </w:p>
    <w:p>
      <w:pPr>
        <w:spacing w:after="140"/>
        <w:jc w:val="both"/>
      </w:pPr>
      <w:r>
        <w:t xml:space="preserve">SPDX 3.0, published in 2024, is a significant restructuring of the format. The changes most worth knowing:</w:t>
      </w:r>
    </w:p>
    <w:p>
      <w:pPr>
        <w:pStyle w:val="ListParagraph"/>
        <w:numPr>
          <w:ilvl w:val="0"/>
          <w:numId w:val="2"/>
        </w:numPr>
        <w:spacing w:after="80"/>
      </w:pPr>
      <w:r>
        <w:t xml:space="preserve">Profile-based structure: SPDX 3.0 defines multiple profiles (Core, Software, Security, Licensing, Build, AI, Dataset) and a given SBOM declares which profiles it conforms to. This lets SBOMs be as lightweight or comprehensive as the use case requires.</w:t>
      </w:r>
    </w:p>
    <w:p>
      <w:pPr>
        <w:pStyle w:val="ListParagraph"/>
        <w:numPr>
          <w:ilvl w:val="0"/>
          <w:numId w:val="2"/>
        </w:numPr>
        <w:spacing w:after="80"/>
      </w:pPr>
      <w:r>
        <w:t xml:space="preserve">Improved support for non-software components: AI models, datasets, and other artifacts that increasingly ship as part of software systems.</w:t>
      </w:r>
    </w:p>
    <w:p>
      <w:pPr>
        <w:pStyle w:val="ListParagraph"/>
        <w:numPr>
          <w:ilvl w:val="0"/>
          <w:numId w:val="2"/>
        </w:numPr>
        <w:spacing w:after="80"/>
      </w:pPr>
      <w:r>
        <w:t xml:space="preserve">Better alignment with CycloneDX on overlapping concepts (VEX-like features, vulnerability references) to ease interoperability.</w:t>
      </w:r>
    </w:p>
    <w:p>
      <w:pPr>
        <w:pStyle w:val="ListParagraph"/>
        <w:numPr>
          <w:ilvl w:val="0"/>
          <w:numId w:val="2"/>
        </w:numPr>
        <w:spacing w:after="80"/>
      </w:pPr>
      <w:r>
        <w:t xml:space="preserve">Graph-first data model, with cleaner relationships and references.</w:t>
      </w:r>
    </w:p>
    <w:p>
      <w:pPr>
        <w:spacing w:after="140"/>
        <w:jc w:val="both"/>
      </w:pPr>
      <w:r>
        <w:t xml:space="preserve">As of this writing, SPDX 2.3 remains the version most tools emit and consume; SPDX 3.0 adoption is still growing. For operational work today, both versions are worth knowing, but SPDX 2.3 is the interoperable default.</w:t>
      </w:r>
    </w:p>
    <w:p>
      <w:pPr>
        <w:pStyle w:val="Heading2"/>
        <w:spacing w:after="160" w:before="280"/>
      </w:pPr>
      <w:r>
        <w:rPr>
          <w:b/>
          <w:bCs/>
        </w:rPr>
        <w:t xml:space="preserve">3.7 When to Prefer SPDX</w:t>
      </w:r>
    </w:p>
    <w:p>
      <w:pPr>
        <w:spacing w:after="140"/>
        <w:jc w:val="both"/>
      </w:pPr>
      <w:r>
        <w:t xml:space="preserve">SPDX is the right SBOM format choice when:</w:t>
      </w:r>
    </w:p>
    <w:p>
      <w:pPr>
        <w:pStyle w:val="ListParagraph"/>
        <w:numPr>
          <w:ilvl w:val="0"/>
          <w:numId w:val="2"/>
        </w:numPr>
        <w:spacing w:after="80"/>
      </w:pPr>
      <w:r>
        <w:t xml:space="preserve">Your context is federal government, critical infrastructure, or another ISO-standards-preferring environment.</w:t>
      </w:r>
    </w:p>
    <w:p>
      <w:pPr>
        <w:pStyle w:val="ListParagraph"/>
        <w:numPr>
          <w:ilvl w:val="0"/>
          <w:numId w:val="2"/>
        </w:numPr>
        <w:spacing w:after="80"/>
      </w:pPr>
      <w:r>
        <w:t xml:space="preserve">License compliance is a primary driver — SPDX's license-expression vocabulary is canonical in this domain.</w:t>
      </w:r>
    </w:p>
    <w:p>
      <w:pPr>
        <w:pStyle w:val="ListParagraph"/>
        <w:numPr>
          <w:ilvl w:val="0"/>
          <w:numId w:val="2"/>
        </w:numPr>
        <w:spacing w:after="80"/>
      </w:pPr>
      <w:r>
        <w:t xml:space="preserve">Your ecosystem already uses SPDX (Linux Foundation projects, many Linux distributions).</w:t>
      </w:r>
    </w:p>
    <w:p>
      <w:pPr>
        <w:pStyle w:val="ListParagraph"/>
        <w:numPr>
          <w:ilvl w:val="0"/>
          <w:numId w:val="2"/>
        </w:numPr>
        <w:spacing w:after="80"/>
      </w:pPr>
      <w:r>
        <w:t xml:space="preserve">You need to communicate SBOMs across organizational boundaries where formal-standards status matters for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SPDX is the Linux Foundation's SBOM specification, published as ISO/IEC 5962:2021 and formally international-standard-status. It predates the current supply-chain wave (2010 origin) and was initially license-compliance focused, with security capabilities added later. Its structure centers on Documents containing Packages, Files, Snippets, and Relationships, with SPDX License Expressions as the canonical vocabulary for license identification. SPDX 3.0 (2024) restructures around profiles and improves non-software component support, though SPDX 2.3 remains the interoperable default. SPDX is preferred in federal, regulated, and license-compliance-focused contexts.</w:t>
            </w:r>
          </w:p>
        </w:tc>
      </w:tr>
    </w:tbl>
    <w:p>
      <w:r>
        <w:br w:type="page"/>
      </w:r>
    </w:p>
    <w:p>
      <w:pPr>
        <w:pStyle w:val="Heading1"/>
        <w:spacing w:after="200" w:before="360"/>
      </w:pPr>
      <w:r>
        <w:rPr>
          <w:b/>
          <w:bCs/>
        </w:rPr>
        <w:t xml:space="preserve">Chapter 4: CycloneDX — OWASP, Vulnerability Management Focus</w:t>
      </w:r>
    </w:p>
    <w:p>
      <w:pPr>
        <w:pStyle w:val="Heading2"/>
        <w:spacing w:after="160" w:before="280"/>
      </w:pPr>
      <w:r>
        <w:rPr>
          <w:b/>
          <w:bCs/>
        </w:rPr>
        <w:t xml:space="preserve">4.1 What CycloneDX Is</w:t>
      </w:r>
    </w:p>
    <w:p>
      <w:pPr>
        <w:spacing w:after="140"/>
        <w:jc w:val="both"/>
      </w:pPr>
      <w:r>
        <w:rPr>
          <w:b/>
          <w:bCs/>
        </w:rPr>
        <w:t xml:space="preserve">CycloneDX </w:t>
      </w:r>
      <w:r>
        <w:t xml:space="preserve">is the other dominant SBOM format. It was developed within the OWASP Foundation (Open Worldwide Application Security Project), starting in 2017, specifically to address application-security and vulnerability-management use cases. Where SPDX came from the license-compliance world and later added security, CycloneDX was security-first from the beginning, and the format reflects that orientation.</w:t>
      </w:r>
    </w:p>
    <w:p>
      <w:pPr>
        <w:spacing w:after="140"/>
        <w:jc w:val="both"/>
      </w:pPr>
      <w:r>
        <w:t xml:space="preserve">Key facts about CycloneDX:</w:t>
      </w:r>
    </w:p>
    <w:p>
      <w:pPr>
        <w:pStyle w:val="ListParagraph"/>
        <w:numPr>
          <w:ilvl w:val="0"/>
          <w:numId w:val="2"/>
        </w:numPr>
        <w:spacing w:after="80"/>
      </w:pPr>
      <w:r>
        <w:t xml:space="preserve">Maintained by the CycloneDX project at OWASP.</w:t>
      </w:r>
    </w:p>
    <w:p>
      <w:pPr>
        <w:pStyle w:val="ListParagraph"/>
        <w:numPr>
          <w:ilvl w:val="0"/>
          <w:numId w:val="2"/>
        </w:numPr>
        <w:spacing w:after="80"/>
      </w:pPr>
      <w:r>
        <w:t xml:space="preserve">Current version is CycloneDX 1.6, with 1.4 and 1.5 still widely deployed.</w:t>
      </w:r>
    </w:p>
    <w:p>
      <w:pPr>
        <w:pStyle w:val="ListParagraph"/>
        <w:numPr>
          <w:ilvl w:val="0"/>
          <w:numId w:val="2"/>
        </w:numPr>
        <w:spacing w:after="80"/>
      </w:pPr>
      <w:r>
        <w:t xml:space="preserve">Formally endorsed by the OWASP organization; not (yet) an ISO standard.</w:t>
      </w:r>
    </w:p>
    <w:p>
      <w:pPr>
        <w:pStyle w:val="ListParagraph"/>
        <w:numPr>
          <w:ilvl w:val="0"/>
          <w:numId w:val="2"/>
        </w:numPr>
        <w:spacing w:after="80"/>
      </w:pPr>
      <w:r>
        <w:t xml:space="preserve">Broad adoption in security-tooling ecosystems — scanners, dashboards, and analytics platforms.</w:t>
      </w:r>
    </w:p>
    <w:p>
      <w:pPr>
        <w:pStyle w:val="ListParagraph"/>
        <w:numPr>
          <w:ilvl w:val="0"/>
          <w:numId w:val="2"/>
        </w:numPr>
        <w:spacing w:after="80"/>
      </w:pPr>
      <w:r>
        <w:t xml:space="preserve">Supports JSON, XML, and Protocol Buffers serializations (JSON is dominant).</w:t>
      </w:r>
    </w:p>
    <w:p>
      <w:pPr>
        <w:pStyle w:val="ListParagraph"/>
        <w:numPr>
          <w:ilvl w:val="0"/>
          <w:numId w:val="2"/>
        </w:numPr>
        <w:spacing w:after="80"/>
      </w:pPr>
      <w:r>
        <w:t xml:space="preserve">Has a broader initial scope than SPDX — first-class support for vulnerabilities, services, HBOM (hardware), MBOM (machine learning), CBOM (cryptographic), SaaSBOM, and others.</w:t>
      </w:r>
    </w:p>
    <w:p>
      <w:pPr>
        <w:pStyle w:val="Heading2"/>
        <w:spacing w:after="160" w:before="280"/>
      </w:pPr>
      <w:r>
        <w:rPr>
          <w:b/>
          <w:bCs/>
        </w:rPr>
        <w:t xml:space="preserve">4.2 The Security-First Philosophy</w:t>
      </w:r>
    </w:p>
    <w:p>
      <w:pPr>
        <w:spacing w:after="140"/>
        <w:jc w:val="both"/>
      </w:pPr>
      <w:r>
        <w:t xml:space="preserve">CycloneDX's security orientation manifests in specific format decisions:</w:t>
      </w:r>
    </w:p>
    <w:p>
      <w:pPr>
        <w:pStyle w:val="ListParagraph"/>
        <w:numPr>
          <w:ilvl w:val="0"/>
          <w:numId w:val="2"/>
        </w:numPr>
        <w:spacing w:after="80"/>
      </w:pPr>
      <w:r>
        <w:rPr>
          <w:b/>
          <w:bCs/>
        </w:rPr>
        <w:t xml:space="preserve">Built-in vulnerability references. </w:t>
      </w:r>
      <w:r>
        <w:t xml:space="preserve">CycloneDX includes first-class support for attaching vulnerability information (CVE IDs, severity, exploitability) to components directly in the SBOM. SPDX supports this through external references and SPDX 3.0's Security profile, but it is more organically integrated in CycloneDX.</w:t>
      </w:r>
    </w:p>
    <w:p>
      <w:pPr>
        <w:pStyle w:val="ListParagraph"/>
        <w:numPr>
          <w:ilvl w:val="0"/>
          <w:numId w:val="2"/>
        </w:numPr>
        <w:spacing w:after="80"/>
      </w:pPr>
      <w:r>
        <w:rPr>
          <w:b/>
          <w:bCs/>
        </w:rPr>
        <w:t xml:space="preserve">VEX (Vulnerability Exploitability eXchange) integration. </w:t>
      </w:r>
      <w:r>
        <w:t xml:space="preserve">CycloneDX includes support for VEX statements — assertions about whether specific vulnerabilities actually affect the product or are mitigated. VEX is critical for signal-to-noise ratio in vulnerability reports; CycloneDX treats it as a first-class concept.</w:t>
      </w:r>
    </w:p>
    <w:p>
      <w:pPr>
        <w:pStyle w:val="ListParagraph"/>
        <w:numPr>
          <w:ilvl w:val="0"/>
          <w:numId w:val="2"/>
        </w:numPr>
        <w:spacing w:after="80"/>
      </w:pPr>
      <w:r>
        <w:rPr>
          <w:b/>
          <w:bCs/>
        </w:rPr>
        <w:t xml:space="preserve">Service and infrastructure scope. </w:t>
      </w:r>
      <w:r>
        <w:t xml:space="preserve">CycloneDX supports SaaSBOM (services the application depends on), CBOM (cryptographic inventory), HBOM (hardware components), and other BOM variants beyond strict software-bill-of-materials. This reflects an understanding that security involves more than just code.</w:t>
      </w:r>
    </w:p>
    <w:p>
      <w:pPr>
        <w:pStyle w:val="ListParagraph"/>
        <w:numPr>
          <w:ilvl w:val="0"/>
          <w:numId w:val="2"/>
        </w:numPr>
        <w:spacing w:after="80"/>
      </w:pPr>
      <w:r>
        <w:rPr>
          <w:b/>
          <w:bCs/>
        </w:rPr>
        <w:t xml:space="preserve">Provenance and evidence. </w:t>
      </w:r>
      <w:r>
        <w:t xml:space="preserve">CycloneDX components can reference attestations, pedigree, and external evidence directly in the SBOM structure.</w:t>
      </w:r>
    </w:p>
    <w:p>
      <w:pPr>
        <w:pStyle w:val="Heading2"/>
        <w:spacing w:after="160" w:before="280"/>
      </w:pPr>
      <w:r>
        <w:rPr>
          <w:b/>
          <w:bCs/>
        </w:rPr>
        <w:t xml:space="preserve">4.3 The CycloneDX Document Structure</w:t>
      </w:r>
    </w:p>
    <w:p>
      <w:pPr>
        <w:spacing w:after="140"/>
        <w:jc w:val="both"/>
      </w:pPr>
      <w:r>
        <w:t xml:space="preserve">A CycloneDX document has a flatter structure than SPDX. The top-level keys:</w:t>
      </w:r>
    </w:p>
    <w:p>
      <w:pPr>
        <w:pStyle w:val="ListParagraph"/>
        <w:numPr>
          <w:ilvl w:val="0"/>
          <w:numId w:val="2"/>
        </w:numPr>
        <w:spacing w:after="80"/>
      </w:pPr>
      <w:r>
        <w:rPr>
          <w:b/>
          <w:bCs/>
        </w:rPr>
        <w:t xml:space="preserve">bomFormat and specVersion. </w:t>
      </w:r>
      <w:r>
        <w:t xml:space="preserve">Identify this as a CycloneDX document and specify the format version.</w:t>
      </w:r>
    </w:p>
    <w:p>
      <w:pPr>
        <w:pStyle w:val="ListParagraph"/>
        <w:numPr>
          <w:ilvl w:val="0"/>
          <w:numId w:val="2"/>
        </w:numPr>
        <w:spacing w:after="80"/>
      </w:pPr>
      <w:r>
        <w:rPr>
          <w:b/>
          <w:bCs/>
        </w:rPr>
        <w:t xml:space="preserve">serialNumber. </w:t>
      </w:r>
      <w:r>
        <w:t xml:space="preserve">A unique identifier (UUID) for this specific BOM.</w:t>
      </w:r>
    </w:p>
    <w:p>
      <w:pPr>
        <w:pStyle w:val="ListParagraph"/>
        <w:numPr>
          <w:ilvl w:val="0"/>
          <w:numId w:val="2"/>
        </w:numPr>
        <w:spacing w:after="80"/>
      </w:pPr>
      <w:r>
        <w:rPr>
          <w:b/>
          <w:bCs/>
        </w:rPr>
        <w:t xml:space="preserve">metadata. </w:t>
      </w:r>
      <w:r>
        <w:t xml:space="preserve">Information about the BOM itself and the product it describes: timestamp, tools used for generation, authors, the component being described.</w:t>
      </w:r>
    </w:p>
    <w:p>
      <w:pPr>
        <w:pStyle w:val="ListParagraph"/>
        <w:numPr>
          <w:ilvl w:val="0"/>
          <w:numId w:val="2"/>
        </w:numPr>
        <w:spacing w:after="80"/>
      </w:pPr>
      <w:r>
        <w:rPr>
          <w:b/>
          <w:bCs/>
        </w:rPr>
        <w:t xml:space="preserve">components. </w:t>
      </w:r>
      <w:r>
        <w:t xml:space="preserve">The list of software components, each with name, version, supplier, licenses, hashes, external references, and other metadata.</w:t>
      </w:r>
    </w:p>
    <w:p>
      <w:pPr>
        <w:pStyle w:val="ListParagraph"/>
        <w:numPr>
          <w:ilvl w:val="0"/>
          <w:numId w:val="2"/>
        </w:numPr>
        <w:spacing w:after="80"/>
      </w:pPr>
      <w:r>
        <w:rPr>
          <w:b/>
          <w:bCs/>
        </w:rPr>
        <w:t xml:space="preserve">dependencies. </w:t>
      </w:r>
      <w:r>
        <w:t xml:space="preserve">A graph-like structure expressing the dependency relationships between components.</w:t>
      </w:r>
    </w:p>
    <w:p>
      <w:pPr>
        <w:pStyle w:val="ListParagraph"/>
        <w:numPr>
          <w:ilvl w:val="0"/>
          <w:numId w:val="2"/>
        </w:numPr>
        <w:spacing w:after="80"/>
      </w:pPr>
      <w:r>
        <w:rPr>
          <w:b/>
          <w:bCs/>
        </w:rPr>
        <w:t xml:space="preserve">vulnerabilities. </w:t>
      </w:r>
      <w:r>
        <w:t xml:space="preserve">Vulnerability information attached to components, with CVE IDs, CWE classifications, severity, affects, and recommendations.</w:t>
      </w:r>
    </w:p>
    <w:p>
      <w:pPr>
        <w:pStyle w:val="ListParagraph"/>
        <w:numPr>
          <w:ilvl w:val="0"/>
          <w:numId w:val="2"/>
        </w:numPr>
        <w:spacing w:after="80"/>
      </w:pPr>
      <w:r>
        <w:rPr>
          <w:b/>
          <w:bCs/>
        </w:rPr>
        <w:t xml:space="preserve">services, formulation, annotations, compositions. </w:t>
      </w:r>
      <w:r>
        <w:t xml:space="preserve">Additional concepts for specific use cases.</w:t>
      </w:r>
    </w:p>
    <w:p>
      <w:pPr>
        <w:pStyle w:val="Heading2"/>
        <w:spacing w:after="160" w:before="280"/>
      </w:pPr>
      <w:r>
        <w:rPr>
          <w:b/>
          <w:bCs/>
        </w:rPr>
        <w:t xml:space="preserve">4.4 A Minimal CycloneDX JSON Example</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  "bomFormat": "CycloneDX",</w:t>
      </w:r>
    </w:p>
    <w:p>
      <w:pPr>
        <w:shd w:fill="F2F2F2" w:val="clear"/>
        <w:spacing w:after="40" w:before="40"/>
        <w:ind w:left="360"/>
      </w:pPr>
      <w:r>
        <w:rPr>
          <w:rFonts w:ascii="Consolas" w:cs="Consolas" w:eastAsia="Consolas" w:hAnsi="Consolas"/>
          <w:sz w:val="20"/>
          <w:szCs w:val="20"/>
        </w:rPr>
        <w:t xml:space="preserve">  "specVersion": "1.5",</w:t>
      </w:r>
    </w:p>
    <w:p>
      <w:pPr>
        <w:shd w:fill="F2F2F2" w:val="clear"/>
        <w:spacing w:after="40" w:before="40"/>
        <w:ind w:left="360"/>
      </w:pPr>
      <w:r>
        <w:rPr>
          <w:rFonts w:ascii="Consolas" w:cs="Consolas" w:eastAsia="Consolas" w:hAnsi="Consolas"/>
          <w:sz w:val="20"/>
          <w:szCs w:val="20"/>
        </w:rPr>
        <w:t xml:space="preserve">  "serialNumber": "urn:uuid:3e671687-395b-41f5-a30f-a58921a69b79",</w:t>
      </w:r>
    </w:p>
    <w:p>
      <w:pPr>
        <w:shd w:fill="F2F2F2" w:val="clear"/>
        <w:spacing w:after="40" w:before="40"/>
        <w:ind w:left="360"/>
      </w:pPr>
      <w:r>
        <w:rPr>
          <w:rFonts w:ascii="Consolas" w:cs="Consolas" w:eastAsia="Consolas" w:hAnsi="Consolas"/>
          <w:sz w:val="20"/>
          <w:szCs w:val="20"/>
        </w:rPr>
        <w:t xml:space="preserve">  "version": 1,</w:t>
      </w:r>
    </w:p>
    <w:p>
      <w:pPr>
        <w:shd w:fill="F2F2F2" w:val="clear"/>
        <w:spacing w:after="40" w:before="40"/>
        <w:ind w:left="360"/>
      </w:pPr>
      <w:r>
        <w:rPr>
          <w:rFonts w:ascii="Consolas" w:cs="Consolas" w:eastAsia="Consolas" w:hAnsi="Consolas"/>
          <w:sz w:val="20"/>
          <w:szCs w:val="20"/>
        </w:rPr>
        <w:t xml:space="preserve">  "metadata": {</w:t>
      </w:r>
    </w:p>
    <w:p>
      <w:pPr>
        <w:shd w:fill="F2F2F2" w:val="clear"/>
        <w:spacing w:after="40" w:before="40"/>
        <w:ind w:left="360"/>
      </w:pPr>
      <w:r>
        <w:rPr>
          <w:rFonts w:ascii="Consolas" w:cs="Consolas" w:eastAsia="Consolas" w:hAnsi="Consolas"/>
          <w:sz w:val="20"/>
          <w:szCs w:val="20"/>
        </w:rPr>
        <w:t xml:space="preserve">    "timestamp": "2024-03-15T10:23:45Z",</w:t>
      </w:r>
    </w:p>
    <w:p>
      <w:pPr>
        <w:shd w:fill="F2F2F2" w:val="clear"/>
        <w:spacing w:after="40" w:before="40"/>
        <w:ind w:left="360"/>
      </w:pPr>
      <w:r>
        <w:rPr>
          <w:rFonts w:ascii="Consolas" w:cs="Consolas" w:eastAsia="Consolas" w:hAnsi="Consolas"/>
          <w:sz w:val="20"/>
          <w:szCs w:val="20"/>
        </w:rPr>
        <w:t xml:space="preserve">    "tools": [</w:t>
      </w:r>
    </w:p>
    <w:p>
      <w:pPr>
        <w:shd w:fill="F2F2F2" w:val="clear"/>
        <w:spacing w:after="40" w:before="40"/>
        <w:ind w:left="360"/>
      </w:pPr>
      <w:r>
        <w:rPr>
          <w:rFonts w:ascii="Consolas" w:cs="Consolas" w:eastAsia="Consolas" w:hAnsi="Consolas"/>
          <w:sz w:val="20"/>
          <w:szCs w:val="20"/>
        </w:rPr>
        <w:t xml:space="preserve">      { "vendor": "Anchore", "name": "syft", "version": "1.0.0"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"component": {</w:t>
      </w:r>
    </w:p>
    <w:p>
      <w:pPr>
        <w:shd w:fill="F2F2F2" w:val="clear"/>
        <w:spacing w:after="40" w:before="40"/>
        <w:ind w:left="360"/>
      </w:pPr>
      <w:r>
        <w:rPr>
          <w:rFonts w:ascii="Consolas" w:cs="Consolas" w:eastAsia="Consolas" w:hAnsi="Consolas"/>
          <w:sz w:val="20"/>
          <w:szCs w:val="20"/>
        </w:rPr>
        <w:t xml:space="preserve">      "type": "application",</w:t>
      </w:r>
    </w:p>
    <w:p>
      <w:pPr>
        <w:shd w:fill="F2F2F2" w:val="clear"/>
        <w:spacing w:after="40" w:before="40"/>
        <w:ind w:left="360"/>
      </w:pPr>
      <w:r>
        <w:rPr>
          <w:rFonts w:ascii="Consolas" w:cs="Consolas" w:eastAsia="Consolas" w:hAnsi="Consolas"/>
          <w:sz w:val="20"/>
          <w:szCs w:val="20"/>
        </w:rPr>
        <w:t xml:space="preserve">      "name": "example-application",</w:t>
      </w:r>
    </w:p>
    <w:p>
      <w:pPr>
        <w:shd w:fill="F2F2F2" w:val="clear"/>
        <w:spacing w:after="40" w:before="40"/>
        <w:ind w:left="360"/>
      </w:pPr>
      <w:r>
        <w:rPr>
          <w:rFonts w:ascii="Consolas" w:cs="Consolas" w:eastAsia="Consolas" w:hAnsi="Consolas"/>
          <w:sz w:val="20"/>
          <w:szCs w:val="20"/>
        </w:rPr>
        <w:t xml:space="preserve">      "version": "1.0.0"</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"components":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"type": "library",</w:t>
      </w:r>
    </w:p>
    <w:p>
      <w:pPr>
        <w:shd w:fill="F2F2F2" w:val="clear"/>
        <w:spacing w:after="40" w:before="40"/>
        <w:ind w:left="360"/>
      </w:pPr>
      <w:r>
        <w:rPr>
          <w:rFonts w:ascii="Consolas" w:cs="Consolas" w:eastAsia="Consolas" w:hAnsi="Consolas"/>
          <w:sz w:val="20"/>
          <w:szCs w:val="20"/>
        </w:rPr>
        <w:t xml:space="preserve">      "bom-ref": "pkg:maven/org.apache.logging.log4j/log4j-core@2.17.1",</w:t>
      </w:r>
    </w:p>
    <w:p>
      <w:pPr>
        <w:shd w:fill="F2F2F2" w:val="clear"/>
        <w:spacing w:after="40" w:before="40"/>
        <w:ind w:left="360"/>
      </w:pPr>
      <w:r>
        <w:rPr>
          <w:rFonts w:ascii="Consolas" w:cs="Consolas" w:eastAsia="Consolas" w:hAnsi="Consolas"/>
          <w:sz w:val="20"/>
          <w:szCs w:val="20"/>
        </w:rPr>
        <w:t xml:space="preserve">      "name": "log4j-core",</w:t>
      </w:r>
    </w:p>
    <w:p>
      <w:pPr>
        <w:shd w:fill="F2F2F2" w:val="clear"/>
        <w:spacing w:after="40" w:before="40"/>
        <w:ind w:left="360"/>
      </w:pPr>
      <w:r>
        <w:rPr>
          <w:rFonts w:ascii="Consolas" w:cs="Consolas" w:eastAsia="Consolas" w:hAnsi="Consolas"/>
          <w:sz w:val="20"/>
          <w:szCs w:val="20"/>
        </w:rPr>
        <w:t xml:space="preserve">      "version": "2.17.1",</w:t>
      </w:r>
    </w:p>
    <w:p>
      <w:pPr>
        <w:shd w:fill="F2F2F2" w:val="clear"/>
        <w:spacing w:after="40" w:before="40"/>
        <w:ind w:left="360"/>
      </w:pPr>
      <w:r>
        <w:rPr>
          <w:rFonts w:ascii="Consolas" w:cs="Consolas" w:eastAsia="Consolas" w:hAnsi="Consolas"/>
          <w:sz w:val="20"/>
          <w:szCs w:val="20"/>
        </w:rPr>
        <w:t xml:space="preserve">      "purl": "pkg:maven/org.apache.logging.log4j/log4j-core@2.17.1",</w:t>
      </w:r>
    </w:p>
    <w:p>
      <w:pPr>
        <w:shd w:fill="F2F2F2" w:val="clear"/>
        <w:spacing w:after="40" w:before="40"/>
        <w:ind w:left="360"/>
      </w:pPr>
      <w:r>
        <w:rPr>
          <w:rFonts w:ascii="Consolas" w:cs="Consolas" w:eastAsia="Consolas" w:hAnsi="Consolas"/>
          <w:sz w:val="20"/>
          <w:szCs w:val="20"/>
        </w:rPr>
        <w:t xml:space="preserve">      "licenses": [</w:t>
      </w:r>
    </w:p>
    <w:p>
      <w:pPr>
        <w:shd w:fill="F2F2F2" w:val="clear"/>
        <w:spacing w:after="40" w:before="40"/>
        <w:ind w:left="360"/>
      </w:pPr>
      <w:r>
        <w:rPr>
          <w:rFonts w:ascii="Consolas" w:cs="Consolas" w:eastAsia="Consolas" w:hAnsi="Consolas"/>
          <w:sz w:val="20"/>
          <w:szCs w:val="20"/>
        </w:rPr>
        <w:t xml:space="preserve">        { "license": { "id": "Apache-2.0" }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"hashes": [</w:t>
      </w:r>
    </w:p>
    <w:p>
      <w:pPr>
        <w:shd w:fill="F2F2F2" w:val="clear"/>
        <w:spacing w:after="40" w:before="40"/>
        <w:ind w:left="360"/>
      </w:pPr>
      <w:r>
        <w:rPr>
          <w:rFonts w:ascii="Consolas" w:cs="Consolas" w:eastAsia="Consolas" w:hAnsi="Consolas"/>
          <w:sz w:val="20"/>
          <w:szCs w:val="20"/>
        </w:rPr>
        <w:t xml:space="preserve">        { "alg": "SHA-256", "content": "e5a41c11e4c1d8e1..."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"dependencies":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"ref": "pkg:example/example-application@1.0.0",</w:t>
      </w:r>
    </w:p>
    <w:p>
      <w:pPr>
        <w:shd w:fill="F2F2F2" w:val="clear"/>
        <w:spacing w:after="40" w:before="40"/>
        <w:ind w:left="360"/>
      </w:pPr>
      <w:r>
        <w:rPr>
          <w:rFonts w:ascii="Consolas" w:cs="Consolas" w:eastAsia="Consolas" w:hAnsi="Consolas"/>
          <w:sz w:val="20"/>
          <w:szCs w:val="20"/>
        </w:rPr>
        <w:t xml:space="preserve">      "dependsOn": ["pkg:maven/org.apache.logging.log4j/log4j-core@2.17.1"]</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The structure is recognizably similar to SPDX but uses different key names and a slightly different organization. Both formats convey the same fundamental information for most components; the differences become more pronounced when vulnerabilities, services, or other security-specific concepts come into play.</w:t>
      </w:r>
    </w:p>
    <w:p>
      <w:pPr>
        <w:pStyle w:val="Heading2"/>
        <w:spacing w:after="160" w:before="280"/>
      </w:pPr>
      <w:r>
        <w:rPr>
          <w:b/>
          <w:bCs/>
        </w:rPr>
        <w:t xml:space="preserve">4.5 Key CycloneDX Concepts</w:t>
      </w:r>
    </w:p>
    <w:p>
      <w:pPr>
        <w:pStyle w:val="ListParagraph"/>
        <w:numPr>
          <w:ilvl w:val="0"/>
          <w:numId w:val="2"/>
        </w:numPr>
        <w:spacing w:after="80"/>
      </w:pPr>
      <w:r>
        <w:rPr>
          <w:b/>
          <w:bCs/>
        </w:rPr>
        <w:t xml:space="preserve">bom-ref. </w:t>
      </w:r>
      <w:r>
        <w:t xml:space="preserve">CycloneDX's equivalent of SPDX's SPDXID — a local identifier used for cross-references. Commonly a purl, which doubles as both identifier and package-manager reference.</w:t>
      </w:r>
    </w:p>
    <w:p>
      <w:pPr>
        <w:pStyle w:val="ListParagraph"/>
        <w:numPr>
          <w:ilvl w:val="0"/>
          <w:numId w:val="2"/>
        </w:numPr>
        <w:spacing w:after="80"/>
      </w:pPr>
      <w:r>
        <w:rPr>
          <w:b/>
          <w:bCs/>
        </w:rPr>
        <w:t xml:space="preserve">Component types. </w:t>
      </w:r>
      <w:r>
        <w:t xml:space="preserve">CycloneDX distinguishes types: application, library, framework, container, operating-system, device, firmware, file, machine-learning-model, data. The typing helps consumers filter and process entries appropriately.</w:t>
      </w:r>
    </w:p>
    <w:p>
      <w:pPr>
        <w:pStyle w:val="ListParagraph"/>
        <w:numPr>
          <w:ilvl w:val="0"/>
          <w:numId w:val="2"/>
        </w:numPr>
        <w:spacing w:after="80"/>
      </w:pPr>
      <w:r>
        <w:rPr>
          <w:b/>
          <w:bCs/>
        </w:rPr>
        <w:t xml:space="preserve">Pedigree. </w:t>
      </w:r>
      <w:r>
        <w:t xml:space="preserve">A CycloneDX field describing a component's ancestry — what was it derived from? What commits, patches, variants? Useful for tracking modifications to upstream dependencies.</w:t>
      </w:r>
    </w:p>
    <w:p>
      <w:pPr>
        <w:pStyle w:val="ListParagraph"/>
        <w:numPr>
          <w:ilvl w:val="0"/>
          <w:numId w:val="2"/>
        </w:numPr>
        <w:spacing w:after="80"/>
      </w:pPr>
      <w:r>
        <w:rPr>
          <w:b/>
          <w:bCs/>
        </w:rPr>
        <w:t xml:space="preserve">Evidence. </w:t>
      </w:r>
      <w:r>
        <w:t xml:space="preserve">Information about how the component was identified — which tool found it, with what confidence, based on what evidence. Helps consumers understand the reliability of the SBOM.</w:t>
      </w:r>
    </w:p>
    <w:p>
      <w:pPr>
        <w:pStyle w:val="ListParagraph"/>
        <w:numPr>
          <w:ilvl w:val="0"/>
          <w:numId w:val="2"/>
        </w:numPr>
        <w:spacing w:after="80"/>
      </w:pPr>
      <w:r>
        <w:rPr>
          <w:b/>
          <w:bCs/>
        </w:rPr>
        <w:t xml:space="preserve">Compositions. </w:t>
      </w:r>
      <w:r>
        <w:t xml:space="preserve">Statements about the completeness of the SBOM — 'this list is complete,' 'this list is incomplete,' 'unknown.' Helps consumers calibrate their trust in SBOM coverage.</w:t>
      </w:r>
    </w:p>
    <w:p>
      <w:pPr>
        <w:pStyle w:val="Heading2"/>
        <w:spacing w:after="160" w:before="280"/>
      </w:pPr>
      <w:r>
        <w:rPr>
          <w:b/>
          <w:bCs/>
        </w:rPr>
        <w:t xml:space="preserve">4.6 Vulnerability and VEX Support</w:t>
      </w:r>
    </w:p>
    <w:p>
      <w:pPr>
        <w:spacing w:after="140"/>
        <w:jc w:val="both"/>
      </w:pPr>
      <w:r>
        <w:t xml:space="preserve">The CycloneDX vulnerabilities block is worth special attention because it is a key differentiator from SPDX 2.3. A vulnerability entry looks roughly like:</w:t>
      </w:r>
    </w:p>
    <w:p>
      <w:pPr>
        <w:shd w:fill="F2F2F2" w:val="clear"/>
        <w:spacing w:after="40" w:before="40"/>
        <w:ind w:left="360"/>
      </w:pPr>
      <w:r>
        <w:rPr>
          <w:rFonts w:ascii="Consolas" w:cs="Consolas" w:eastAsia="Consolas" w:hAnsi="Consolas"/>
          <w:sz w:val="20"/>
          <w:szCs w:val="20"/>
        </w:rPr>
        <w:t xml:space="preserve">"vulnerabilities":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"id": "CVE-2021-44228",</w:t>
      </w:r>
    </w:p>
    <w:p>
      <w:pPr>
        <w:shd w:fill="F2F2F2" w:val="clear"/>
        <w:spacing w:after="40" w:before="40"/>
        <w:ind w:left="360"/>
      </w:pPr>
      <w:r>
        <w:rPr>
          <w:rFonts w:ascii="Consolas" w:cs="Consolas" w:eastAsia="Consolas" w:hAnsi="Consolas"/>
          <w:sz w:val="20"/>
          <w:szCs w:val="20"/>
        </w:rPr>
        <w:t xml:space="preserve">    "source": { "name": "NVD" },</w:t>
      </w:r>
    </w:p>
    <w:p>
      <w:pPr>
        <w:shd w:fill="F2F2F2" w:val="clear"/>
        <w:spacing w:after="40" w:before="40"/>
        <w:ind w:left="360"/>
      </w:pPr>
      <w:r>
        <w:rPr>
          <w:rFonts w:ascii="Consolas" w:cs="Consolas" w:eastAsia="Consolas" w:hAnsi="Consolas"/>
          <w:sz w:val="20"/>
          <w:szCs w:val="20"/>
        </w:rPr>
        <w:t xml:space="preserve">    "ratings": [</w:t>
      </w:r>
    </w:p>
    <w:p>
      <w:pPr>
        <w:shd w:fill="F2F2F2" w:val="clear"/>
        <w:spacing w:after="40" w:before="40"/>
        <w:ind w:left="360"/>
      </w:pPr>
      <w:r>
        <w:rPr>
          <w:rFonts w:ascii="Consolas" w:cs="Consolas" w:eastAsia="Consolas" w:hAnsi="Consolas"/>
          <w:sz w:val="20"/>
          <w:szCs w:val="20"/>
        </w:rPr>
        <w:t xml:space="preserve">      { "severity": "critical", "score": 10.0, "method": "CVSSv3"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"cwes": [502],</w:t>
      </w:r>
    </w:p>
    <w:p>
      <w:pPr>
        <w:shd w:fill="F2F2F2" w:val="clear"/>
        <w:spacing w:after="40" w:before="40"/>
        <w:ind w:left="360"/>
      </w:pPr>
      <w:r>
        <w:rPr>
          <w:rFonts w:ascii="Consolas" w:cs="Consolas" w:eastAsia="Consolas" w:hAnsi="Consolas"/>
          <w:sz w:val="20"/>
          <w:szCs w:val="20"/>
        </w:rPr>
        <w:t xml:space="preserve">    "affects": [</w:t>
      </w:r>
    </w:p>
    <w:p>
      <w:pPr>
        <w:shd w:fill="F2F2F2" w:val="clear"/>
        <w:spacing w:after="40" w:before="40"/>
        <w:ind w:left="360"/>
      </w:pPr>
      <w:r>
        <w:rPr>
          <w:rFonts w:ascii="Consolas" w:cs="Consolas" w:eastAsia="Consolas" w:hAnsi="Consolas"/>
          <w:sz w:val="20"/>
          <w:szCs w:val="20"/>
        </w:rPr>
        <w:t xml:space="preserve">      { "ref": "pkg:maven/org.apache.logging.log4j/log4j-core@2.14.1"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"analysis": {</w:t>
      </w:r>
    </w:p>
    <w:p>
      <w:pPr>
        <w:shd w:fill="F2F2F2" w:val="clear"/>
        <w:spacing w:after="40" w:before="40"/>
        <w:ind w:left="360"/>
      </w:pPr>
      <w:r>
        <w:rPr>
          <w:rFonts w:ascii="Consolas" w:cs="Consolas" w:eastAsia="Consolas" w:hAnsi="Consolas"/>
          <w:sz w:val="20"/>
          <w:szCs w:val="20"/>
        </w:rPr>
        <w:t xml:space="preserve">      "state": "exploitable",</w:t>
      </w:r>
    </w:p>
    <w:p>
      <w:pPr>
        <w:shd w:fill="F2F2F2" w:val="clear"/>
        <w:spacing w:after="40" w:before="40"/>
        <w:ind w:left="360"/>
      </w:pPr>
      <w:r>
        <w:rPr>
          <w:rFonts w:ascii="Consolas" w:cs="Consolas" w:eastAsia="Consolas" w:hAnsi="Consolas"/>
          <w:sz w:val="20"/>
          <w:szCs w:val="20"/>
        </w:rPr>
        <w:t xml:space="preserve">      "detail": "Application exposes user input to Log4j logging"</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Several things worth noting: (a) the CVE identifier is a first-class field; (b) severity ratings and scoring methods are structured; (c) affects points back at specific components using bom-refs; (d) the analysis field carries VEX-like dispositions — is this vulnerability actually exploitable in this context? These dispositions are critical for signal-to-noise management, and CycloneDX supports them as structured fields rather than free-form text.</w:t>
      </w:r>
    </w:p>
    <w:p>
      <w:pPr>
        <w:pStyle w:val="Heading2"/>
        <w:spacing w:after="160" w:before="280"/>
      </w:pPr>
      <w:r>
        <w:rPr>
          <w:b/>
          <w:bCs/>
        </w:rPr>
        <w:t xml:space="preserve">4.7 When to Prefer CycloneDX</w:t>
      </w:r>
    </w:p>
    <w:p>
      <w:pPr>
        <w:spacing w:after="140"/>
        <w:jc w:val="both"/>
      </w:pPr>
      <w:r>
        <w:t xml:space="preserve">CycloneDX is the right SBOM format choice when:</w:t>
      </w:r>
    </w:p>
    <w:p>
      <w:pPr>
        <w:pStyle w:val="ListParagraph"/>
        <w:numPr>
          <w:ilvl w:val="0"/>
          <w:numId w:val="2"/>
        </w:numPr>
        <w:spacing w:after="80"/>
      </w:pPr>
      <w:r>
        <w:t xml:space="preserve">Vulnerability management is the primary use case and you want first-class security fields.</w:t>
      </w:r>
    </w:p>
    <w:p>
      <w:pPr>
        <w:pStyle w:val="ListParagraph"/>
        <w:numPr>
          <w:ilvl w:val="0"/>
          <w:numId w:val="2"/>
        </w:numPr>
        <w:spacing w:after="80"/>
      </w:pPr>
      <w:r>
        <w:t xml:space="preserve">You are working with security tooling that natively consumes CycloneDX — OWASP Dependency Track, many commercial SCA tools.</w:t>
      </w:r>
    </w:p>
    <w:p>
      <w:pPr>
        <w:pStyle w:val="ListParagraph"/>
        <w:numPr>
          <w:ilvl w:val="0"/>
          <w:numId w:val="2"/>
        </w:numPr>
        <w:spacing w:after="80"/>
      </w:pPr>
      <w:r>
        <w:t xml:space="preserve">You need non-traditional BOM types — SaaSBOM, CBOM, MBOM — that SPDX does not handle as elegantly.</w:t>
      </w:r>
    </w:p>
    <w:p>
      <w:pPr>
        <w:pStyle w:val="ListParagraph"/>
        <w:numPr>
          <w:ilvl w:val="0"/>
          <w:numId w:val="2"/>
        </w:numPr>
        <w:spacing w:after="80"/>
      </w:pPr>
      <w:r>
        <w:t xml:space="preserve">You want VEX integration within the SBOM itself.</w:t>
      </w:r>
    </w:p>
    <w:p>
      <w:pPr>
        <w:pStyle w:val="ListParagraph"/>
        <w:numPr>
          <w:ilvl w:val="0"/>
          <w:numId w:val="2"/>
        </w:numPr>
        <w:spacing w:after="80"/>
      </w:pPr>
      <w:r>
        <w:t xml:space="preserve">Your organization's security practices are built on OWASP standards more broadly.</w:t>
      </w:r>
    </w:p>
    <w:p>
      <w:pPr>
        <w:pStyle w:val="Heading2"/>
        <w:spacing w:after="160" w:before="280"/>
      </w:pPr>
      <w:r>
        <w:rPr>
          <w:b/>
          <w:bCs/>
        </w:rPr>
        <w:t xml:space="preserve">4.8 SPDX vs. CycloneDX — The Decision</w:t>
      </w:r>
    </w:p>
    <w:p>
      <w:pPr>
        <w:spacing w:after="140"/>
        <w:jc w:val="both"/>
      </w:pPr>
      <w:r>
        <w:t xml:space="preserve">Both formats are mature, actively maintained, and broadly supported. For most organizations the choice is not deeply consequential — major generation tools (Chapter 5) produce both; major consumption tools (Chapter 6) accept both. The decision often comes down to ecosystem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Consideration</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Leans toward SPDX</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Leans toward CycloneDX</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Primary use case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License compliance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Vulnerability management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Standards posture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ISO-standard preferred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OWASP / industry-standard preferred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Regulatory environment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 federal, critical infrastructure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Any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Ecosystem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Linux Foundation, traditional enterprise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OWASP, application security tooling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VEX integration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External (or SPDX 3.0 Security profile)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Native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Non-software BOMs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Less first-class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First-class (CBOM, MBOM, HBOM, SaaSBOM)</w:t>
            </w:r>
          </w:p>
        </w:tc>
      </w:tr>
    </w:tbl>
    <w:p>
      <w:pPr>
        <w:spacing w:after="100"/>
      </w:pPr>
      <w:r>
        <w:t xml:space="preserve"/>
      </w:r>
    </w:p>
    <w:p>
      <w:pPr>
        <w:spacing w:after="140"/>
        <w:jc w:val="both"/>
      </w:pPr>
      <w:r>
        <w:t xml:space="preserve">Many organizations generate both formats from the same artifact and distribute both. Modern tools make this trivial — running syft once produces both outputs. For internal consumption, you pick the one your tools work best with; for external distribution, you provide whichever your consumer prefers, and often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CycloneDX is the OWASP-developed SBOM format, designed security-first from inception and widely adopted in the application-security tooling ecosystem. Its distinguishing features are native vulnerability and VEX support, extensibility to non-traditional BOMs (CBOM, MBOM, HBOM, SaaSBOM), and first-class pedigree and evidence fields. The choice between SPDX and CycloneDX often comes down to ecosystem fit rather than technical superiority; many organizations generate both. For vulnerability-management-centric use cases, CycloneDX's structured vulnerability and VEX support gives it an edge.</w:t>
            </w:r>
          </w:p>
        </w:tc>
      </w:tr>
    </w:tbl>
    <w:p>
      <w:r>
        <w:br w:type="page"/>
      </w:r>
    </w:p>
    <w:p>
      <w:pPr>
        <w:pStyle w:val="Heading1"/>
        <w:spacing w:after="200" w:before="360"/>
      </w:pPr>
      <w:r>
        <w:rPr>
          <w:b/>
          <w:bCs/>
        </w:rPr>
        <w:t xml:space="preserve">Chapter 5: Generation Tools — syft, cdxgen, Language-Specific</w:t>
      </w:r>
    </w:p>
    <w:p>
      <w:pPr>
        <w:pStyle w:val="Heading2"/>
        <w:spacing w:after="160" w:before="280"/>
      </w:pPr>
      <w:r>
        <w:rPr>
          <w:b/>
          <w:bCs/>
        </w:rPr>
        <w:t xml:space="preserve">5.1 The Tooling Landscape</w:t>
      </w:r>
    </w:p>
    <w:p>
      <w:pPr>
        <w:spacing w:after="140"/>
        <w:jc w:val="both"/>
      </w:pPr>
      <w:r>
        <w:t xml:space="preserve">Generating an SBOM is not a manual process. In practice, a tool inspects an artifact (a Docker image, a filesystem, a build tree, a package archive) and emits an SBOM based on what it finds. The quality of the SBOM depends entirely on the quality of the tool: its coverage of languages and ecosystems, its accuracy in identifying components, and its ability to handle edge cases like vendored dependencies and statically-linked binaries.</w:t>
      </w:r>
    </w:p>
    <w:p>
      <w:pPr>
        <w:spacing w:after="140"/>
        <w:jc w:val="both"/>
      </w:pPr>
      <w:r>
        <w:t xml:space="preserve">The tooling landscape has several categories:</w:t>
      </w:r>
    </w:p>
    <w:p>
      <w:pPr>
        <w:pStyle w:val="ListParagraph"/>
        <w:numPr>
          <w:ilvl w:val="0"/>
          <w:numId w:val="2"/>
        </w:numPr>
        <w:spacing w:after="80"/>
      </w:pPr>
      <w:r>
        <w:rPr>
          <w:b/>
          <w:bCs/>
        </w:rPr>
        <w:t xml:space="preserve">General-purpose scanners. </w:t>
      </w:r>
      <w:r>
        <w:t xml:space="preserve">Tools that understand many ecosystems and can scan any artifact. syft is the dominant choice here.</w:t>
      </w:r>
    </w:p>
    <w:p>
      <w:pPr>
        <w:pStyle w:val="ListParagraph"/>
        <w:numPr>
          <w:ilvl w:val="0"/>
          <w:numId w:val="2"/>
        </w:numPr>
        <w:spacing w:after="80"/>
      </w:pPr>
      <w:r>
        <w:rPr>
          <w:b/>
          <w:bCs/>
        </w:rPr>
        <w:t xml:space="preserve">Format-focused generators. </w:t>
      </w:r>
      <w:r>
        <w:t xml:space="preserve">Tools that specialize in producing a specific format. cdxgen focuses on CycloneDX; some tools focus on SPDX.</w:t>
      </w:r>
    </w:p>
    <w:p>
      <w:pPr>
        <w:pStyle w:val="ListParagraph"/>
        <w:numPr>
          <w:ilvl w:val="0"/>
          <w:numId w:val="2"/>
        </w:numPr>
        <w:spacing w:after="80"/>
      </w:pPr>
      <w:r>
        <w:rPr>
          <w:b/>
          <w:bCs/>
        </w:rPr>
        <w:t xml:space="preserve">Language-specific generators. </w:t>
      </w:r>
      <w:r>
        <w:t xml:space="preserve">Tools that integrate with a specific language's build system and produce an SBOM from the build's authoritative dependency resolution. cyclonedx-node, cyclonedx-python, and similar.</w:t>
      </w:r>
    </w:p>
    <w:p>
      <w:pPr>
        <w:pStyle w:val="ListParagraph"/>
        <w:numPr>
          <w:ilvl w:val="0"/>
          <w:numId w:val="2"/>
        </w:numPr>
        <w:spacing w:after="80"/>
      </w:pPr>
      <w:r>
        <w:rPr>
          <w:b/>
          <w:bCs/>
        </w:rPr>
        <w:t xml:space="preserve">Build-system-integrated generators. </w:t>
      </w:r>
      <w:r>
        <w:t xml:space="preserve">Gradle plugins, Maven plugins, Bazel rules that emit SBOMs as part of the normal build.</w:t>
      </w:r>
    </w:p>
    <w:p>
      <w:pPr>
        <w:pStyle w:val="ListParagraph"/>
        <w:numPr>
          <w:ilvl w:val="0"/>
          <w:numId w:val="2"/>
        </w:numPr>
        <w:spacing w:after="80"/>
      </w:pPr>
      <w:r>
        <w:rPr>
          <w:b/>
          <w:bCs/>
        </w:rPr>
        <w:t xml:space="preserve">Commercial SBOM platforms. </w:t>
      </w:r>
      <w:r>
        <w:t xml:space="preserve">Vendor-specific tools (Anchore, Snyk, Dependency Track, Mend, and others) that generate, store, and analyze SBOMs as a service.</w:t>
      </w:r>
    </w:p>
    <w:p>
      <w:pPr>
        <w:spacing w:after="140"/>
        <w:jc w:val="both"/>
      </w:pPr>
      <w:r>
        <w:t xml:space="preserve">For most workflows, the practical starting point is syft for artifact-level scanning combined with language-specific tools for build-time integration. This chapter covers these in detail.</w:t>
      </w:r>
    </w:p>
    <w:p>
      <w:pPr>
        <w:pStyle w:val="Heading2"/>
        <w:spacing w:after="160" w:before="280"/>
      </w:pPr>
      <w:r>
        <w:rPr>
          <w:b/>
          <w:bCs/>
        </w:rPr>
        <w:t xml:space="preserve">5.2 syft — The Dominant General-Purpose Scanner</w:t>
      </w:r>
    </w:p>
    <w:p>
      <w:pPr>
        <w:spacing w:after="140"/>
        <w:jc w:val="both"/>
      </w:pPr>
      <w:r>
        <w:t xml:space="preserve">syft is an open-source tool developed by Anchore, designed to generate SBOMs from container images, filesystems, and archives. It is CLI-driven, supports both major SBOM formats, and handles an impressive range of language ecosystems. Within the OpenSSF and CNCF communities, syft is effectively the reference implementation for SBOM generation.</w:t>
      </w:r>
    </w:p>
    <w:p>
      <w:pPr>
        <w:pStyle w:val="Heading3"/>
        <w:spacing w:after="120" w:before="220"/>
      </w:pPr>
      <w:r>
        <w:rPr>
          <w:b/>
          <w:bCs/>
        </w:rPr>
        <w:t xml:space="preserve">Installation and usage</w:t>
      </w:r>
    </w:p>
    <w:p>
      <w:pPr>
        <w:spacing w:after="140"/>
        <w:jc w:val="both"/>
      </w:pPr>
      <w:r>
        <w:t xml:space="preserve">syft installs via a single-line installer, Homebrew, Scoop, or Docker:</w:t>
      </w:r>
    </w:p>
    <w:p>
      <w:pPr>
        <w:shd w:fill="F2F2F2" w:val="clear"/>
        <w:spacing w:after="40" w:before="40"/>
        <w:ind w:left="360"/>
      </w:pPr>
      <w:r>
        <w:rPr>
          <w:rFonts w:ascii="Consolas" w:cs="Consolas" w:eastAsia="Consolas" w:hAnsi="Consolas"/>
          <w:sz w:val="20"/>
          <w:szCs w:val="20"/>
        </w:rPr>
        <w:t xml:space="preserve"># Quick install</w:t>
      </w:r>
    </w:p>
    <w:p>
      <w:pPr>
        <w:shd w:fill="F2F2F2" w:val="clear"/>
        <w:spacing w:after="40" w:before="40"/>
        <w:ind w:left="360"/>
      </w:pPr>
      <w:r>
        <w:rPr>
          <w:rFonts w:ascii="Consolas" w:cs="Consolas" w:eastAsia="Consolas" w:hAnsi="Consolas"/>
          <w:sz w:val="20"/>
          <w:szCs w:val="20"/>
        </w:rPr>
        <w:t xml:space="preserve">curl -sSfL https://raw.githubusercontent.com/anchore/syft/main/install.sh | sh -s -- -b /usr/local/bin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Homebrew</w:t>
      </w:r>
    </w:p>
    <w:p>
      <w:pPr>
        <w:shd w:fill="F2F2F2" w:val="clear"/>
        <w:spacing w:after="40" w:before="40"/>
        <w:ind w:left="360"/>
      </w:pPr>
      <w:r>
        <w:rPr>
          <w:rFonts w:ascii="Consolas" w:cs="Consolas" w:eastAsia="Consolas" w:hAnsi="Consolas"/>
          <w:sz w:val="20"/>
          <w:szCs w:val="20"/>
        </w:rPr>
        <w:t xml:space="preserve">brew install syft</w:t>
      </w:r>
    </w:p>
    <w:p>
      <w:pPr>
        <w:spacing w:after="140"/>
        <w:jc w:val="both"/>
      </w:pPr>
      <w:r>
        <w:t xml:space="preserve">Basic usage — scanning a container image:</w:t>
      </w:r>
    </w:p>
    <w:p>
      <w:pPr>
        <w:shd w:fill="F2F2F2" w:val="clear"/>
        <w:spacing w:after="40" w:before="40"/>
        <w:ind w:left="360"/>
      </w:pPr>
      <w:r>
        <w:rPr>
          <w:rFonts w:ascii="Consolas" w:cs="Consolas" w:eastAsia="Consolas" w:hAnsi="Consolas"/>
          <w:sz w:val="20"/>
          <w:szCs w:val="20"/>
        </w:rPr>
        <w:t xml:space="preserve"># Generate CycloneDX SBOM from a Docker image</w:t>
      </w:r>
    </w:p>
    <w:p>
      <w:pPr>
        <w:shd w:fill="F2F2F2" w:val="clear"/>
        <w:spacing w:after="40" w:before="40"/>
        <w:ind w:left="360"/>
      </w:pPr>
      <w:r>
        <w:rPr>
          <w:rFonts w:ascii="Consolas" w:cs="Consolas" w:eastAsia="Consolas" w:hAnsi="Consolas"/>
          <w:sz w:val="20"/>
          <w:szCs w:val="20"/>
        </w:rPr>
        <w:t xml:space="preserve">syft nginx:1.25 -o cyclonedx-json &gt; nginx-sbom.json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Generate SPDX SBOM</w:t>
      </w:r>
    </w:p>
    <w:p>
      <w:pPr>
        <w:shd w:fill="F2F2F2" w:val="clear"/>
        <w:spacing w:after="40" w:before="40"/>
        <w:ind w:left="360"/>
      </w:pPr>
      <w:r>
        <w:rPr>
          <w:rFonts w:ascii="Consolas" w:cs="Consolas" w:eastAsia="Consolas" w:hAnsi="Consolas"/>
          <w:sz w:val="20"/>
          <w:szCs w:val="20"/>
        </w:rPr>
        <w:t xml:space="preserve">syft nginx:1.25 -o spdx-json &gt; nginx-sbom.spdx.json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Scan a local directory (filesystem)</w:t>
      </w:r>
    </w:p>
    <w:p>
      <w:pPr>
        <w:shd w:fill="F2F2F2" w:val="clear"/>
        <w:spacing w:after="40" w:before="40"/>
        <w:ind w:left="360"/>
      </w:pPr>
      <w:r>
        <w:rPr>
          <w:rFonts w:ascii="Consolas" w:cs="Consolas" w:eastAsia="Consolas" w:hAnsi="Consolas"/>
          <w:sz w:val="20"/>
          <w:szCs w:val="20"/>
        </w:rPr>
        <w:t xml:space="preserve">syft dir:./my-project -o cyclonedx-json &gt; my-project-sbom.json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Scan a package archive</w:t>
      </w:r>
    </w:p>
    <w:p>
      <w:pPr>
        <w:shd w:fill="F2F2F2" w:val="clear"/>
        <w:spacing w:after="40" w:before="40"/>
        <w:ind w:left="360"/>
      </w:pPr>
      <w:r>
        <w:rPr>
          <w:rFonts w:ascii="Consolas" w:cs="Consolas" w:eastAsia="Consolas" w:hAnsi="Consolas"/>
          <w:sz w:val="20"/>
          <w:szCs w:val="20"/>
        </w:rPr>
        <w:t xml:space="preserve">syft my-app.tar.gz -o cyclonedx-json</w:t>
      </w:r>
    </w:p>
    <w:p>
      <w:pPr>
        <w:pStyle w:val="Heading3"/>
        <w:spacing w:after="120" w:before="220"/>
      </w:pPr>
      <w:r>
        <w:rPr>
          <w:b/>
          <w:bCs/>
        </w:rPr>
        <w:t xml:space="preserve">What syft detects</w:t>
      </w:r>
    </w:p>
    <w:p>
      <w:pPr>
        <w:spacing w:after="140"/>
        <w:jc w:val="both"/>
      </w:pPr>
      <w:r>
        <w:t xml:space="preserve">syft's catalogers span a broad set of ecosystems:</w:t>
      </w:r>
    </w:p>
    <w:p>
      <w:pPr>
        <w:pStyle w:val="ListParagraph"/>
        <w:numPr>
          <w:ilvl w:val="0"/>
          <w:numId w:val="2"/>
        </w:numPr>
        <w:spacing w:after="80"/>
      </w:pPr>
      <w:r>
        <w:t xml:space="preserve">Container-native: Docker images, OCI archives, registry references.</w:t>
      </w:r>
    </w:p>
    <w:p>
      <w:pPr>
        <w:pStyle w:val="ListParagraph"/>
        <w:numPr>
          <w:ilvl w:val="0"/>
          <w:numId w:val="2"/>
        </w:numPr>
        <w:spacing w:after="80"/>
      </w:pPr>
      <w:r>
        <w:t xml:space="preserve">OS packages: apt/deb, apk, yum/dnf/rpm, Alpine, FreeBSD.</w:t>
      </w:r>
    </w:p>
    <w:p>
      <w:pPr>
        <w:pStyle w:val="ListParagraph"/>
        <w:numPr>
          <w:ilvl w:val="0"/>
          <w:numId w:val="2"/>
        </w:numPr>
        <w:spacing w:after="80"/>
      </w:pPr>
      <w:r>
        <w:t xml:space="preserve">Languages: Python (pip, poetry), JavaScript (npm, yarn, pnpm), Java (Maven, Gradle, JAR contents), Go (go.mod, binaries), Rust (Cargo), Ruby (Bundler), PHP (Composer), .NET, Dart, Elixir, Erlang, Haskell, Swift, and more.</w:t>
      </w:r>
    </w:p>
    <w:p>
      <w:pPr>
        <w:pStyle w:val="ListParagraph"/>
        <w:numPr>
          <w:ilvl w:val="0"/>
          <w:numId w:val="2"/>
        </w:numPr>
        <w:spacing w:after="80"/>
      </w:pPr>
      <w:r>
        <w:t xml:space="preserve">Binaries: statically-linked Go binaries (which embed their module info), some other static-binary formats.</w:t>
      </w:r>
    </w:p>
    <w:p>
      <w:pPr>
        <w:spacing w:after="140"/>
        <w:jc w:val="both"/>
      </w:pPr>
      <w:r>
        <w:t xml:space="preserve">The ecosystem support is broad enough that running syft against a typical container image produces an SBOM with hundreds of components across OS packages and application dependencies. For teams building containerized applications, syft is often the only generation tool needed.</w:t>
      </w:r>
    </w:p>
    <w:p>
      <w:pPr>
        <w:pStyle w:val="Heading3"/>
        <w:spacing w:after="120" w:before="220"/>
      </w:pPr>
      <w:r>
        <w:rPr>
          <w:b/>
          <w:bCs/>
        </w:rPr>
        <w:t xml:space="preserve">The Grype integration</w:t>
      </w:r>
    </w:p>
    <w:p>
      <w:pPr>
        <w:spacing w:after="140"/>
        <w:jc w:val="both"/>
      </w:pPr>
      <w:r>
        <w:t xml:space="preserve">syft has a sibling tool, grype (covered in Chapter 6), which consumes SBOMs (including syft-generated ones) and reports vulnerabilities. The two tools are designed to work together: syft generates the inventory; grype matches the inventory against vulnerability databases. A typical CI pipeline will run both in sequence.</w:t>
      </w:r>
    </w:p>
    <w:p>
      <w:pPr>
        <w:pStyle w:val="Heading3"/>
        <w:spacing w:after="120" w:before="220"/>
      </w:pPr>
      <w:r>
        <w:rPr>
          <w:b/>
          <w:bCs/>
        </w:rPr>
        <w:t xml:space="preserve">Output format flexibility</w:t>
      </w:r>
    </w:p>
    <w:p>
      <w:pPr>
        <w:spacing w:after="140"/>
        <w:jc w:val="both"/>
      </w:pPr>
      <w:r>
        <w:t xml:space="preserve">syft supports many output formats beyond the two major SBOM formats:</w:t>
      </w:r>
    </w:p>
    <w:p>
      <w:pPr>
        <w:pStyle w:val="ListParagraph"/>
        <w:numPr>
          <w:ilvl w:val="0"/>
          <w:numId w:val="2"/>
        </w:numPr>
        <w:spacing w:after="80"/>
      </w:pPr>
      <w:r>
        <w:t xml:space="preserve">CycloneDX JSON, XML</w:t>
      </w:r>
    </w:p>
    <w:p>
      <w:pPr>
        <w:pStyle w:val="ListParagraph"/>
        <w:numPr>
          <w:ilvl w:val="0"/>
          <w:numId w:val="2"/>
        </w:numPr>
        <w:spacing w:after="80"/>
      </w:pPr>
      <w:r>
        <w:t xml:space="preserve">SPDX JSON, tag-value</w:t>
      </w:r>
    </w:p>
    <w:p>
      <w:pPr>
        <w:pStyle w:val="ListParagraph"/>
        <w:numPr>
          <w:ilvl w:val="0"/>
          <w:numId w:val="2"/>
        </w:numPr>
        <w:spacing w:after="80"/>
      </w:pPr>
      <w:r>
        <w:t xml:space="preserve">syft JSON (native format, more information than either standard)</w:t>
      </w:r>
    </w:p>
    <w:p>
      <w:pPr>
        <w:pStyle w:val="ListParagraph"/>
        <w:numPr>
          <w:ilvl w:val="0"/>
          <w:numId w:val="2"/>
        </w:numPr>
        <w:spacing w:after="80"/>
      </w:pPr>
      <w:r>
        <w:t xml:space="preserve">Human-readable table output</w:t>
      </w:r>
    </w:p>
    <w:p>
      <w:pPr>
        <w:pStyle w:val="ListParagraph"/>
        <w:numPr>
          <w:ilvl w:val="0"/>
          <w:numId w:val="2"/>
        </w:numPr>
        <w:spacing w:after="80"/>
      </w:pPr>
      <w:r>
        <w:t xml:space="preserve">Various templated outputs for custom integrations</w:t>
      </w:r>
    </w:p>
    <w:p>
      <w:pPr>
        <w:spacing w:after="140"/>
        <w:jc w:val="both"/>
      </w:pPr>
      <w:r>
        <w:t xml:space="preserve">The native syft JSON format preserves information that is lost in the standard formats (evidence of detection, internal catalog names, etc.) and is useful for SBOM-to-SBOM transformations or customized downstream tooling.</w:t>
      </w:r>
    </w:p>
    <w:p>
      <w:pPr>
        <w:pStyle w:val="Heading2"/>
        <w:spacing w:after="160" w:before="280"/>
      </w:pPr>
      <w:r>
        <w:rPr>
          <w:b/>
          <w:bCs/>
        </w:rPr>
        <w:t xml:space="preserve">5.3 cdxgen — CycloneDX-Specialized Generation</w:t>
      </w:r>
    </w:p>
    <w:p>
      <w:pPr>
        <w:spacing w:after="140"/>
        <w:jc w:val="both"/>
      </w:pPr>
      <w:r>
        <w:t xml:space="preserve">cdxgen is a CycloneDX generator from the OWASP ecosystem, specialized for the CycloneDX format. Where syft is format-agnostic (it supports CycloneDX and SPDX equally), cdxgen is CycloneDX-first and tends to produce richer CycloneDX-specific fields (more detailed evidence, more complete service and SaaS metadata, tighter VEX integration).</w:t>
      </w:r>
    </w:p>
    <w:p>
      <w:pPr>
        <w:spacing w:after="140"/>
        <w:jc w:val="both"/>
      </w:pPr>
      <w:r>
        <w:t xml:space="preserve">Basic usage:</w:t>
      </w:r>
    </w:p>
    <w:p>
      <w:pPr>
        <w:shd w:fill="F2F2F2" w:val="clear"/>
        <w:spacing w:after="40" w:before="40"/>
        <w:ind w:left="360"/>
      </w:pPr>
      <w:r>
        <w:rPr>
          <w:rFonts w:ascii="Consolas" w:cs="Consolas" w:eastAsia="Consolas" w:hAnsi="Consolas"/>
          <w:sz w:val="20"/>
          <w:szCs w:val="20"/>
        </w:rPr>
        <w:t xml:space="preserve"># Install via npm</w:t>
      </w:r>
    </w:p>
    <w:p>
      <w:pPr>
        <w:shd w:fill="F2F2F2" w:val="clear"/>
        <w:spacing w:after="40" w:before="40"/>
        <w:ind w:left="360"/>
      </w:pPr>
      <w:r>
        <w:rPr>
          <w:rFonts w:ascii="Consolas" w:cs="Consolas" w:eastAsia="Consolas" w:hAnsi="Consolas"/>
          <w:sz w:val="20"/>
          <w:szCs w:val="20"/>
        </w:rPr>
        <w:t xml:space="preserve">npm install -g @cyclonedx/cdxgen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Generate SBOM from current directory</w:t>
      </w:r>
    </w:p>
    <w:p>
      <w:pPr>
        <w:shd w:fill="F2F2F2" w:val="clear"/>
        <w:spacing w:after="40" w:before="40"/>
        <w:ind w:left="360"/>
      </w:pPr>
      <w:r>
        <w:rPr>
          <w:rFonts w:ascii="Consolas" w:cs="Consolas" w:eastAsia="Consolas" w:hAnsi="Consolas"/>
          <w:sz w:val="20"/>
          <w:szCs w:val="20"/>
        </w:rPr>
        <w:t xml:space="preserve">cdxgen -o bom.json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Generate for a specific language</w:t>
      </w:r>
    </w:p>
    <w:p>
      <w:pPr>
        <w:shd w:fill="F2F2F2" w:val="clear"/>
        <w:spacing w:after="40" w:before="40"/>
        <w:ind w:left="360"/>
      </w:pPr>
      <w:r>
        <w:rPr>
          <w:rFonts w:ascii="Consolas" w:cs="Consolas" w:eastAsia="Consolas" w:hAnsi="Consolas"/>
          <w:sz w:val="20"/>
          <w:szCs w:val="20"/>
        </w:rPr>
        <w:t xml:space="preserve">cdxgen -t python -o python-bom.json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Generate for a container image</w:t>
      </w:r>
    </w:p>
    <w:p>
      <w:pPr>
        <w:shd w:fill="F2F2F2" w:val="clear"/>
        <w:spacing w:after="40" w:before="40"/>
        <w:ind w:left="360"/>
      </w:pPr>
      <w:r>
        <w:rPr>
          <w:rFonts w:ascii="Consolas" w:cs="Consolas" w:eastAsia="Consolas" w:hAnsi="Consolas"/>
          <w:sz w:val="20"/>
          <w:szCs w:val="20"/>
        </w:rPr>
        <w:t xml:space="preserve">cdxgen -t docker nginx:1.25 -o nginx-bom.json</w:t>
      </w:r>
    </w:p>
    <w:p>
      <w:pPr>
        <w:spacing w:after="140"/>
        <w:jc w:val="both"/>
      </w:pPr>
      <w:r>
        <w:t xml:space="preserve">cdxgen's coverage is broadly similar to syft's, with two differentiators worth knowing:</w:t>
      </w:r>
    </w:p>
    <w:p>
      <w:pPr>
        <w:pStyle w:val="ListParagraph"/>
        <w:numPr>
          <w:ilvl w:val="0"/>
          <w:numId w:val="2"/>
        </w:numPr>
        <w:spacing w:after="80"/>
      </w:pPr>
      <w:r>
        <w:t xml:space="preserve">Stronger evidence capture — cdxgen populates the evidence field of CycloneDX entries more richly, which helps consumers understand confidence in component identification.</w:t>
      </w:r>
    </w:p>
    <w:p>
      <w:pPr>
        <w:pStyle w:val="ListParagraph"/>
        <w:numPr>
          <w:ilvl w:val="0"/>
          <w:numId w:val="2"/>
        </w:numPr>
        <w:spacing w:after="80"/>
      </w:pPr>
      <w:r>
        <w:t xml:space="preserve">Better support for some niche ecosystems (specific PHP or Elixir package managers, some proprietary build systems).</w:t>
      </w:r>
    </w:p>
    <w:p>
      <w:pPr>
        <w:spacing w:after="140"/>
        <w:jc w:val="both"/>
      </w:pPr>
      <w:r>
        <w:t xml:space="preserve">For CycloneDX-only environments, cdxgen is often chosen over syft. For mixed environments, syft is typically preferred for its broader format support.</w:t>
      </w:r>
    </w:p>
    <w:p>
      <w:pPr>
        <w:pStyle w:val="Heading2"/>
        <w:spacing w:after="160" w:before="280"/>
      </w:pPr>
      <w:r>
        <w:rPr>
          <w:b/>
          <w:bCs/>
        </w:rPr>
        <w:t xml:space="preserve">5.4 Language-Specific Generators</w:t>
      </w:r>
    </w:p>
    <w:p>
      <w:pPr>
        <w:spacing w:after="140"/>
        <w:jc w:val="both"/>
      </w:pPr>
      <w:r>
        <w:t xml:space="preserve">General-purpose scanners like syft and cdxgen work by inspecting an artifact. Language-specific generators work by hooking into a language's build system and extracting SBOMs from the build's authoritative dependency resolution. This typically produces more accurate results for the specific language, because the build system knows things the artifact scanner has to infer.</w:t>
      </w:r>
    </w:p>
    <w:p>
      <w:pPr>
        <w:spacing w:after="140"/>
        <w:jc w:val="both"/>
      </w:pPr>
      <w:r>
        <w:t xml:space="preserve">The major ecosystems have first-party or near-first-party SBOM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Ecosystem</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Tool</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Integration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Node.js / npm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cyclonedx-node (npm CLI plugin)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npm install, produces CycloneDX from node_modules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Node.js alternate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@cyclonedx/cyclonedx-npm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Works with npm, yarn, pnpm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Python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cyclonedx-python / cyclonedx-py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pip, poetry, pipenv, conda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Java / Maven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cyclonedx-maven-plugin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Maven plugin, runs as build phase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Java / Gradle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cyclonedx-gradle-plugin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Gradle plugin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cyclonedx-gomod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Reads go.mod and go.sum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Rust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cargo-cyclonedx</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Cargo subcommand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Ruby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cyclonedx-ruby-gem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Bundler integration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.NET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CycloneDX for .NET (dotnet CLI tool)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dotnet tool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PHP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CycloneDX PHP Composer Plugin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Composer plugin</w:t>
            </w:r>
          </w:p>
        </w:tc>
      </w:tr>
    </w:tbl>
    <w:p>
      <w:pPr>
        <w:spacing w:after="100"/>
      </w:pPr>
      <w:r>
        <w:t xml:space="preserve"/>
      </w:r>
    </w:p>
    <w:p>
      <w:pPr>
        <w:pStyle w:val="Heading3"/>
        <w:spacing w:after="120" w:before="220"/>
      </w:pPr>
      <w:r>
        <w:rPr>
          <w:b/>
          <w:bCs/>
        </w:rPr>
        <w:t xml:space="preserve">Why use a language-specific tool</w:t>
      </w:r>
    </w:p>
    <w:p>
      <w:pPr>
        <w:spacing w:after="140"/>
        <w:jc w:val="both"/>
      </w:pPr>
      <w:r>
        <w:t xml:space="preserve">Several reasons to prefer the language-specific tool over syft/cdxgen when working within a single ecosystem:</w:t>
      </w:r>
    </w:p>
    <w:p>
      <w:pPr>
        <w:pStyle w:val="ListParagraph"/>
        <w:numPr>
          <w:ilvl w:val="0"/>
          <w:numId w:val="2"/>
        </w:numPr>
        <w:spacing w:after="80"/>
      </w:pPr>
      <w:r>
        <w:t xml:space="preserve">Build-time integration. Running cyclonedx-maven-plugin as part of the Maven build is automatic; running syft against the build output requires a separate step.</w:t>
      </w:r>
    </w:p>
    <w:p>
      <w:pPr>
        <w:pStyle w:val="ListParagraph"/>
        <w:numPr>
          <w:ilvl w:val="0"/>
          <w:numId w:val="2"/>
        </w:numPr>
        <w:spacing w:after="80"/>
      </w:pPr>
      <w:r>
        <w:t xml:space="preserve">Fine-grained scope. A language-specific tool can distinguish compile dependencies from runtime dependencies from test dependencies — distinctions that matter for some use cases but may be flattened by artifact scanners.</w:t>
      </w:r>
    </w:p>
    <w:p>
      <w:pPr>
        <w:pStyle w:val="ListParagraph"/>
        <w:numPr>
          <w:ilvl w:val="0"/>
          <w:numId w:val="2"/>
        </w:numPr>
        <w:spacing w:after="80"/>
      </w:pPr>
      <w:r>
        <w:t xml:space="preserve">Dev vs. prod. The tool can emit different SBOMs for different dependency scopes.</w:t>
      </w:r>
    </w:p>
    <w:p>
      <w:pPr>
        <w:pStyle w:val="ListParagraph"/>
        <w:numPr>
          <w:ilvl w:val="0"/>
          <w:numId w:val="2"/>
        </w:numPr>
        <w:spacing w:after="80"/>
      </w:pPr>
      <w:r>
        <w:t xml:space="preserve">Access to package-manager internals. The tool uses the package manager's own resolution logic, so its output matches what actually gets installed.</w:t>
      </w:r>
    </w:p>
    <w:p>
      <w:pPr>
        <w:pStyle w:val="Heading3"/>
        <w:spacing w:after="120" w:before="220"/>
      </w:pPr>
      <w:r>
        <w:rPr>
          <w:b/>
          <w:bCs/>
        </w:rPr>
        <w:t xml:space="preserve">Why still use an artifact scanner</w:t>
      </w:r>
    </w:p>
    <w:p>
      <w:pPr>
        <w:spacing w:after="140"/>
        <w:jc w:val="both"/>
      </w:pPr>
      <w:r>
        <w:t xml:space="preserve">Despite the advantages of language-specific tools, artifact scanners like syft remain valuable because:</w:t>
      </w:r>
    </w:p>
    <w:p>
      <w:pPr>
        <w:pStyle w:val="ListParagraph"/>
        <w:numPr>
          <w:ilvl w:val="0"/>
          <w:numId w:val="2"/>
        </w:numPr>
        <w:spacing w:after="80"/>
      </w:pPr>
      <w:r>
        <w:t xml:space="preserve">A production artifact typically has components from multiple ecosystems (Python app + OS packages, Java app + system libraries). An artifact scanner catches all of them in one pass.</w:t>
      </w:r>
    </w:p>
    <w:p>
      <w:pPr>
        <w:pStyle w:val="ListParagraph"/>
        <w:numPr>
          <w:ilvl w:val="0"/>
          <w:numId w:val="2"/>
        </w:numPr>
        <w:spacing w:after="80"/>
      </w:pPr>
      <w:r>
        <w:t xml:space="preserve">Artifact scanners catch components that the language-specific tool would miss — vendored libraries, statically-linked binaries, manually-copied files.</w:t>
      </w:r>
    </w:p>
    <w:p>
      <w:pPr>
        <w:pStyle w:val="ListParagraph"/>
        <w:numPr>
          <w:ilvl w:val="0"/>
          <w:numId w:val="2"/>
        </w:numPr>
        <w:spacing w:after="80"/>
      </w:pPr>
      <w:r>
        <w:t xml:space="preserve">Artifact scanning is a post-build verification step; language-specific tools are build-time integrations. Both have their place.</w:t>
      </w:r>
    </w:p>
    <w:p>
      <w:pPr>
        <w:spacing w:after="140"/>
        <w:jc w:val="both"/>
      </w:pPr>
      <w:r>
        <w:t xml:space="preserve">Many mature SBOM pipelines use both: language-specific tools during build for their respective ecosystems, plus an artifact scanner on the final built image for comprehensive coverage. The resulting SBOMs are merged into a single document describing the complete artifact.</w:t>
      </w:r>
    </w:p>
    <w:p>
      <w:pPr>
        <w:pStyle w:val="Heading2"/>
        <w:spacing w:after="160" w:before="280"/>
      </w:pPr>
      <w:r>
        <w:rPr>
          <w:b/>
          <w:bCs/>
        </w:rPr>
        <w:t xml:space="preserve">5.5 Build-System Integration</w:t>
      </w:r>
    </w:p>
    <w:p>
      <w:pPr>
        <w:spacing w:after="140"/>
        <w:jc w:val="both"/>
      </w:pPr>
      <w:r>
        <w:t xml:space="preserve">For the most reliable SBOM generation, integration with the build system is ideal. A few patterns for this:</w:t>
      </w:r>
    </w:p>
    <w:p>
      <w:pPr>
        <w:pStyle w:val="ListParagraph"/>
        <w:numPr>
          <w:ilvl w:val="0"/>
          <w:numId w:val="2"/>
        </w:numPr>
        <w:spacing w:after="80"/>
      </w:pPr>
      <w:r>
        <w:rPr>
          <w:b/>
          <w:bCs/>
        </w:rPr>
        <w:t xml:space="preserve">Build-plugin output. </w:t>
      </w:r>
      <w:r>
        <w:t xml:space="preserve">Maven plugins, Gradle plugins, npm scripts that run the SBOM generator as part of the build and attach the result as a build artifact.</w:t>
      </w:r>
    </w:p>
    <w:p>
      <w:pPr>
        <w:pStyle w:val="ListParagraph"/>
        <w:numPr>
          <w:ilvl w:val="0"/>
          <w:numId w:val="2"/>
        </w:numPr>
        <w:spacing w:after="80"/>
      </w:pPr>
      <w:r>
        <w:rPr>
          <w:b/>
          <w:bCs/>
        </w:rPr>
        <w:t xml:space="preserve">CI/CD pipeline step. </w:t>
      </w:r>
      <w:r>
        <w:t xml:space="preserve">A dedicated pipeline step after the main build runs syft or equivalent against the built artifact, with the SBOM stored alongside the artifact or in a dedicated SBOM registry.</w:t>
      </w:r>
    </w:p>
    <w:p>
      <w:pPr>
        <w:pStyle w:val="ListParagraph"/>
        <w:numPr>
          <w:ilvl w:val="0"/>
          <w:numId w:val="2"/>
        </w:numPr>
        <w:spacing w:after="80"/>
      </w:pPr>
      <w:r>
        <w:rPr>
          <w:b/>
          <w:bCs/>
        </w:rPr>
        <w:t xml:space="preserve">Container-build integration. </w:t>
      </w:r>
      <w:r>
        <w:t xml:space="preserve">Tools like Buildpacks, ko, and some container-build systems emit SBOMs natively as part of the build process. BuildKit (Docker's newer build engine) supports --sbom=true output.</w:t>
      </w:r>
    </w:p>
    <w:p>
      <w:pPr>
        <w:pStyle w:val="ListParagraph"/>
        <w:numPr>
          <w:ilvl w:val="0"/>
          <w:numId w:val="2"/>
        </w:numPr>
        <w:spacing w:after="80"/>
      </w:pPr>
      <w:r>
        <w:rPr>
          <w:b/>
          <w:bCs/>
        </w:rPr>
        <w:t xml:space="preserve">OCI attestation. </w:t>
      </w:r>
      <w:r>
        <w:t xml:space="preserve">Storing the SBOM as an OCI referring artifact, attached to the image in the registry. Pulls in tooling from the SLSA module (Module 2) for signed SBOM attestations.</w:t>
      </w:r>
    </w:p>
    <w:p>
      <w:pPr>
        <w:spacing w:after="140"/>
        <w:jc w:val="both"/>
      </w:pPr>
      <w:r>
        <w:t xml:space="preserve">The key property: generate the SBOM at the moment the artifact is built, not after the fact. An SBOM generated post-hoc by scanning a deployed artifact is a reasonable fallback, but the authoritative source is build-time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SBOM generation happens through a combination of general-purpose artifact scanners (syft is the dominant open-source tool; cdxgen is a CycloneDX-focused alternative) and language-specific generators that hook into build systems (cyclonedx-node, cyclonedx-python, cyclonedx-maven-plugin, and many others). Artifact scanners catch everything in a built artifact including OS packages and vendored libraries; language-specific tools are more accurate within their ecosystem and integrate naturally with build pipelines. Mature pipelines combine both approaches, generating SBOMs at build time as part of the normal CI/CD flow rather than after the fact.</w:t>
            </w:r>
          </w:p>
        </w:tc>
      </w:tr>
    </w:tbl>
    <w:p>
      <w:r>
        <w:br w:type="page"/>
      </w:r>
    </w:p>
    <w:p>
      <w:pPr>
        <w:pStyle w:val="Heading1"/>
        <w:spacing w:after="200" w:before="360"/>
      </w:pPr>
      <w:r>
        <w:rPr>
          <w:b/>
          <w:bCs/>
        </w:rPr>
        <w:t xml:space="preserve">Chapter 6: Consuming SBOMs — grype, osv-scanner, trivy</w:t>
      </w:r>
    </w:p>
    <w:p>
      <w:pPr>
        <w:pStyle w:val="Heading2"/>
        <w:spacing w:after="160" w:before="280"/>
      </w:pPr>
      <w:r>
        <w:rPr>
          <w:b/>
          <w:bCs/>
        </w:rPr>
        <w:t xml:space="preserve">6.1 Generation Without Consumption Is Paperwork</w:t>
      </w:r>
    </w:p>
    <w:p>
      <w:pPr>
        <w:spacing w:after="140"/>
        <w:jc w:val="both"/>
      </w:pPr>
      <w:r>
        <w:t xml:space="preserve">An SBOM that is generated, stored, and never examined delivers no security value. The value comes from consumption — from tools that read the SBOM and produce actionable output. The most common consumption is vulnerability scanning: take the SBOM, cross-reference every component against vulnerability databases, and produce a list of known issues in the artifact. This chapter addresses the tools that perform this scanning and the broader consumption patterns they enable.</w:t>
      </w:r>
    </w:p>
    <w:p>
      <w:pPr>
        <w:spacing w:after="140"/>
        <w:jc w:val="both"/>
      </w:pPr>
      <w:r>
        <w:t xml:space="preserve">Three tools dominate the open-source SBOM vulnerability scanning space: grype (from Anchore, pair to syft), osv-scanner (from Google, using the OSV.dev database), and trivy (from Aqua Security, broadly-scoped scanner). All three are actively maintained, all three are widely deployed, and all three produce high-quality output. The choice among them is often operational rather than technical.</w:t>
      </w:r>
    </w:p>
    <w:p>
      <w:pPr>
        <w:pStyle w:val="Heading2"/>
        <w:spacing w:after="160" w:before="280"/>
      </w:pPr>
      <w:r>
        <w:rPr>
          <w:b/>
          <w:bCs/>
        </w:rPr>
        <w:t xml:space="preserve">6.2 How Vulnerability Scanning Works</w:t>
      </w:r>
    </w:p>
    <w:p>
      <w:pPr>
        <w:spacing w:after="140"/>
        <w:jc w:val="both"/>
      </w:pPr>
      <w:r>
        <w:t xml:space="preserve">The basic flow for SBOM-based vulnerability scanning:</w:t>
      </w:r>
    </w:p>
    <w:p>
      <w:pPr>
        <w:pStyle w:val="ListParagraph"/>
        <w:numPr>
          <w:ilvl w:val="0"/>
          <w:numId w:val="2"/>
        </w:numPr>
        <w:spacing w:after="80"/>
      </w:pPr>
      <w:r>
        <w:t xml:space="preserve">The scanner ingests an SBOM (or runs its own scan to produce one internally).</w:t>
      </w:r>
    </w:p>
    <w:p>
      <w:pPr>
        <w:pStyle w:val="ListParagraph"/>
        <w:numPr>
          <w:ilvl w:val="0"/>
          <w:numId w:val="2"/>
        </w:numPr>
        <w:spacing w:after="80"/>
      </w:pPr>
      <w:r>
        <w:t xml:space="preserve">For each component, the scanner looks up known vulnerabilities in one or more vulnerability databases.</w:t>
      </w:r>
    </w:p>
    <w:p>
      <w:pPr>
        <w:pStyle w:val="ListParagraph"/>
        <w:numPr>
          <w:ilvl w:val="0"/>
          <w:numId w:val="2"/>
        </w:numPr>
        <w:spacing w:after="80"/>
      </w:pPr>
      <w:r>
        <w:t xml:space="preserve">Component identification uses Package URLs (purls) or CPEs to match against the database's entries.</w:t>
      </w:r>
    </w:p>
    <w:p>
      <w:pPr>
        <w:pStyle w:val="ListParagraph"/>
        <w:numPr>
          <w:ilvl w:val="0"/>
          <w:numId w:val="2"/>
        </w:numPr>
        <w:spacing w:after="80"/>
      </w:pPr>
      <w:r>
        <w:t xml:space="preserve">For each match, the scanner emits a finding: component name, version, CVE ID, severity, and typically a fixed version.</w:t>
      </w:r>
    </w:p>
    <w:p>
      <w:pPr>
        <w:pStyle w:val="ListParagraph"/>
        <w:numPr>
          <w:ilvl w:val="0"/>
          <w:numId w:val="2"/>
        </w:numPr>
        <w:spacing w:after="80"/>
      </w:pPr>
      <w:r>
        <w:t xml:space="preserve">Output is typically in one of several formats: human-readable tables, JSON for further processing, SARIF for CI/CD integration, or specific formats for dashboarding tools.</w:t>
      </w:r>
    </w:p>
    <w:p>
      <w:pPr>
        <w:spacing w:after="140"/>
        <w:jc w:val="both"/>
      </w:pPr>
      <w:r>
        <w:t xml:space="preserve">Several technical details matter:</w:t>
      </w:r>
    </w:p>
    <w:p>
      <w:pPr>
        <w:pStyle w:val="ListParagraph"/>
        <w:numPr>
          <w:ilvl w:val="0"/>
          <w:numId w:val="2"/>
        </w:numPr>
        <w:spacing w:after="80"/>
      </w:pPr>
      <w:r>
        <w:rPr>
          <w:b/>
          <w:bCs/>
        </w:rPr>
        <w:t xml:space="preserve">Database source matters. </w:t>
      </w:r>
      <w:r>
        <w:t xml:space="preserve">Vulnerability data comes from NVD (US National Vulnerability Database), OSV.dev (Google's open vulnerability database), GitHub Security Advisory Database, language-specific advisory databases (RustSec, PyUp, npm advisories), and commercial-data providers. Different scanners emphasize different sources, which is why the same component scanned by different tools can produce different results.</w:t>
      </w:r>
    </w:p>
    <w:p>
      <w:pPr>
        <w:pStyle w:val="ListParagraph"/>
        <w:numPr>
          <w:ilvl w:val="0"/>
          <w:numId w:val="2"/>
        </w:numPr>
        <w:spacing w:after="80"/>
      </w:pPr>
      <w:r>
        <w:rPr>
          <w:b/>
          <w:bCs/>
        </w:rPr>
        <w:t xml:space="preserve">Matching precision matters. </w:t>
      </w:r>
      <w:r>
        <w:t xml:space="preserve">A coarse matcher may flag every version of log4j as vulnerable to a bug that only affects specific versions. A precise matcher correctly filters out versions that are not affected. Precision has improved substantially in recent years across all major scanners.</w:t>
      </w:r>
    </w:p>
    <w:p>
      <w:pPr>
        <w:pStyle w:val="ListParagraph"/>
        <w:numPr>
          <w:ilvl w:val="0"/>
          <w:numId w:val="2"/>
        </w:numPr>
        <w:spacing w:after="80"/>
      </w:pPr>
      <w:r>
        <w:rPr>
          <w:b/>
          <w:bCs/>
        </w:rPr>
        <w:t xml:space="preserve">False positives are common. </w:t>
      </w:r>
      <w:r>
        <w:t xml:space="preserve">A vulnerability may technically exist in a dependency but not be reachable in your application. Discriminating reachable-and-exploitable vulnerabilities from technically-present-but-unreachable ones is the VEX / reachability-analysis frontier, still evolving.</w:t>
      </w:r>
    </w:p>
    <w:p>
      <w:pPr>
        <w:pStyle w:val="Heading2"/>
        <w:spacing w:after="160" w:before="280"/>
      </w:pPr>
      <w:r>
        <w:rPr>
          <w:b/>
          <w:bCs/>
        </w:rPr>
        <w:t xml:space="preserve">6.3 grype — The Anchore Scanner</w:t>
      </w:r>
    </w:p>
    <w:p>
      <w:pPr>
        <w:spacing w:after="140"/>
        <w:jc w:val="both"/>
      </w:pPr>
      <w:r>
        <w:t xml:space="preserve">grype is the Anchore-maintained vulnerability scanner that pairs with syft. It can consume SBOMs in multiple formats (including its own syft-native format, which retains more internal information than standard SBOMs), or it can scan artifacts directly without a pre-existing SBOM.</w:t>
      </w:r>
    </w:p>
    <w:p>
      <w:pPr>
        <w:pStyle w:val="Heading3"/>
        <w:spacing w:after="120" w:before="220"/>
      </w:pPr>
      <w:r>
        <w:rPr>
          <w:b/>
          <w:bCs/>
        </w:rPr>
        <w:t xml:space="preserve">Installation and usage</w:t>
      </w:r>
    </w:p>
    <w:p>
      <w:pPr>
        <w:shd w:fill="F2F2F2" w:val="clear"/>
        <w:spacing w:after="40" w:before="40"/>
        <w:ind w:left="360"/>
      </w:pPr>
      <w:r>
        <w:rPr>
          <w:rFonts w:ascii="Consolas" w:cs="Consolas" w:eastAsia="Consolas" w:hAnsi="Consolas"/>
          <w:sz w:val="20"/>
          <w:szCs w:val="20"/>
        </w:rPr>
        <w:t xml:space="preserve"># Install</w:t>
      </w:r>
    </w:p>
    <w:p>
      <w:pPr>
        <w:shd w:fill="F2F2F2" w:val="clear"/>
        <w:spacing w:after="40" w:before="40"/>
        <w:ind w:left="360"/>
      </w:pPr>
      <w:r>
        <w:rPr>
          <w:rFonts w:ascii="Consolas" w:cs="Consolas" w:eastAsia="Consolas" w:hAnsi="Consolas"/>
          <w:sz w:val="20"/>
          <w:szCs w:val="20"/>
        </w:rPr>
        <w:t xml:space="preserve">curl -sSfL https://raw.githubusercontent.com/anchore/grype/main/install.sh | sh -s -- -b /usr/local/bin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Scan a container image directly</w:t>
      </w:r>
    </w:p>
    <w:p>
      <w:pPr>
        <w:shd w:fill="F2F2F2" w:val="clear"/>
        <w:spacing w:after="40" w:before="40"/>
        <w:ind w:left="360"/>
      </w:pPr>
      <w:r>
        <w:rPr>
          <w:rFonts w:ascii="Consolas" w:cs="Consolas" w:eastAsia="Consolas" w:hAnsi="Consolas"/>
          <w:sz w:val="20"/>
          <w:szCs w:val="20"/>
        </w:rPr>
        <w:t xml:space="preserve">grype nginx:1.25</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Scan from an existing SBOM</w:t>
      </w:r>
    </w:p>
    <w:p>
      <w:pPr>
        <w:shd w:fill="F2F2F2" w:val="clear"/>
        <w:spacing w:after="40" w:before="40"/>
        <w:ind w:left="360"/>
      </w:pPr>
      <w:r>
        <w:rPr>
          <w:rFonts w:ascii="Consolas" w:cs="Consolas" w:eastAsia="Consolas" w:hAnsi="Consolas"/>
          <w:sz w:val="20"/>
          <w:szCs w:val="20"/>
        </w:rPr>
        <w:t xml:space="preserve">grype sbom:./nginx-sbom.json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Output as JSON for CI processing</w:t>
      </w:r>
    </w:p>
    <w:p>
      <w:pPr>
        <w:shd w:fill="F2F2F2" w:val="clear"/>
        <w:spacing w:after="40" w:before="40"/>
        <w:ind w:left="360"/>
      </w:pPr>
      <w:r>
        <w:rPr>
          <w:rFonts w:ascii="Consolas" w:cs="Consolas" w:eastAsia="Consolas" w:hAnsi="Consolas"/>
          <w:sz w:val="20"/>
          <w:szCs w:val="20"/>
        </w:rPr>
        <w:t xml:space="preserve">grype nginx:1.25 -o json &gt; vulnerabilities.json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Fail the build on high-severity vulns</w:t>
      </w:r>
    </w:p>
    <w:p>
      <w:pPr>
        <w:shd w:fill="F2F2F2" w:val="clear"/>
        <w:spacing w:after="40" w:before="40"/>
        <w:ind w:left="360"/>
      </w:pPr>
      <w:r>
        <w:rPr>
          <w:rFonts w:ascii="Consolas" w:cs="Consolas" w:eastAsia="Consolas" w:hAnsi="Consolas"/>
          <w:sz w:val="20"/>
          <w:szCs w:val="20"/>
        </w:rPr>
        <w:t xml:space="preserve">grype nginx:1.25 --fail-on high</w:t>
      </w:r>
    </w:p>
    <w:p>
      <w:pPr>
        <w:pStyle w:val="Heading3"/>
        <w:spacing w:after="120" w:before="220"/>
      </w:pPr>
      <w:r>
        <w:rPr>
          <w:b/>
          <w:bCs/>
        </w:rPr>
        <w:t xml:space="preserve">Database</w:t>
      </w:r>
    </w:p>
    <w:p>
      <w:pPr>
        <w:spacing w:after="140"/>
        <w:jc w:val="both"/>
      </w:pPr>
      <w:r>
        <w:t xml:space="preserve">grype pulls vulnerability data from its own curated database (maintained by Anchore) which aggregates NVD, OSS Index, GitHub Security Advisories, and various OS-specific advisory sources. The database updates are fetched at scan time (or cached locally for air-gapped environments).</w:t>
      </w:r>
    </w:p>
    <w:p>
      <w:pPr>
        <w:pStyle w:val="Heading3"/>
        <w:spacing w:after="120" w:before="220"/>
      </w:pPr>
      <w:r>
        <w:rPr>
          <w:b/>
          <w:bCs/>
        </w:rPr>
        <w:t xml:space="preserve">Strengths</w:t>
      </w:r>
    </w:p>
    <w:p>
      <w:pPr>
        <w:pStyle w:val="ListParagraph"/>
        <w:numPr>
          <w:ilvl w:val="0"/>
          <w:numId w:val="2"/>
        </w:numPr>
        <w:spacing w:after="80"/>
      </w:pPr>
      <w:r>
        <w:t xml:space="preserve">Tight integration with syft (same vendor, same philosophy).</w:t>
      </w:r>
    </w:p>
    <w:p>
      <w:pPr>
        <w:pStyle w:val="ListParagraph"/>
        <w:numPr>
          <w:ilvl w:val="0"/>
          <w:numId w:val="2"/>
        </w:numPr>
        <w:spacing w:after="80"/>
      </w:pPr>
      <w:r>
        <w:t xml:space="preserve">Broad ecosystem support matching syft's coverage.</w:t>
      </w:r>
    </w:p>
    <w:p>
      <w:pPr>
        <w:pStyle w:val="ListParagraph"/>
        <w:numPr>
          <w:ilvl w:val="0"/>
          <w:numId w:val="2"/>
        </w:numPr>
        <w:spacing w:after="80"/>
      </w:pPr>
      <w:r>
        <w:t xml:space="preserve">Fast and lightweight; suitable for CI pipelines with latency sensitivity.</w:t>
      </w:r>
    </w:p>
    <w:p>
      <w:pPr>
        <w:pStyle w:val="ListParagraph"/>
        <w:numPr>
          <w:ilvl w:val="0"/>
          <w:numId w:val="2"/>
        </w:numPr>
        <w:spacing w:after="80"/>
      </w:pPr>
      <w:r>
        <w:t xml:space="preserve">Support for VEX consumption — if you have a VEX statement saying 'this vulnerability is not exploitable in our context,' grype can filter it out.</w:t>
      </w:r>
    </w:p>
    <w:p>
      <w:pPr>
        <w:pStyle w:val="Heading2"/>
        <w:spacing w:after="160" w:before="280"/>
      </w:pPr>
      <w:r>
        <w:rPr>
          <w:b/>
          <w:bCs/>
        </w:rPr>
        <w:t xml:space="preserve">6.4 osv-scanner — The Google OSV-Based Scanner</w:t>
      </w:r>
    </w:p>
    <w:p>
      <w:pPr>
        <w:spacing w:after="140"/>
        <w:jc w:val="both"/>
      </w:pPr>
      <w:r>
        <w:t xml:space="preserve">osv-scanner is Google's scanner, designed around the OSV.dev vulnerability database. OSV.dev is notable because its schema is purpose-built for open-source vulnerabilities and it aggregates data from many language-specific sources (GitHub, language registries, OS advisories) in a normalized form.</w:t>
      </w:r>
    </w:p>
    <w:p>
      <w:pPr>
        <w:pStyle w:val="Heading3"/>
        <w:spacing w:after="120" w:before="220"/>
      </w:pPr>
      <w:r>
        <w:rPr>
          <w:b/>
          <w:bCs/>
        </w:rPr>
        <w:t xml:space="preserve">Usage</w:t>
      </w:r>
    </w:p>
    <w:p>
      <w:pPr>
        <w:shd w:fill="F2F2F2" w:val="clear"/>
        <w:spacing w:after="40" w:before="40"/>
        <w:ind w:left="360"/>
      </w:pPr>
      <w:r>
        <w:rPr>
          <w:rFonts w:ascii="Consolas" w:cs="Consolas" w:eastAsia="Consolas" w:hAnsi="Consolas"/>
          <w:sz w:val="20"/>
          <w:szCs w:val="20"/>
        </w:rPr>
        <w:t xml:space="preserve"># Install</w:t>
      </w:r>
    </w:p>
    <w:p>
      <w:pPr>
        <w:shd w:fill="F2F2F2" w:val="clear"/>
        <w:spacing w:after="40" w:before="40"/>
        <w:ind w:left="360"/>
      </w:pPr>
      <w:r>
        <w:rPr>
          <w:rFonts w:ascii="Consolas" w:cs="Consolas" w:eastAsia="Consolas" w:hAnsi="Consolas"/>
          <w:sz w:val="20"/>
          <w:szCs w:val="20"/>
        </w:rPr>
        <w:t xml:space="preserve">go install github.com/google/osv-scanner/cmd/osv-scanner@v1</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Scan a directory</w:t>
      </w:r>
    </w:p>
    <w:p>
      <w:pPr>
        <w:shd w:fill="F2F2F2" w:val="clear"/>
        <w:spacing w:after="40" w:before="40"/>
        <w:ind w:left="360"/>
      </w:pPr>
      <w:r>
        <w:rPr>
          <w:rFonts w:ascii="Consolas" w:cs="Consolas" w:eastAsia="Consolas" w:hAnsi="Consolas"/>
          <w:sz w:val="20"/>
          <w:szCs w:val="20"/>
        </w:rPr>
        <w:t xml:space="preserve">osv-scanner -r ./my-project</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Scan a container image</w:t>
      </w:r>
    </w:p>
    <w:p>
      <w:pPr>
        <w:shd w:fill="F2F2F2" w:val="clear"/>
        <w:spacing w:after="40" w:before="40"/>
        <w:ind w:left="360"/>
      </w:pPr>
      <w:r>
        <w:rPr>
          <w:rFonts w:ascii="Consolas" w:cs="Consolas" w:eastAsia="Consolas" w:hAnsi="Consolas"/>
          <w:sz w:val="20"/>
          <w:szCs w:val="20"/>
        </w:rPr>
        <w:t xml:space="preserve">osv-scanner --docker nginx:1.25</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Scan from an SBOM</w:t>
      </w:r>
    </w:p>
    <w:p>
      <w:pPr>
        <w:shd w:fill="F2F2F2" w:val="clear"/>
        <w:spacing w:after="40" w:before="40"/>
        <w:ind w:left="360"/>
      </w:pPr>
      <w:r>
        <w:rPr>
          <w:rFonts w:ascii="Consolas" w:cs="Consolas" w:eastAsia="Consolas" w:hAnsi="Consolas"/>
          <w:sz w:val="20"/>
          <w:szCs w:val="20"/>
        </w:rPr>
        <w:t xml:space="preserve">osv-scanner --sbom ./bom.json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JSON output</w:t>
      </w:r>
    </w:p>
    <w:p>
      <w:pPr>
        <w:shd w:fill="F2F2F2" w:val="clear"/>
        <w:spacing w:after="40" w:before="40"/>
        <w:ind w:left="360"/>
      </w:pPr>
      <w:r>
        <w:rPr>
          <w:rFonts w:ascii="Consolas" w:cs="Consolas" w:eastAsia="Consolas" w:hAnsi="Consolas"/>
          <w:sz w:val="20"/>
          <w:szCs w:val="20"/>
        </w:rPr>
        <w:t xml:space="preserve">osv-scanner --format json -r ./my-project</w:t>
      </w:r>
    </w:p>
    <w:p>
      <w:pPr>
        <w:pStyle w:val="Heading3"/>
        <w:spacing w:after="120" w:before="220"/>
      </w:pPr>
      <w:r>
        <w:rPr>
          <w:b/>
          <w:bCs/>
        </w:rPr>
        <w:t xml:space="preserve">The OSV philosophy</w:t>
      </w:r>
    </w:p>
    <w:p>
      <w:pPr>
        <w:spacing w:after="140"/>
        <w:jc w:val="both"/>
      </w:pPr>
      <w:r>
        <w:t xml:space="preserve">osv-scanner embodies several design choices that differ from grype's:</w:t>
      </w:r>
    </w:p>
    <w:p>
      <w:pPr>
        <w:pStyle w:val="ListParagraph"/>
        <w:numPr>
          <w:ilvl w:val="0"/>
          <w:numId w:val="2"/>
        </w:numPr>
        <w:spacing w:after="80"/>
      </w:pPr>
      <w:r>
        <w:t xml:space="preserve">OSV.dev's schema is normalized across sources — a single vulnerability is represented uniformly whether it came from GitHub, npm, or NVD.</w:t>
      </w:r>
    </w:p>
    <w:p>
      <w:pPr>
        <w:pStyle w:val="ListParagraph"/>
        <w:numPr>
          <w:ilvl w:val="0"/>
          <w:numId w:val="2"/>
        </w:numPr>
        <w:spacing w:after="80"/>
      </w:pPr>
      <w:r>
        <w:t xml:space="preserve">Affected-version ranges are expressed using the ecosystem's own version semantics, making matching more precise.</w:t>
      </w:r>
    </w:p>
    <w:p>
      <w:pPr>
        <w:pStyle w:val="ListParagraph"/>
        <w:numPr>
          <w:ilvl w:val="0"/>
          <w:numId w:val="2"/>
        </w:numPr>
        <w:spacing w:after="80"/>
      </w:pPr>
      <w:r>
        <w:t xml:space="preserve">Vulnerability entries include machine-readable 'fixed' information, letting scanners emit specific upgrade recommendations.</w:t>
      </w:r>
    </w:p>
    <w:p>
      <w:pPr>
        <w:pStyle w:val="ListParagraph"/>
        <w:numPr>
          <w:ilvl w:val="0"/>
          <w:numId w:val="2"/>
        </w:numPr>
        <w:spacing w:after="80"/>
      </w:pPr>
      <w:r>
        <w:t xml:space="preserve">The project is open about its aggregation sources, making it easy to understand why a specific finding is reported.</w:t>
      </w:r>
    </w:p>
    <w:p>
      <w:pPr>
        <w:pStyle w:val="Heading3"/>
        <w:spacing w:after="120" w:before="220"/>
      </w:pPr>
      <w:r>
        <w:rPr>
          <w:b/>
          <w:bCs/>
        </w:rPr>
        <w:t xml:space="preserve">Strengths</w:t>
      </w:r>
    </w:p>
    <w:p>
      <w:pPr>
        <w:pStyle w:val="ListParagraph"/>
        <w:numPr>
          <w:ilvl w:val="0"/>
          <w:numId w:val="2"/>
        </w:numPr>
        <w:spacing w:after="80"/>
      </w:pPr>
      <w:r>
        <w:t xml:space="preserve">High-precision matching due to OSV.dev's ecosystem-aware version semantics.</w:t>
      </w:r>
    </w:p>
    <w:p>
      <w:pPr>
        <w:pStyle w:val="ListParagraph"/>
        <w:numPr>
          <w:ilvl w:val="0"/>
          <w:numId w:val="2"/>
        </w:numPr>
        <w:spacing w:after="80"/>
      </w:pPr>
      <w:r>
        <w:t xml:space="preserve">Strong coverage of language ecosystems, especially newer ones.</w:t>
      </w:r>
    </w:p>
    <w:p>
      <w:pPr>
        <w:pStyle w:val="ListParagraph"/>
        <w:numPr>
          <w:ilvl w:val="0"/>
          <w:numId w:val="2"/>
        </w:numPr>
        <w:spacing w:after="80"/>
      </w:pPr>
      <w:r>
        <w:t xml:space="preserve">Integrates cleanly with GitHub (osv-scanner can produce SARIF for GitHub Security tab integration).</w:t>
      </w:r>
    </w:p>
    <w:p>
      <w:pPr>
        <w:pStyle w:val="ListParagraph"/>
        <w:numPr>
          <w:ilvl w:val="0"/>
          <w:numId w:val="2"/>
        </w:numPr>
        <w:spacing w:after="80"/>
      </w:pPr>
      <w:r>
        <w:t xml:space="preserve">Backed by Google's ongoing investment in OSV.dev infrastructure.</w:t>
      </w:r>
    </w:p>
    <w:p>
      <w:pPr>
        <w:pStyle w:val="Heading2"/>
        <w:spacing w:after="160" w:before="280"/>
      </w:pPr>
      <w:r>
        <w:rPr>
          <w:b/>
          <w:bCs/>
        </w:rPr>
        <w:t xml:space="preserve">6.5 trivy — The Aqua Security Scanner</w:t>
      </w:r>
    </w:p>
    <w:p>
      <w:pPr>
        <w:spacing w:after="140"/>
        <w:jc w:val="both"/>
      </w:pPr>
      <w:r>
        <w:t xml:space="preserve">trivy is Aqua Security's scanner, which has grown to encompass a wider range of capabilities than pure SBOM-based vulnerability scanning. In addition to vulnerabilities, trivy handles misconfigurations (IaC security), secret scanning, license detection, and SBOM generation. It is positioned as an all-in-one scanner for container and cloud-native workloads.</w:t>
      </w:r>
    </w:p>
    <w:p>
      <w:pPr>
        <w:pStyle w:val="Heading3"/>
        <w:spacing w:after="120" w:before="220"/>
      </w:pPr>
      <w:r>
        <w:rPr>
          <w:b/>
          <w:bCs/>
        </w:rPr>
        <w:t xml:space="preserve">Usage</w:t>
      </w:r>
    </w:p>
    <w:p>
      <w:pPr>
        <w:shd w:fill="F2F2F2" w:val="clear"/>
        <w:spacing w:after="40" w:before="40"/>
        <w:ind w:left="360"/>
      </w:pPr>
      <w:r>
        <w:rPr>
          <w:rFonts w:ascii="Consolas" w:cs="Consolas" w:eastAsia="Consolas" w:hAnsi="Consolas"/>
          <w:sz w:val="20"/>
          <w:szCs w:val="20"/>
        </w:rPr>
        <w:t xml:space="preserve"># Install</w:t>
      </w:r>
    </w:p>
    <w:p>
      <w:pPr>
        <w:shd w:fill="F2F2F2" w:val="clear"/>
        <w:spacing w:after="40" w:before="40"/>
        <w:ind w:left="360"/>
      </w:pPr>
      <w:r>
        <w:rPr>
          <w:rFonts w:ascii="Consolas" w:cs="Consolas" w:eastAsia="Consolas" w:hAnsi="Consolas"/>
          <w:sz w:val="20"/>
          <w:szCs w:val="20"/>
        </w:rPr>
        <w:t xml:space="preserve">brew install trivy   # or see docs for other installers</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Scan a container image for vulns</w:t>
      </w:r>
    </w:p>
    <w:p>
      <w:pPr>
        <w:shd w:fill="F2F2F2" w:val="clear"/>
        <w:spacing w:after="40" w:before="40"/>
        <w:ind w:left="360"/>
      </w:pPr>
      <w:r>
        <w:rPr>
          <w:rFonts w:ascii="Consolas" w:cs="Consolas" w:eastAsia="Consolas" w:hAnsi="Consolas"/>
          <w:sz w:val="20"/>
          <w:szCs w:val="20"/>
        </w:rPr>
        <w:t xml:space="preserve">trivy image nginx:1.25</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Scan from an SBOM</w:t>
      </w:r>
    </w:p>
    <w:p>
      <w:pPr>
        <w:shd w:fill="F2F2F2" w:val="clear"/>
        <w:spacing w:after="40" w:before="40"/>
        <w:ind w:left="360"/>
      </w:pPr>
      <w:r>
        <w:rPr>
          <w:rFonts w:ascii="Consolas" w:cs="Consolas" w:eastAsia="Consolas" w:hAnsi="Consolas"/>
          <w:sz w:val="20"/>
          <w:szCs w:val="20"/>
        </w:rPr>
        <w:t xml:space="preserve">trivy sbom ./bom.json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Scan a filesystem</w:t>
      </w:r>
    </w:p>
    <w:p>
      <w:pPr>
        <w:shd w:fill="F2F2F2" w:val="clear"/>
        <w:spacing w:after="40" w:before="40"/>
        <w:ind w:left="360"/>
      </w:pPr>
      <w:r>
        <w:rPr>
          <w:rFonts w:ascii="Consolas" w:cs="Consolas" w:eastAsia="Consolas" w:hAnsi="Consolas"/>
          <w:sz w:val="20"/>
          <w:szCs w:val="20"/>
        </w:rPr>
        <w:t xml:space="preserve">trivy fs ./my-project</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Also check Kubernetes manifests for misconfigurations</w:t>
      </w:r>
    </w:p>
    <w:p>
      <w:pPr>
        <w:shd w:fill="F2F2F2" w:val="clear"/>
        <w:spacing w:after="40" w:before="40"/>
        <w:ind w:left="360"/>
      </w:pPr>
      <w:r>
        <w:rPr>
          <w:rFonts w:ascii="Consolas" w:cs="Consolas" w:eastAsia="Consolas" w:hAnsi="Consolas"/>
          <w:sz w:val="20"/>
          <w:szCs w:val="20"/>
        </w:rPr>
        <w:t xml:space="preserve">trivy config ./k8s-manifests</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Generate CycloneDX SBOM (trivy can also generate SBOMs)</w:t>
      </w:r>
    </w:p>
    <w:p>
      <w:pPr>
        <w:shd w:fill="F2F2F2" w:val="clear"/>
        <w:spacing w:after="40" w:before="40"/>
        <w:ind w:left="360"/>
      </w:pPr>
      <w:r>
        <w:rPr>
          <w:rFonts w:ascii="Consolas" w:cs="Consolas" w:eastAsia="Consolas" w:hAnsi="Consolas"/>
          <w:sz w:val="20"/>
          <w:szCs w:val="20"/>
        </w:rPr>
        <w:t xml:space="preserve">trivy image --format cyclonedx --output bom.json nginx:1.25</w:t>
      </w:r>
    </w:p>
    <w:p>
      <w:pPr>
        <w:pStyle w:val="Heading3"/>
        <w:spacing w:after="120" w:before="220"/>
      </w:pPr>
      <w:r>
        <w:rPr>
          <w:b/>
          <w:bCs/>
        </w:rPr>
        <w:t xml:space="preserve">Strengths</w:t>
      </w:r>
    </w:p>
    <w:p>
      <w:pPr>
        <w:pStyle w:val="ListParagraph"/>
        <w:numPr>
          <w:ilvl w:val="0"/>
          <w:numId w:val="2"/>
        </w:numPr>
        <w:spacing w:after="80"/>
      </w:pPr>
      <w:r>
        <w:t xml:space="preserve">Broad capabilities beyond just vulnerability scanning — one tool for several common CI/CD needs.</w:t>
      </w:r>
    </w:p>
    <w:p>
      <w:pPr>
        <w:pStyle w:val="ListParagraph"/>
        <w:numPr>
          <w:ilvl w:val="0"/>
          <w:numId w:val="2"/>
        </w:numPr>
        <w:spacing w:after="80"/>
      </w:pPr>
      <w:r>
        <w:t xml:space="preserve">Strong support for Kubernetes and cloud-native scanning (IaC, cluster scanning).</w:t>
      </w:r>
    </w:p>
    <w:p>
      <w:pPr>
        <w:pStyle w:val="ListParagraph"/>
        <w:numPr>
          <w:ilvl w:val="0"/>
          <w:numId w:val="2"/>
        </w:numPr>
        <w:spacing w:after="80"/>
      </w:pPr>
      <w:r>
        <w:t xml:space="preserve">Active development with frequent releases and new capabilities.</w:t>
      </w:r>
    </w:p>
    <w:p>
      <w:pPr>
        <w:pStyle w:val="ListParagraph"/>
        <w:numPr>
          <w:ilvl w:val="0"/>
          <w:numId w:val="2"/>
        </w:numPr>
        <w:spacing w:after="80"/>
      </w:pPr>
      <w:r>
        <w:t xml:space="preserve">Official integrations with many CI systems and security platforms.</w:t>
      </w:r>
    </w:p>
    <w:p>
      <w:pPr>
        <w:pStyle w:val="Heading2"/>
        <w:spacing w:after="160" w:before="280"/>
      </w:pPr>
      <w:r>
        <w:rPr>
          <w:b/>
          <w:bCs/>
        </w:rPr>
        <w:t xml:space="preserve">6.6 Comparing the Three Scanners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Scanner</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Primary database</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Strengths</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Best for</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grype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Anchore-curated (multi-source)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Tight syft integration, fast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CI/CD pipelines using syft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osv-scanner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OSV.dev</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Ecosystem-aware precision, GitHub integration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Language-heavy codebases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trivy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Aggregated + Aqua commercial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All-in-one: vulns + IaC + secrets + SBOM gen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Kubernetes / cloud-native teams</w:t>
            </w:r>
          </w:p>
        </w:tc>
      </w:tr>
    </w:tbl>
    <w:p>
      <w:pPr>
        <w:spacing w:after="100"/>
      </w:pPr>
      <w:r>
        <w:t xml:space="preserve"/>
      </w:r>
    </w:p>
    <w:p>
      <w:pPr>
        <w:spacing w:after="140"/>
        <w:jc w:val="both"/>
      </w:pPr>
      <w:r>
        <w:t xml:space="preserve">Many organizations run multiple scanners and aggregate results. The Venn diagram of what each catches is imperfect: grype may flag vulnerabilities osv-scanner misses and vice versa. For high-assurance contexts, running two or three scanners and deduplicating is the belt-and-suspenders approach. For simpler contexts, pick one that fits your tooling and commit to it.</w:t>
      </w:r>
    </w:p>
    <w:p>
      <w:pPr>
        <w:pStyle w:val="Heading2"/>
        <w:spacing w:after="160" w:before="280"/>
      </w:pPr>
      <w:r>
        <w:rPr>
          <w:b/>
          <w:bCs/>
        </w:rPr>
        <w:t xml:space="preserve">6.7 VEX — Separating Signal from Noise</w:t>
      </w:r>
    </w:p>
    <w:p>
      <w:pPr>
        <w:spacing w:after="140"/>
        <w:jc w:val="both"/>
      </w:pPr>
      <w:r>
        <w:t xml:space="preserve">One of the significant challenges with SBOM-based vulnerability scanning is the signal-to-noise ratio. A scanner might flag 200 CVEs in an artifact; of those, perhaps 20 are genuinely exploitable in the context of the specific application. The other 180 are technically present (the vulnerable code is in the artifact) but not reachable (the code is never executed, or it is only reached with inputs the application controls safely). Filtering the noise is essential for the scan results to be actionable.</w:t>
      </w:r>
    </w:p>
    <w:p>
      <w:pPr>
        <w:spacing w:after="140"/>
        <w:jc w:val="both"/>
      </w:pPr>
      <w:r>
        <w:t xml:space="preserve">VEX (Vulnerability Exploitability eXchange) is the standard for this filtering. A VEX statement asserts, for a specific (product, vulnerability) pair, one of:</w:t>
      </w:r>
    </w:p>
    <w:p>
      <w:pPr>
        <w:pStyle w:val="ListParagraph"/>
        <w:numPr>
          <w:ilvl w:val="0"/>
          <w:numId w:val="2"/>
        </w:numPr>
        <w:spacing w:after="80"/>
      </w:pPr>
      <w:r>
        <w:t xml:space="preserve">not_affected — the vulnerability does not affect this product.</w:t>
      </w:r>
    </w:p>
    <w:p>
      <w:pPr>
        <w:pStyle w:val="ListParagraph"/>
        <w:numPr>
          <w:ilvl w:val="0"/>
          <w:numId w:val="2"/>
        </w:numPr>
        <w:spacing w:after="80"/>
      </w:pPr>
      <w:r>
        <w:t xml:space="preserve">affected — the vulnerability affects this product.</w:t>
      </w:r>
    </w:p>
    <w:p>
      <w:pPr>
        <w:pStyle w:val="ListParagraph"/>
        <w:numPr>
          <w:ilvl w:val="0"/>
          <w:numId w:val="2"/>
        </w:numPr>
        <w:spacing w:after="80"/>
      </w:pPr>
      <w:r>
        <w:t xml:space="preserve">fixed — the vulnerability was fixed in a specific version.</w:t>
      </w:r>
    </w:p>
    <w:p>
      <w:pPr>
        <w:pStyle w:val="ListParagraph"/>
        <w:numPr>
          <w:ilvl w:val="0"/>
          <w:numId w:val="2"/>
        </w:numPr>
        <w:spacing w:after="80"/>
      </w:pPr>
      <w:r>
        <w:t xml:space="preserve">under_investigation — the disposition is being determined.</w:t>
      </w:r>
    </w:p>
    <w:p>
      <w:pPr>
        <w:spacing w:after="140"/>
        <w:jc w:val="both"/>
      </w:pPr>
      <w:r>
        <w:t xml:space="preserve">Modern scanners (grype, trivy, osv-scanner) can consume VEX statements and filter results accordingly. A pipeline can scan an artifact, produce a raw vulnerability list, apply the team's own VEX statements for known-non-exploitable findings, and emit only the remaining actionable findings. This is how organizations with large SBOM footprints keep their vulnerability queues manageable.</w:t>
      </w:r>
    </w:p>
    <w:p>
      <w:pPr>
        <w:pStyle w:val="Heading2"/>
        <w:spacing w:after="160" w:before="280"/>
      </w:pPr>
      <w:r>
        <w:rPr>
          <w:b/>
          <w:bCs/>
        </w:rPr>
        <w:t xml:space="preserve">6.8 Beyond Vulnerability Scanning</w:t>
      </w:r>
    </w:p>
    <w:p>
      <w:pPr>
        <w:spacing w:after="140"/>
        <w:jc w:val="both"/>
      </w:pPr>
      <w:r>
        <w:t xml:space="preserve">SBOM consumption is not limited to vulnerability matching. Other consumers:</w:t>
      </w:r>
    </w:p>
    <w:p>
      <w:pPr>
        <w:pStyle w:val="ListParagraph"/>
        <w:numPr>
          <w:ilvl w:val="0"/>
          <w:numId w:val="2"/>
        </w:numPr>
        <w:spacing w:after="80"/>
      </w:pPr>
      <w:r>
        <w:rPr>
          <w:b/>
          <w:bCs/>
        </w:rPr>
        <w:t xml:space="preserve">License compliance dashboards. </w:t>
      </w:r>
      <w:r>
        <w:t xml:space="preserve">Tools that track license distribution across a portfolio of artifacts and flag non-compliant combinations (GPL in a proprietary product, copyleft in a closed-source distribution).</w:t>
      </w:r>
    </w:p>
    <w:p>
      <w:pPr>
        <w:pStyle w:val="ListParagraph"/>
        <w:numPr>
          <w:ilvl w:val="0"/>
          <w:numId w:val="2"/>
        </w:numPr>
        <w:spacing w:after="80"/>
      </w:pPr>
      <w:r>
        <w:rPr>
          <w:b/>
          <w:bCs/>
        </w:rPr>
        <w:t xml:space="preserve">SBOM repositories. </w:t>
      </w:r>
      <w:r>
        <w:t xml:space="preserve">Tools like OWASP Dependency Track and GUAC (Graph for Understanding Artifact Composition) aggregate SBOMs across an organization's artifacts, providing unified queries and dashboards.</w:t>
      </w:r>
    </w:p>
    <w:p>
      <w:pPr>
        <w:pStyle w:val="ListParagraph"/>
        <w:numPr>
          <w:ilvl w:val="0"/>
          <w:numId w:val="2"/>
        </w:numPr>
        <w:spacing w:after="80"/>
      </w:pPr>
      <w:r>
        <w:rPr>
          <w:b/>
          <w:bCs/>
        </w:rPr>
        <w:t xml:space="preserve">Admission controllers. </w:t>
      </w:r>
      <w:r>
        <w:t xml:space="preserve">Kubernetes admission controllers can require that container images have attached SBOMs meeting specific policies (presence, recency, vulnerability thresholds).</w:t>
      </w:r>
    </w:p>
    <w:p>
      <w:pPr>
        <w:pStyle w:val="ListParagraph"/>
        <w:numPr>
          <w:ilvl w:val="0"/>
          <w:numId w:val="2"/>
        </w:numPr>
        <w:spacing w:after="80"/>
      </w:pPr>
      <w:r>
        <w:rPr>
          <w:b/>
          <w:bCs/>
        </w:rPr>
        <w:t xml:space="preserve">Diff tools. </w:t>
      </w:r>
      <w:r>
        <w:t xml:space="preserve">Compare SBOMs of two versions of the same artifact to see what changed — useful for security review and change management.</w:t>
      </w:r>
    </w:p>
    <w:p>
      <w:pPr>
        <w:pStyle w:val="ListParagraph"/>
        <w:numPr>
          <w:ilvl w:val="0"/>
          <w:numId w:val="2"/>
        </w:numPr>
        <w:spacing w:after="80"/>
      </w:pPr>
      <w:r>
        <w:rPr>
          <w:b/>
          <w:bCs/>
        </w:rPr>
        <w:t xml:space="preserve">Regulatory reporting. </w:t>
      </w:r>
      <w:r>
        <w:t xml:space="preserve">Government agencies and regulated industries increasingly ingest SBOMs as part of their compliance workflows; the SBOM is the input to various dashboards and report generators.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SBOM consumption is primarily via vulnerability scanners — grype, osv-scanner, and trivy being the dominant open-source options, each with different database sources and strengths. grype pairs tightly with syft and is fast. osv-scanner uses OSV.dev for ecosystem-aware precision. trivy bundles vulnerability scanning with IaC misconfiguration, secret scanning, and SBOM generation in one tool. VEX statements filter false positives by asserting whether specific vulnerabilities are actually exploitable. Beyond vulnerability scanning, SBOM consumption includes license compliance, portfolio-level dashboards, admission control, and diff analysis. Generation without consumption produces paperwork; generation plus active consumption produces a defensive tool.</w:t>
            </w:r>
          </w:p>
        </w:tc>
      </w:tr>
    </w:tbl>
    <w:p>
      <w:r>
        <w:br w:type="page"/>
      </w:r>
    </w:p>
    <w:p>
      <w:pPr>
        <w:pStyle w:val="Heading1"/>
        <w:spacing w:after="200" w:before="360"/>
      </w:pPr>
      <w:r>
        <w:rPr>
          <w:b/>
          <w:bCs/>
        </w:rPr>
        <w:t xml:space="preserve">Chapter 7: Regulation — Executive Order 14028 and Beyond</w:t>
      </w:r>
    </w:p>
    <w:p>
      <w:pPr>
        <w:pStyle w:val="Heading2"/>
        <w:spacing w:after="160" w:before="280"/>
      </w:pPr>
      <w:r>
        <w:rPr>
          <w:b/>
          <w:bCs/>
        </w:rPr>
        <w:t xml:space="preserve">7.1 The Regulatory Moment</w:t>
      </w:r>
    </w:p>
    <w:p>
      <w:pPr>
        <w:spacing w:after="140"/>
        <w:jc w:val="both"/>
      </w:pPr>
      <w:r>
        <w:t xml:space="preserve">SBOM adoption has a two-track motivation. The bottom-up track is operational: teams discover that SBOMs solve real problems (vulnerability response, license compliance, dependency inventory) and adopt them voluntarily. The top-down track is regulatory: governments, driven by the increasing visibility of supply-chain incidents, are requiring SBOMs as a precondition for doing business in certain markets. Both tracks matter, but for many organizations the regulatory track is what moves SBOM work from 'eventually' to 'this quarter.'</w:t>
      </w:r>
    </w:p>
    <w:p>
      <w:pPr>
        <w:spacing w:after="140"/>
        <w:jc w:val="both"/>
      </w:pPr>
      <w:r>
        <w:t xml:space="preserve">This chapter surveys the main regulatory drivers. The landscape is evolving quickly; the specifics of any given regulation are subject to revision. The purpose here is to give you the shape of the regulatory forces and the specific legal instruments that have had the most impact on industry practice.</w:t>
      </w:r>
    </w:p>
    <w:p>
      <w:pPr>
        <w:pStyle w:val="Heading2"/>
        <w:spacing w:after="160" w:before="280"/>
      </w:pPr>
      <w:r>
        <w:rPr>
          <w:b/>
          <w:bCs/>
        </w:rPr>
        <w:t xml:space="preserve">7.2 US Executive Order 14028</w:t>
      </w:r>
    </w:p>
    <w:p>
      <w:pPr>
        <w:spacing w:after="140"/>
        <w:jc w:val="both"/>
      </w:pPr>
      <w:r>
        <w:rPr>
          <w:b/>
          <w:bCs/>
        </w:rPr>
        <w:t xml:space="preserve">Executive Order 14028, "Improving the Nation's Cybersecurity," </w:t>
      </w:r>
      <w:r>
        <w:t xml:space="preserve">was signed by President Biden on May 12, 2021. It was the most significant US federal action on cybersecurity in decades and was motivated directly by the SolarWinds compromise (Module 1, Chapter 2). Its provisions set the direction for much of the subsequent regulatory activity on supply-chain security.</w:t>
      </w:r>
    </w:p>
    <w:p>
      <w:pPr>
        <w:spacing w:after="140"/>
        <w:jc w:val="both"/>
      </w:pPr>
      <w:r>
        <w:t xml:space="preserve">The parts of EO 14028 most relevant to SBOMs:</w:t>
      </w:r>
    </w:p>
    <w:p>
      <w:pPr>
        <w:pStyle w:val="ListParagraph"/>
        <w:numPr>
          <w:ilvl w:val="0"/>
          <w:numId w:val="2"/>
        </w:numPr>
        <w:spacing w:after="80"/>
      </w:pPr>
      <w:r>
        <w:rPr>
          <w:b/>
          <w:bCs/>
        </w:rPr>
        <w:t xml:space="preserve">Section 4(e): </w:t>
      </w:r>
      <w:r>
        <w:t xml:space="preserve">directed NIST to publish guidelines on enhancing software supply-chain security, including 'providing a purchaser a Software Bill of Materials (SBOM) for each product.' This is the legal foundation for federal SBOM requirements.</w:t>
      </w:r>
    </w:p>
    <w:p>
      <w:pPr>
        <w:pStyle w:val="ListParagraph"/>
        <w:numPr>
          <w:ilvl w:val="0"/>
          <w:numId w:val="2"/>
        </w:numPr>
        <w:spacing w:after="80"/>
      </w:pPr>
      <w:r>
        <w:rPr>
          <w:b/>
          <w:bCs/>
        </w:rPr>
        <w:t xml:space="preserve">Section 4(f): </w:t>
      </w:r>
      <w:r>
        <w:t xml:space="preserve">required NTIA (National Telecommunications and Information Administration) to publish minimum elements for an SBOM. NTIA's subsequent guidance, 'The Minimum Elements For a Software Bill of Materials (SBOM),' is the definitive US federal specification of what counts as an acceptable SBOM.</w:t>
      </w:r>
    </w:p>
    <w:p>
      <w:pPr>
        <w:pStyle w:val="ListParagraph"/>
        <w:numPr>
          <w:ilvl w:val="0"/>
          <w:numId w:val="2"/>
        </w:numPr>
        <w:spacing w:after="80"/>
      </w:pPr>
      <w:r>
        <w:rPr>
          <w:b/>
          <w:bCs/>
        </w:rPr>
        <w:t xml:space="preserve">Section 4(n): </w:t>
      </w:r>
      <w:r>
        <w:t xml:space="preserve">required the Federal Acquisition Regulation to be updated to require federal software vendors to meet the standards published under the earlier sections. This is the mechanism that makes SBOMs contractually required.</w:t>
      </w:r>
    </w:p>
    <w:p>
      <w:pPr>
        <w:spacing w:after="140"/>
        <w:jc w:val="both"/>
      </w:pPr>
      <w:r>
        <w:t xml:space="preserve">The cascading effect: once federal procurement requires SBOMs, every software vendor selling to the US federal government must produce them. This is a significant fraction of the large-enterprise software market, and the requirement propagates: vendors who must produce SBOMs for federal sales find it easier to produce them for all sales, including commercial and international.</w:t>
      </w:r>
    </w:p>
    <w:p>
      <w:pPr>
        <w:pStyle w:val="Heading2"/>
        <w:spacing w:after="160" w:before="280"/>
      </w:pPr>
      <w:r>
        <w:rPr>
          <w:b/>
          <w:bCs/>
        </w:rPr>
        <w:t xml:space="preserve">7.3 NTIA Minimum Elements</w:t>
      </w:r>
    </w:p>
    <w:p>
      <w:pPr>
        <w:spacing w:after="140"/>
        <w:jc w:val="both"/>
      </w:pPr>
      <w:r>
        <w:t xml:space="preserve">NTIA's 'Minimum Elements' document, published July 2021, defines what a federal-acceptable SBOM must contain. The required elements:</w:t>
      </w:r>
    </w:p>
    <w:p>
      <w:pPr>
        <w:pStyle w:val="ListParagraph"/>
        <w:numPr>
          <w:ilvl w:val="0"/>
          <w:numId w:val="2"/>
        </w:numPr>
        <w:spacing w:after="80"/>
      </w:pPr>
      <w:r>
        <w:rPr>
          <w:b/>
          <w:bCs/>
        </w:rPr>
        <w:t xml:space="preserve">Supplier name: </w:t>
      </w:r>
      <w:r>
        <w:t xml:space="preserve">the organization that creates, modifies, or identifies a component.</w:t>
      </w:r>
    </w:p>
    <w:p>
      <w:pPr>
        <w:pStyle w:val="ListParagraph"/>
        <w:numPr>
          <w:ilvl w:val="0"/>
          <w:numId w:val="2"/>
        </w:numPr>
        <w:spacing w:after="80"/>
      </w:pPr>
      <w:r>
        <w:rPr>
          <w:b/>
          <w:bCs/>
        </w:rPr>
        <w:t xml:space="preserve">Component name: </w:t>
      </w:r>
      <w:r>
        <w:t xml:space="preserve">the designation assigned to each component.</w:t>
      </w:r>
    </w:p>
    <w:p>
      <w:pPr>
        <w:pStyle w:val="ListParagraph"/>
        <w:numPr>
          <w:ilvl w:val="0"/>
          <w:numId w:val="2"/>
        </w:numPr>
        <w:spacing w:after="80"/>
      </w:pPr>
      <w:r>
        <w:rPr>
          <w:b/>
          <w:bCs/>
        </w:rPr>
        <w:t xml:space="preserve">Version of the component: </w:t>
      </w:r>
      <w:r>
        <w:t xml:space="preserve">the identifier used for the specific release.</w:t>
      </w:r>
    </w:p>
    <w:p>
      <w:pPr>
        <w:pStyle w:val="ListParagraph"/>
        <w:numPr>
          <w:ilvl w:val="0"/>
          <w:numId w:val="2"/>
        </w:numPr>
        <w:spacing w:after="80"/>
      </w:pPr>
      <w:r>
        <w:rPr>
          <w:b/>
          <w:bCs/>
        </w:rPr>
        <w:t xml:space="preserve">Other unique identifiers: </w:t>
      </w:r>
      <w:r>
        <w:t xml:space="preserve">such as Package URL (purl), CPE, or SWID.</w:t>
      </w:r>
    </w:p>
    <w:p>
      <w:pPr>
        <w:pStyle w:val="ListParagraph"/>
        <w:numPr>
          <w:ilvl w:val="0"/>
          <w:numId w:val="2"/>
        </w:numPr>
        <w:spacing w:after="80"/>
      </w:pPr>
      <w:r>
        <w:rPr>
          <w:b/>
          <w:bCs/>
        </w:rPr>
        <w:t xml:space="preserve">Dependency relationship: </w:t>
      </w:r>
      <w:r>
        <w:t xml:space="preserve">how upstream components relate to each other.</w:t>
      </w:r>
    </w:p>
    <w:p>
      <w:pPr>
        <w:pStyle w:val="ListParagraph"/>
        <w:numPr>
          <w:ilvl w:val="0"/>
          <w:numId w:val="2"/>
        </w:numPr>
        <w:spacing w:after="80"/>
      </w:pPr>
      <w:r>
        <w:rPr>
          <w:b/>
          <w:bCs/>
        </w:rPr>
        <w:t xml:space="preserve">Author of SBOM data: </w:t>
      </w:r>
      <w:r>
        <w:t xml:space="preserve">the entity that created the SBOM data for the component.</w:t>
      </w:r>
    </w:p>
    <w:p>
      <w:pPr>
        <w:pStyle w:val="ListParagraph"/>
        <w:numPr>
          <w:ilvl w:val="0"/>
          <w:numId w:val="2"/>
        </w:numPr>
        <w:spacing w:after="80"/>
      </w:pPr>
      <w:r>
        <w:rPr>
          <w:b/>
          <w:bCs/>
        </w:rPr>
        <w:t xml:space="preserve">Timestamp: </w:t>
      </w:r>
      <w:r>
        <w:t xml:space="preserve">the record of the date and time the SBOM was assembled.</w:t>
      </w:r>
    </w:p>
    <w:p>
      <w:pPr>
        <w:spacing w:after="140"/>
        <w:jc w:val="both"/>
      </w:pPr>
      <w:r>
        <w:t xml:space="preserve">Additionally, the document specifies three data delivery formats as acceptable: SPDX, CycloneDX, and SWID. SWID (Software Identification Tag) is an older format less commonly used in modern workflows; for practical purposes, SPDX and CycloneDX are the choices.</w:t>
      </w:r>
    </w:p>
    <w:p>
      <w:pPr>
        <w:spacing w:after="140"/>
        <w:jc w:val="both"/>
      </w:pPr>
      <w:r>
        <w:t xml:space="preserve">Critically, the minimum elements cover only the basic inventory. They do not require vulnerability information, VEX data, or provenance attestation. Federal software vendors can meet the minimum with a comprehensive component list and the specified metadata. Practical federal contracts often require more (specifically, security evaluation based on the SBOM), but the minimum is the legal floor.</w:t>
      </w:r>
    </w:p>
    <w:p>
      <w:pPr>
        <w:pStyle w:val="Heading2"/>
        <w:spacing w:after="160" w:before="280"/>
      </w:pPr>
      <w:r>
        <w:rPr>
          <w:b/>
          <w:bCs/>
        </w:rPr>
        <w:t xml:space="preserve">7.4 OMB Memorandum M-22-18</w:t>
      </w:r>
    </w:p>
    <w:p>
      <w:pPr>
        <w:spacing w:after="140"/>
        <w:jc w:val="both"/>
      </w:pPr>
      <w:r>
        <w:t xml:space="preserve">Following EO 14028, the Office of Management and Budget issued Memorandum M-22-18 in September 2022, which operationalizes the EO's software-supply-chain requirements for federal agencies. Key points:</w:t>
      </w:r>
    </w:p>
    <w:p>
      <w:pPr>
        <w:pStyle w:val="ListParagraph"/>
        <w:numPr>
          <w:ilvl w:val="0"/>
          <w:numId w:val="2"/>
        </w:numPr>
        <w:spacing w:after="80"/>
      </w:pPr>
      <w:r>
        <w:t xml:space="preserve">Federal agencies must require attestation from software vendors that the vendor has followed NIST's Secure Software Development Framework (SSDF).</w:t>
      </w:r>
    </w:p>
    <w:p>
      <w:pPr>
        <w:pStyle w:val="ListParagraph"/>
        <w:numPr>
          <w:ilvl w:val="0"/>
          <w:numId w:val="2"/>
        </w:numPr>
        <w:spacing w:after="80"/>
      </w:pPr>
      <w:r>
        <w:t xml:space="preserve">SBOMs may be required as part of the attestation package, at agency discretion.</w:t>
      </w:r>
    </w:p>
    <w:p>
      <w:pPr>
        <w:pStyle w:val="ListParagraph"/>
        <w:numPr>
          <w:ilvl w:val="0"/>
          <w:numId w:val="2"/>
        </w:numPr>
        <w:spacing w:after="80"/>
      </w:pPr>
      <w:r>
        <w:t xml:space="preserve">A standard attestation form was developed (via CISA) for vendors to complete.</w:t>
      </w:r>
    </w:p>
    <w:p>
      <w:pPr>
        <w:pStyle w:val="ListParagraph"/>
        <w:numPr>
          <w:ilvl w:val="0"/>
          <w:numId w:val="2"/>
        </w:numPr>
        <w:spacing w:after="80"/>
      </w:pPr>
      <w:r>
        <w:t xml:space="preserve">Timelines were set for agency compliance: critical software in 2023, broader scope in 2024–2025.</w:t>
      </w:r>
    </w:p>
    <w:p>
      <w:pPr>
        <w:spacing w:after="140"/>
        <w:jc w:val="both"/>
      </w:pPr>
      <w:r>
        <w:t xml:space="preserve">The effect: federal software vendors must now complete and sign the CISA attestation form, and most federal software sales contractually require SBOM delivery as part of the evidence. The compliance workload is real; vendors are investing significantly in SBOM generation and related tooling to meet these requirements.</w:t>
      </w:r>
    </w:p>
    <w:p>
      <w:pPr>
        <w:pStyle w:val="Heading2"/>
        <w:spacing w:after="160" w:before="280"/>
      </w:pPr>
      <w:r>
        <w:rPr>
          <w:b/>
          <w:bCs/>
        </w:rPr>
        <w:t xml:space="preserve">7.5 EU Cyber Resilience Act (CRA)</w:t>
      </w:r>
    </w:p>
    <w:p>
      <w:pPr>
        <w:spacing w:after="140"/>
        <w:jc w:val="both"/>
      </w:pPr>
      <w:r>
        <w:t xml:space="preserve">The EU Cyber Resilience Act, adopted in late 2024, extends supply-chain-security requirements to essentially all software sold in the EU. The scope is much broader than EO 14028 — where the EO affects federal suppliers specifically, the CRA affects any 'product with digital elements' placed on the EU market.</w:t>
      </w:r>
    </w:p>
    <w:p>
      <w:pPr>
        <w:spacing w:after="140"/>
        <w:jc w:val="both"/>
      </w:pPr>
      <w:r>
        <w:t xml:space="preserve">Key SBOM-relevant provisions:</w:t>
      </w:r>
    </w:p>
    <w:p>
      <w:pPr>
        <w:pStyle w:val="ListParagraph"/>
        <w:numPr>
          <w:ilvl w:val="0"/>
          <w:numId w:val="2"/>
        </w:numPr>
        <w:spacing w:after="80"/>
      </w:pPr>
      <w:r>
        <w:rPr>
          <w:b/>
          <w:bCs/>
        </w:rPr>
        <w:t xml:space="preserve">SBOM availability. </w:t>
      </w:r>
      <w:r>
        <w:t xml:space="preserve">Manufacturers must provide SBOMs on request to CSIRTs (Computer Security Incident Response Teams) and market-surveillance authorities. SBOMs do not need to be public but must exist and be disclosable to authorities.</w:t>
      </w:r>
    </w:p>
    <w:p>
      <w:pPr>
        <w:pStyle w:val="ListParagraph"/>
        <w:numPr>
          <w:ilvl w:val="0"/>
          <w:numId w:val="2"/>
        </w:numPr>
        <w:spacing w:after="80"/>
      </w:pPr>
      <w:r>
        <w:rPr>
          <w:b/>
          <w:bCs/>
        </w:rPr>
        <w:t xml:space="preserve">Vulnerability handling. </w:t>
      </w:r>
      <w:r>
        <w:t xml:space="preserve">Manufacturers must have processes for handling vulnerabilities in their products, including the components identified in SBOMs. The CRA thus creates an implicit requirement to actively use SBOMs, not just generate them.</w:t>
      </w:r>
    </w:p>
    <w:p>
      <w:pPr>
        <w:pStyle w:val="ListParagraph"/>
        <w:numPr>
          <w:ilvl w:val="0"/>
          <w:numId w:val="2"/>
        </w:numPr>
        <w:spacing w:after="80"/>
      </w:pPr>
      <w:r>
        <w:rPr>
          <w:b/>
          <w:bCs/>
        </w:rPr>
        <w:t xml:space="preserve">Essential requirements. </w:t>
      </w:r>
      <w:r>
        <w:t xml:space="preserve">Products must meet essential cybersecurity requirements, which include documented risk assessment of components and appropriate security updates during the product's support lifetime.</w:t>
      </w:r>
    </w:p>
    <w:p>
      <w:pPr>
        <w:pStyle w:val="ListParagraph"/>
        <w:numPr>
          <w:ilvl w:val="0"/>
          <w:numId w:val="2"/>
        </w:numPr>
        <w:spacing w:after="80"/>
      </w:pPr>
      <w:r>
        <w:rPr>
          <w:b/>
          <w:bCs/>
        </w:rPr>
        <w:t xml:space="preserve">Implementation timeline. </w:t>
      </w:r>
      <w:r>
        <w:t xml:space="preserve">The CRA's reporting-incidents provisions begin applying in 2026; the full set of requirements apply by late 2027. Manufacturers have a narrow window to implement the necessary practices.</w:t>
      </w:r>
    </w:p>
    <w:p>
      <w:pPr>
        <w:spacing w:after="140"/>
        <w:jc w:val="both"/>
      </w:pPr>
      <w:r>
        <w:t xml:space="preserve">The CRA is likely to be the single most consequential regulation for global software-supply-chain practices over the next few years. Its scope (all commercial software in the EU, including free software distributed commercially) means most international software vendors are affected. Its specific requirements are operationalized through harmonized standards that are still being developed, meaning the practical compliance work is ongoing.</w:t>
      </w:r>
    </w:p>
    <w:p>
      <w:pPr>
        <w:pStyle w:val="Heading2"/>
        <w:spacing w:after="160" w:before="280"/>
      </w:pPr>
      <w:r>
        <w:rPr>
          <w:b/>
          <w:bCs/>
        </w:rPr>
        <w:t xml:space="preserve">7.6 Other Regulatory Drivers</w:t>
      </w:r>
    </w:p>
    <w:p>
      <w:pPr>
        <w:pStyle w:val="ListParagraph"/>
        <w:numPr>
          <w:ilvl w:val="0"/>
          <w:numId w:val="2"/>
        </w:numPr>
        <w:spacing w:after="80"/>
      </w:pPr>
      <w:r>
        <w:rPr>
          <w:b/>
          <w:bCs/>
        </w:rPr>
        <w:t xml:space="preserve">FDA medical device guidance. </w:t>
      </w:r>
      <w:r>
        <w:t xml:space="preserve">The US Food and Drug Administration's 2023 guidance on premarket submissions for cybersecurity in medical devices explicitly requires SBOMs. Medical-device manufacturers must provide SBOMs as part of their regulatory submissions, covering the device itself and its software dependencies.</w:t>
      </w:r>
    </w:p>
    <w:p>
      <w:pPr>
        <w:pStyle w:val="ListParagraph"/>
        <w:numPr>
          <w:ilvl w:val="0"/>
          <w:numId w:val="2"/>
        </w:numPr>
        <w:spacing w:after="80"/>
      </w:pPr>
      <w:r>
        <w:rPr>
          <w:b/>
          <w:bCs/>
        </w:rPr>
        <w:t xml:space="preserve">Automotive cybersecurity. </w:t>
      </w:r>
      <w:r>
        <w:t xml:space="preserve">UN Regulation 155 (cybersecurity management system for automotive) and the associated ISO/SAE 21434 standard require vehicle manufacturers to maintain software inventories and respond to vulnerabilities in their software supply chain. SBOMs are the practical mechanism.</w:t>
      </w:r>
    </w:p>
    <w:p>
      <w:pPr>
        <w:pStyle w:val="ListParagraph"/>
        <w:numPr>
          <w:ilvl w:val="0"/>
          <w:numId w:val="2"/>
        </w:numPr>
        <w:spacing w:after="80"/>
      </w:pPr>
      <w:r>
        <w:rPr>
          <w:b/>
          <w:bCs/>
        </w:rPr>
        <w:t xml:space="preserve">PCI-DSS v4.0. </w:t>
      </w:r>
      <w:r>
        <w:t xml:space="preserve">The Payment Card Industry Data Security Standard's version 4.0 (mandatory from 2025) includes Requirement 6 provisions for software supply chain management that implicitly require SBOM-like inventories for systems handling card data.</w:t>
      </w:r>
    </w:p>
    <w:p>
      <w:pPr>
        <w:pStyle w:val="ListParagraph"/>
        <w:numPr>
          <w:ilvl w:val="0"/>
          <w:numId w:val="2"/>
        </w:numPr>
        <w:spacing w:after="80"/>
      </w:pPr>
      <w:r>
        <w:rPr>
          <w:b/>
          <w:bCs/>
        </w:rPr>
        <w:t xml:space="preserve">New York SHIELD Act and similar state laws. </w:t>
      </w:r>
      <w:r>
        <w:t xml:space="preserve">Several US states have enacted cybersecurity laws with software-supply-chain implications; SBOMs are increasingly cited as evidence of reasonable security practices.</w:t>
      </w:r>
    </w:p>
    <w:p>
      <w:pPr>
        <w:pStyle w:val="ListParagraph"/>
        <w:numPr>
          <w:ilvl w:val="0"/>
          <w:numId w:val="2"/>
        </w:numPr>
        <w:spacing w:after="80"/>
      </w:pPr>
      <w:r>
        <w:rPr>
          <w:b/>
          <w:bCs/>
        </w:rPr>
        <w:t xml:space="preserve">UK Product Security and Telecommunications Infrastructure Act. </w:t>
      </w:r>
      <w:r>
        <w:t xml:space="preserve">Effective 2024, imposes security requirements on connectable products sold in the UK, with implications for software inventory and vulnerability response.</w:t>
      </w:r>
    </w:p>
    <w:p>
      <w:pPr>
        <w:pStyle w:val="Heading2"/>
        <w:spacing w:after="160" w:before="280"/>
      </w:pPr>
      <w:r>
        <w:rPr>
          <w:b/>
          <w:bCs/>
        </w:rPr>
        <w:t xml:space="preserve">7.7 The Regulatory Direction</w:t>
      </w:r>
    </w:p>
    <w:p>
      <w:pPr>
        <w:spacing w:after="140"/>
        <w:jc w:val="both"/>
      </w:pPr>
      <w:r>
        <w:t xml:space="preserve">Taking the regulatory landscape as a whole, several themes emerge:</w:t>
      </w:r>
    </w:p>
    <w:p>
      <w:pPr>
        <w:pStyle w:val="ListParagraph"/>
        <w:numPr>
          <w:ilvl w:val="0"/>
          <w:numId w:val="2"/>
        </w:numPr>
        <w:spacing w:after="80"/>
      </w:pPr>
      <w:r>
        <w:t xml:space="preserve">SBOMs are moving from best-practice to required. A product without an SBOM increasingly cannot be sold into major markets.</w:t>
      </w:r>
    </w:p>
    <w:p>
      <w:pPr>
        <w:pStyle w:val="ListParagraph"/>
        <w:numPr>
          <w:ilvl w:val="0"/>
          <w:numId w:val="2"/>
        </w:numPr>
        <w:spacing w:after="80"/>
      </w:pPr>
      <w:r>
        <w:t xml:space="preserve">The specific format (SPDX vs. CycloneDX) is usually negotiable; the existence of a machine-readable SBOM is not.</w:t>
      </w:r>
    </w:p>
    <w:p>
      <w:pPr>
        <w:pStyle w:val="ListParagraph"/>
        <w:numPr>
          <w:ilvl w:val="0"/>
          <w:numId w:val="2"/>
        </w:numPr>
        <w:spacing w:after="80"/>
      </w:pPr>
      <w:r>
        <w:t xml:space="preserve">Regulations focus on the existence of SBOMs plus the processes to use them (vulnerability handling, update delivery). The combination of SBOM plus active consumption is what regulations actually require.</w:t>
      </w:r>
    </w:p>
    <w:p>
      <w:pPr>
        <w:pStyle w:val="ListParagraph"/>
        <w:numPr>
          <w:ilvl w:val="0"/>
          <w:numId w:val="2"/>
        </w:numPr>
        <w:spacing w:after="80"/>
      </w:pPr>
      <w:r>
        <w:t xml:space="preserve">Timelines are relatively short — many requirements become effective in 2025–2027. Organizations that have not started preparing are likely to face compressed compliance schedules.</w:t>
      </w:r>
    </w:p>
    <w:p>
      <w:pPr>
        <w:pStyle w:val="ListParagraph"/>
        <w:numPr>
          <w:ilvl w:val="0"/>
          <w:numId w:val="2"/>
        </w:numPr>
        <w:spacing w:after="80"/>
      </w:pPr>
      <w:r>
        <w:t xml:space="preserve">The regulatory scope extends beyond traditional 'software vendors' to include hardware manufacturers, device makers, and any organization embedding software in products.</w:t>
      </w:r>
    </w:p>
    <w:p>
      <w:pPr>
        <w:spacing w:after="140"/>
        <w:jc w:val="both"/>
      </w:pPr>
      <w:r>
        <w:t xml:space="preserve">For a software team today, the prudent position is: assume SBOMs will be required for any meaningful market in the next few years, and adopt them now when the timeline is yours to control rather than later when it is imposed.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The regulatory tailwind for SBOM adoption is substantial. US Executive Order 14028 (2021) initiated the direction, with NTIA defining minimum SBOM elements and OMB operationalizing vendor attestation. The EU Cyber Resilience Act (2024) extends requirements to essentially all software sold in the EU, taking full effect by 2027. Industry-specific regulations (FDA for medical devices, automotive cybersecurity, PCI-DSS v4.0) independently require SBOM-like inventories. The direction is uniform: SBOMs are moving from voluntary to required across most of the software economy. Organizations that adopt now control the timeline; organizations that wait face compressed catch-up schedules.</w:t>
            </w:r>
          </w:p>
        </w:tc>
      </w:tr>
    </w:tbl>
    <w:p>
      <w:r>
        <w:br w:type="page"/>
      </w:r>
    </w:p>
    <w:p>
      <w:pPr>
        <w:pStyle w:val="Heading1"/>
        <w:spacing w:after="200" w:before="360"/>
      </w:pPr>
      <w:r>
        <w:rPr>
          <w:b/>
          <w:bCs/>
        </w:rPr>
        <w:t xml:space="preserve">Chapter 8: Best Practice — Generate per Build, Store Alongside</w:t>
      </w:r>
    </w:p>
    <w:p>
      <w:pPr>
        <w:pStyle w:val="Heading2"/>
        <w:spacing w:after="160" w:before="280"/>
      </w:pPr>
      <w:r>
        <w:rPr>
          <w:b/>
          <w:bCs/>
        </w:rPr>
        <w:t xml:space="preserve">8.1 The Two Non-Negotiable Practices</w:t>
      </w:r>
    </w:p>
    <w:p>
      <w:pPr>
        <w:spacing w:after="140"/>
        <w:jc w:val="both"/>
      </w:pPr>
      <w:r>
        <w:t xml:space="preserve">The curriculum bullet distills operational SBOM best practice into two specific practices: generate an SBOM per build, and store it alongside the artifact. These two practices are simple to state and individually essential; an SBOM program that does both reliably will work; one that skips either will not. This chapter addresses each in depth along with the supporting practices that make them sustainable.</w:t>
      </w:r>
    </w:p>
    <w:p>
      <w:pPr>
        <w:pStyle w:val="Heading2"/>
        <w:spacing w:after="160" w:before="280"/>
      </w:pPr>
      <w:r>
        <w:rPr>
          <w:b/>
          <w:bCs/>
        </w:rPr>
        <w:t xml:space="preserve">8.2 Generate Per Build — The Why</w:t>
      </w:r>
    </w:p>
    <w:p>
      <w:pPr>
        <w:spacing w:after="140"/>
        <w:jc w:val="both"/>
      </w:pPr>
      <w:r>
        <w:t xml:space="preserve">Generating an SBOM per build means: every time the CI/CD pipeline produces an artifact, it also produces the SBOM for that specific artifact, as part of the same build event. Not weekly. Not quarterly. Not 'when we update the SBOM.' Every build.</w:t>
      </w:r>
    </w:p>
    <w:p>
      <w:pPr>
        <w:spacing w:after="140"/>
        <w:jc w:val="both"/>
      </w:pPr>
      <w:r>
        <w:t xml:space="preserve">This is more important than it sounds, for several specific reasons:</w:t>
      </w:r>
    </w:p>
    <w:p>
      <w:pPr>
        <w:pStyle w:val="ListParagraph"/>
        <w:numPr>
          <w:ilvl w:val="0"/>
          <w:numId w:val="2"/>
        </w:numPr>
        <w:spacing w:after="80"/>
      </w:pPr>
      <w:r>
        <w:rPr>
          <w:b/>
          <w:bCs/>
        </w:rPr>
        <w:t xml:space="preserve">Artifacts are the unit of deployment. </w:t>
      </w:r>
      <w:r>
        <w:t xml:space="preserve">When a production incident involves a specific artifact, you need the SBOM for that specific artifact — not for the one you built last week when you happened to regenerate the SBOM. A per-build SBOM matches a per-build artifact one-to-one.</w:t>
      </w:r>
    </w:p>
    <w:p>
      <w:pPr>
        <w:pStyle w:val="ListParagraph"/>
        <w:numPr>
          <w:ilvl w:val="0"/>
          <w:numId w:val="2"/>
        </w:numPr>
        <w:spacing w:after="80"/>
      </w:pPr>
      <w:r>
        <w:rPr>
          <w:b/>
          <w:bCs/>
        </w:rPr>
        <w:t xml:space="preserve">Dependencies drift silently. </w:t>
      </w:r>
      <w:r>
        <w:t xml:space="preserve">A build that ran last Tuesday may have pulled different dependency versions than the same source today — because transitive dependencies update, because package-registry mirrors differ, because cache state varies. The SBOM generated last Tuesday does not describe today's build. Per-build generation catches these drifts.</w:t>
      </w:r>
    </w:p>
    <w:p>
      <w:pPr>
        <w:pStyle w:val="ListParagraph"/>
        <w:numPr>
          <w:ilvl w:val="0"/>
          <w:numId w:val="2"/>
        </w:numPr>
        <w:spacing w:after="80"/>
      </w:pPr>
      <w:r>
        <w:rPr>
          <w:b/>
          <w:bCs/>
        </w:rPr>
        <w:t xml:space="preserve">Audit requires granularity. </w:t>
      </w:r>
      <w:r>
        <w:t xml:space="preserve">Regulatory and compliance audits increasingly ask 'show me the SBOM for this specific production artifact at this specific time.' Generating SBOMs only periodically makes this question impossible to answer accurately.</w:t>
      </w:r>
    </w:p>
    <w:p>
      <w:pPr>
        <w:pStyle w:val="ListParagraph"/>
        <w:numPr>
          <w:ilvl w:val="0"/>
          <w:numId w:val="2"/>
        </w:numPr>
        <w:spacing w:after="80"/>
      </w:pPr>
      <w:r>
        <w:rPr>
          <w:b/>
          <w:bCs/>
        </w:rPr>
        <w:t xml:space="preserve">Incident response demands correlation. </w:t>
      </w:r>
      <w:r>
        <w:t xml:space="preserve">When a vulnerability is disclosed, you query 'which of my running artifacts have this vulnerable component?' If SBOMs match artifacts one-to-one, the query is authoritative. If SBOMs are 'the latest' or 'a recent scan,' the answer is approximate.</w:t>
      </w:r>
    </w:p>
    <w:p>
      <w:pPr>
        <w:pStyle w:val="ListParagraph"/>
        <w:numPr>
          <w:ilvl w:val="0"/>
          <w:numId w:val="2"/>
        </w:numPr>
        <w:spacing w:after="80"/>
      </w:pPr>
      <w:r>
        <w:rPr>
          <w:b/>
          <w:bCs/>
        </w:rPr>
        <w:t xml:space="preserve">The build pipeline is where the information is. </w:t>
      </w:r>
      <w:r>
        <w:t xml:space="preserve">At build time, the pipeline has authoritative access to every dependency, every component, every file included in the artifact. A post-hoc scan of the built artifact can approximate this but with less reliability. Generating at build time captures the authoritative record at the moment it is available.</w:t>
      </w:r>
    </w:p>
    <w:p>
      <w:pPr>
        <w:pStyle w:val="Heading2"/>
        <w:spacing w:after="160" w:before="280"/>
      </w:pPr>
      <w:r>
        <w:rPr>
          <w:b/>
          <w:bCs/>
        </w:rPr>
        <w:t xml:space="preserve">8.3 Generate Per Build — The How</w:t>
      </w:r>
    </w:p>
    <w:p>
      <w:pPr>
        <w:spacing w:after="140"/>
        <w:jc w:val="both"/>
      </w:pPr>
      <w:r>
        <w:t xml:space="preserve">The concrete implementation depends on the build pipeline, but a standard pattern:</w:t>
      </w:r>
    </w:p>
    <w:p>
      <w:pPr>
        <w:pStyle w:val="ListParagraph"/>
        <w:numPr>
          <w:ilvl w:val="0"/>
          <w:numId w:val="2"/>
        </w:numPr>
        <w:spacing w:after="80"/>
      </w:pPr>
      <w:r>
        <w:t xml:space="preserve">The CI workflow includes a step after the main build that runs an SBOM generator (syft, cdxgen, or a language-specific tool) against the build output.</w:t>
      </w:r>
    </w:p>
    <w:p>
      <w:pPr>
        <w:pStyle w:val="ListParagraph"/>
        <w:numPr>
          <w:ilvl w:val="0"/>
          <w:numId w:val="2"/>
        </w:numPr>
        <w:spacing w:after="80"/>
      </w:pPr>
      <w:r>
        <w:t xml:space="preserve">The SBOM is produced in a standard format (typically CycloneDX or SPDX JSON, sometimes both).</w:t>
      </w:r>
    </w:p>
    <w:p>
      <w:pPr>
        <w:pStyle w:val="ListParagraph"/>
        <w:numPr>
          <w:ilvl w:val="0"/>
          <w:numId w:val="2"/>
        </w:numPr>
        <w:spacing w:after="80"/>
      </w:pPr>
      <w:r>
        <w:t xml:space="preserve">The SBOM is treated as a first-class build artifact — stored, signed, and distributed alongside the primary artifact.</w:t>
      </w:r>
    </w:p>
    <w:p>
      <w:pPr>
        <w:pStyle w:val="ListParagraph"/>
        <w:numPr>
          <w:ilvl w:val="0"/>
          <w:numId w:val="2"/>
        </w:numPr>
        <w:spacing w:after="80"/>
      </w:pPr>
      <w:r>
        <w:t xml:space="preserve">The build fails if SBOM generation fails or if the SBOM violates policy (e.g., contains components with critical vulnerabilities above a threshold, contains license conflicts, or fails generation consistency checks).</w:t>
      </w:r>
    </w:p>
    <w:p>
      <w:pPr>
        <w:spacing w:after="140"/>
        <w:jc w:val="both"/>
      </w:pPr>
      <w:r>
        <w:t xml:space="preserve">An example GitHub Actions workflow fragment:</w:t>
      </w:r>
    </w:p>
    <w:p>
      <w:pPr>
        <w:shd w:fill="F2F2F2" w:val="clear"/>
        <w:spacing w:after="40" w:before="40"/>
        <w:ind w:left="360"/>
      </w:pPr>
      <w:r>
        <w:rPr>
          <w:rFonts w:ascii="Consolas" w:cs="Consolas" w:eastAsia="Consolas" w:hAnsi="Consolas"/>
          <w:sz w:val="20"/>
          <w:szCs w:val="20"/>
        </w:rPr>
        <w:t xml:space="preserve">name: Build and SBOM</w:t>
      </w:r>
    </w:p>
    <w:p>
      <w:pPr>
        <w:shd w:fill="F2F2F2" w:val="clear"/>
        <w:spacing w:after="40" w:before="40"/>
        <w:ind w:left="360"/>
      </w:pPr>
      <w:r>
        <w:rPr>
          <w:rFonts w:ascii="Consolas" w:cs="Consolas" w:eastAsia="Consolas" w:hAnsi="Consolas"/>
          <w:sz w:val="20"/>
          <w:szCs w:val="20"/>
        </w:rPr>
        <w:t xml:space="preserve">on: [push]</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jobs:</w:t>
      </w:r>
    </w:p>
    <w:p>
      <w:pPr>
        <w:shd w:fill="F2F2F2" w:val="clear"/>
        <w:spacing w:after="40" w:before="40"/>
        <w:ind w:left="360"/>
      </w:pPr>
      <w:r>
        <w:rPr>
          <w:rFonts w:ascii="Consolas" w:cs="Consolas" w:eastAsia="Consolas" w:hAnsi="Consolas"/>
          <w:sz w:val="20"/>
          <w:szCs w:val="20"/>
        </w:rPr>
        <w:t xml:space="preserve">  build:</w:t>
      </w:r>
    </w:p>
    <w:p>
      <w:pPr>
        <w:shd w:fill="F2F2F2" w:val="clear"/>
        <w:spacing w:after="40" w:before="40"/>
        <w:ind w:left="360"/>
      </w:pPr>
      <w:r>
        <w:rPr>
          <w:rFonts w:ascii="Consolas" w:cs="Consolas" w:eastAsia="Consolas" w:hAnsi="Consolas"/>
          <w:sz w:val="20"/>
          <w:szCs w:val="20"/>
        </w:rPr>
        <w:t xml:space="preserve">    runs-on: ubuntu-latest</w:t>
      </w:r>
    </w:p>
    <w:p>
      <w:pPr>
        <w:shd w:fill="F2F2F2" w:val="clear"/>
        <w:spacing w:after="40" w:before="40"/>
        <w:ind w:left="360"/>
      </w:pPr>
      <w:r>
        <w:rPr>
          <w:rFonts w:ascii="Consolas" w:cs="Consolas" w:eastAsia="Consolas" w:hAnsi="Consolas"/>
          <w:sz w:val="20"/>
          <w:szCs w:val="20"/>
        </w:rPr>
        <w:t xml:space="preserve">    steps:</w:t>
      </w:r>
    </w:p>
    <w:p>
      <w:pPr>
        <w:shd w:fill="F2F2F2" w:val="clear"/>
        <w:spacing w:after="40" w:before="40"/>
        <w:ind w:left="360"/>
      </w:pPr>
      <w:r>
        <w:rPr>
          <w:rFonts w:ascii="Consolas" w:cs="Consolas" w:eastAsia="Consolas" w:hAnsi="Consolas"/>
          <w:sz w:val="20"/>
          <w:szCs w:val="20"/>
        </w:rPr>
        <w:t xml:space="preserve">      - uses: actions/checkout@v4</w:t>
      </w:r>
    </w:p>
    <w:p>
      <w:pPr>
        <w:shd w:fill="F2F2F2" w:val="clear"/>
        <w:spacing w:after="40" w:before="40"/>
        <w:ind w:left="360"/>
      </w:pPr>
      <w:r>
        <w:rPr>
          <w:rFonts w:ascii="Consolas" w:cs="Consolas" w:eastAsia="Consolas" w:hAnsi="Consolas"/>
          <w:sz w:val="20"/>
          <w:szCs w:val="20"/>
        </w:rPr>
        <w:t xml:space="preserve">      - name: Build container</w:t>
      </w:r>
    </w:p>
    <w:p>
      <w:pPr>
        <w:shd w:fill="F2F2F2" w:val="clear"/>
        <w:spacing w:after="40" w:before="40"/>
        <w:ind w:left="360"/>
      </w:pPr>
      <w:r>
        <w:rPr>
          <w:rFonts w:ascii="Consolas" w:cs="Consolas" w:eastAsia="Consolas" w:hAnsi="Consolas"/>
          <w:sz w:val="20"/>
          <w:szCs w:val="20"/>
        </w:rPr>
        <w:t xml:space="preserve">        run: docker build -t myapp:${{ github.sha }} .</w:t>
      </w:r>
    </w:p>
    <w:p>
      <w:pPr>
        <w:shd w:fill="F2F2F2" w:val="clear"/>
        <w:spacing w:after="40" w:before="40"/>
        <w:ind w:left="360"/>
      </w:pPr>
      <w:r>
        <w:rPr>
          <w:rFonts w:ascii="Consolas" w:cs="Consolas" w:eastAsia="Consolas" w:hAnsi="Consolas"/>
          <w:sz w:val="20"/>
          <w:szCs w:val="20"/>
        </w:rPr>
        <w:t xml:space="preserve">      - name: Generate SBOM</w:t>
      </w:r>
    </w:p>
    <w:p>
      <w:pPr>
        <w:shd w:fill="F2F2F2" w:val="clear"/>
        <w:spacing w:after="40" w:before="40"/>
        <w:ind w:left="360"/>
      </w:pPr>
      <w:r>
        <w:rPr>
          <w:rFonts w:ascii="Consolas" w:cs="Consolas" w:eastAsia="Consolas" w:hAnsi="Consolas"/>
          <w:sz w:val="20"/>
          <w:szCs w:val="20"/>
        </w:rPr>
        <w:t xml:space="preserve">        uses: anchore/sbom-action@v0</w:t>
      </w:r>
    </w:p>
    <w:p>
      <w:pPr>
        <w:shd w:fill="F2F2F2" w:val="clear"/>
        <w:spacing w:after="40" w:before="40"/>
        <w:ind w:left="360"/>
      </w:pPr>
      <w:r>
        <w:rPr>
          <w:rFonts w:ascii="Consolas" w:cs="Consolas" w:eastAsia="Consolas" w:hAnsi="Consolas"/>
          <w:sz w:val="20"/>
          <w:szCs w:val="20"/>
        </w:rPr>
        <w:t xml:space="preserve">        with:</w:t>
      </w:r>
    </w:p>
    <w:p>
      <w:pPr>
        <w:shd w:fill="F2F2F2" w:val="clear"/>
        <w:spacing w:after="40" w:before="40"/>
        <w:ind w:left="360"/>
      </w:pPr>
      <w:r>
        <w:rPr>
          <w:rFonts w:ascii="Consolas" w:cs="Consolas" w:eastAsia="Consolas" w:hAnsi="Consolas"/>
          <w:sz w:val="20"/>
          <w:szCs w:val="20"/>
        </w:rPr>
        <w:t xml:space="preserve">          image: myapp:${{ github.sha }}</w:t>
      </w:r>
    </w:p>
    <w:p>
      <w:pPr>
        <w:shd w:fill="F2F2F2" w:val="clear"/>
        <w:spacing w:after="40" w:before="40"/>
        <w:ind w:left="360"/>
      </w:pPr>
      <w:r>
        <w:rPr>
          <w:rFonts w:ascii="Consolas" w:cs="Consolas" w:eastAsia="Consolas" w:hAnsi="Consolas"/>
          <w:sz w:val="20"/>
          <w:szCs w:val="20"/>
        </w:rPr>
        <w:t xml:space="preserve">          format: cyclonedx-json</w:t>
      </w:r>
    </w:p>
    <w:p>
      <w:pPr>
        <w:shd w:fill="F2F2F2" w:val="clear"/>
        <w:spacing w:after="40" w:before="40"/>
        <w:ind w:left="360"/>
      </w:pPr>
      <w:r>
        <w:rPr>
          <w:rFonts w:ascii="Consolas" w:cs="Consolas" w:eastAsia="Consolas" w:hAnsi="Consolas"/>
          <w:sz w:val="20"/>
          <w:szCs w:val="20"/>
        </w:rPr>
        <w:t xml:space="preserve">          output-file: sbom.cdx.json</w:t>
      </w:r>
    </w:p>
    <w:p>
      <w:pPr>
        <w:shd w:fill="F2F2F2" w:val="clear"/>
        <w:spacing w:after="40" w:before="40"/>
        <w:ind w:left="360"/>
      </w:pPr>
      <w:r>
        <w:rPr>
          <w:rFonts w:ascii="Consolas" w:cs="Consolas" w:eastAsia="Consolas" w:hAnsi="Consolas"/>
          <w:sz w:val="20"/>
          <w:szCs w:val="20"/>
        </w:rPr>
        <w:t xml:space="preserve">      - name: Scan for vulnerabilities</w:t>
      </w:r>
    </w:p>
    <w:p>
      <w:pPr>
        <w:shd w:fill="F2F2F2" w:val="clear"/>
        <w:spacing w:after="40" w:before="40"/>
        <w:ind w:left="360"/>
      </w:pPr>
      <w:r>
        <w:rPr>
          <w:rFonts w:ascii="Consolas" w:cs="Consolas" w:eastAsia="Consolas" w:hAnsi="Consolas"/>
          <w:sz w:val="20"/>
          <w:szCs w:val="20"/>
        </w:rPr>
        <w:t xml:space="preserve">        uses: anchore/scan-action@v3</w:t>
      </w:r>
    </w:p>
    <w:p>
      <w:pPr>
        <w:shd w:fill="F2F2F2" w:val="clear"/>
        <w:spacing w:after="40" w:before="40"/>
        <w:ind w:left="360"/>
      </w:pPr>
      <w:r>
        <w:rPr>
          <w:rFonts w:ascii="Consolas" w:cs="Consolas" w:eastAsia="Consolas" w:hAnsi="Consolas"/>
          <w:sz w:val="20"/>
          <w:szCs w:val="20"/>
        </w:rPr>
        <w:t xml:space="preserve">        with:</w:t>
      </w:r>
    </w:p>
    <w:p>
      <w:pPr>
        <w:shd w:fill="F2F2F2" w:val="clear"/>
        <w:spacing w:after="40" w:before="40"/>
        <w:ind w:left="360"/>
      </w:pPr>
      <w:r>
        <w:rPr>
          <w:rFonts w:ascii="Consolas" w:cs="Consolas" w:eastAsia="Consolas" w:hAnsi="Consolas"/>
          <w:sz w:val="20"/>
          <w:szCs w:val="20"/>
        </w:rPr>
        <w:t xml:space="preserve">          sbom: sbom.cdx.json</w:t>
      </w:r>
    </w:p>
    <w:p>
      <w:pPr>
        <w:shd w:fill="F2F2F2" w:val="clear"/>
        <w:spacing w:after="40" w:before="40"/>
        <w:ind w:left="360"/>
      </w:pPr>
      <w:r>
        <w:rPr>
          <w:rFonts w:ascii="Consolas" w:cs="Consolas" w:eastAsia="Consolas" w:hAnsi="Consolas"/>
          <w:sz w:val="20"/>
          <w:szCs w:val="20"/>
        </w:rPr>
        <w:t xml:space="preserve">          fail-build: true</w:t>
      </w:r>
    </w:p>
    <w:p>
      <w:pPr>
        <w:shd w:fill="F2F2F2" w:val="clear"/>
        <w:spacing w:after="40" w:before="40"/>
        <w:ind w:left="360"/>
      </w:pPr>
      <w:r>
        <w:rPr>
          <w:rFonts w:ascii="Consolas" w:cs="Consolas" w:eastAsia="Consolas" w:hAnsi="Consolas"/>
          <w:sz w:val="20"/>
          <w:szCs w:val="20"/>
        </w:rPr>
        <w:t xml:space="preserve">          severity-cutoff: high</w:t>
      </w:r>
    </w:p>
    <w:p>
      <w:pPr>
        <w:shd w:fill="F2F2F2" w:val="clear"/>
        <w:spacing w:after="40" w:before="40"/>
        <w:ind w:left="360"/>
      </w:pPr>
      <w:r>
        <w:rPr>
          <w:rFonts w:ascii="Consolas" w:cs="Consolas" w:eastAsia="Consolas" w:hAnsi="Consolas"/>
          <w:sz w:val="20"/>
          <w:szCs w:val="20"/>
        </w:rPr>
        <w:t xml:space="preserve">      - name: Upload SBOM as artifact</w:t>
      </w:r>
    </w:p>
    <w:p>
      <w:pPr>
        <w:shd w:fill="F2F2F2" w:val="clear"/>
        <w:spacing w:after="40" w:before="40"/>
        <w:ind w:left="360"/>
      </w:pPr>
      <w:r>
        <w:rPr>
          <w:rFonts w:ascii="Consolas" w:cs="Consolas" w:eastAsia="Consolas" w:hAnsi="Consolas"/>
          <w:sz w:val="20"/>
          <w:szCs w:val="20"/>
        </w:rPr>
        <w:t xml:space="preserve">        uses: actions/upload-artifact@v3</w:t>
      </w:r>
    </w:p>
    <w:p>
      <w:pPr>
        <w:shd w:fill="F2F2F2" w:val="clear"/>
        <w:spacing w:after="40" w:before="40"/>
        <w:ind w:left="360"/>
      </w:pPr>
      <w:r>
        <w:rPr>
          <w:rFonts w:ascii="Consolas" w:cs="Consolas" w:eastAsia="Consolas" w:hAnsi="Consolas"/>
          <w:sz w:val="20"/>
          <w:szCs w:val="20"/>
        </w:rPr>
        <w:t xml:space="preserve">        with:</w:t>
      </w:r>
    </w:p>
    <w:p>
      <w:pPr>
        <w:shd w:fill="F2F2F2" w:val="clear"/>
        <w:spacing w:after="40" w:before="40"/>
        <w:ind w:left="360"/>
      </w:pPr>
      <w:r>
        <w:rPr>
          <w:rFonts w:ascii="Consolas" w:cs="Consolas" w:eastAsia="Consolas" w:hAnsi="Consolas"/>
          <w:sz w:val="20"/>
          <w:szCs w:val="20"/>
        </w:rPr>
        <w:t xml:space="preserve">          name: sbom</w:t>
      </w:r>
    </w:p>
    <w:p>
      <w:pPr>
        <w:shd w:fill="F2F2F2" w:val="clear"/>
        <w:spacing w:after="40" w:before="40"/>
        <w:ind w:left="360"/>
      </w:pPr>
      <w:r>
        <w:rPr>
          <w:rFonts w:ascii="Consolas" w:cs="Consolas" w:eastAsia="Consolas" w:hAnsi="Consolas"/>
          <w:sz w:val="20"/>
          <w:szCs w:val="20"/>
        </w:rPr>
        <w:t xml:space="preserve">          path: sbom.cdx.json</w:t>
      </w:r>
    </w:p>
    <w:p>
      <w:pPr>
        <w:spacing w:after="140"/>
        <w:jc w:val="both"/>
      </w:pPr>
      <w:r>
        <w:t xml:space="preserve">This example shows the pattern: the SBOM is generated immediately after the artifact, scanned in the same run, and uploaded as a build artifact. If vulnerabilities exceed the severity threshold, the build fails and the artifact is not released. This is the minimal viable implementation; more elaborate setups include signing the SBOM, publishing it to an attestation store, and attaching it as an OCI referring artifact (next section).</w:t>
      </w:r>
    </w:p>
    <w:p>
      <w:pPr>
        <w:pStyle w:val="Heading2"/>
        <w:spacing w:after="160" w:before="280"/>
      </w:pPr>
      <w:r>
        <w:rPr>
          <w:b/>
          <w:bCs/>
        </w:rPr>
        <w:t xml:space="preserve">8.4 Store Alongside the Artifact — The Why</w:t>
      </w:r>
    </w:p>
    <w:p>
      <w:pPr>
        <w:spacing w:after="140"/>
        <w:jc w:val="both"/>
      </w:pPr>
      <w:r>
        <w:t xml:space="preserve">The second practice is where to put the generated SBOM. The best practice is: in the same place as the artifact it describes, such that anyone fetching the artifact can also fetch the SBOM without needing a separate system.</w:t>
      </w:r>
    </w:p>
    <w:p>
      <w:pPr>
        <w:spacing w:after="140"/>
        <w:jc w:val="both"/>
      </w:pPr>
      <w:r>
        <w:t xml:space="preserve">Why this matters:</w:t>
      </w:r>
    </w:p>
    <w:p>
      <w:pPr>
        <w:pStyle w:val="ListParagraph"/>
        <w:numPr>
          <w:ilvl w:val="0"/>
          <w:numId w:val="2"/>
        </w:numPr>
        <w:spacing w:after="80"/>
      </w:pPr>
      <w:r>
        <w:rPr>
          <w:b/>
          <w:bCs/>
        </w:rPr>
        <w:t xml:space="preserve">Consumers need discoverability. </w:t>
      </w:r>
      <w:r>
        <w:t xml:space="preserve">A consumer pulling a container image should be able to discover and verify the associated SBOM through the same registry interaction. Separate SBOM stores add friction that reduces consumption.</w:t>
      </w:r>
    </w:p>
    <w:p>
      <w:pPr>
        <w:pStyle w:val="ListParagraph"/>
        <w:numPr>
          <w:ilvl w:val="0"/>
          <w:numId w:val="2"/>
        </w:numPr>
        <w:spacing w:after="80"/>
      </w:pPr>
      <w:r>
        <w:rPr>
          <w:b/>
          <w:bCs/>
        </w:rPr>
        <w:t xml:space="preserve">Lifecycle alignment. </w:t>
      </w:r>
      <w:r>
        <w:t xml:space="preserve">When an artifact is retained, its SBOM is retained. When an artifact is deleted or expired, its SBOM can be cleaned up together. Separate storage risks lifecycle drift where SBOMs persist for deleted artifacts or are deleted for retained ones.</w:t>
      </w:r>
    </w:p>
    <w:p>
      <w:pPr>
        <w:pStyle w:val="ListParagraph"/>
        <w:numPr>
          <w:ilvl w:val="0"/>
          <w:numId w:val="2"/>
        </w:numPr>
        <w:spacing w:after="80"/>
      </w:pPr>
      <w:r>
        <w:rPr>
          <w:b/>
          <w:bCs/>
        </w:rPr>
        <w:t xml:space="preserve">Immutable association. </w:t>
      </w:r>
      <w:r>
        <w:t xml:space="preserve">The SBOM is specific to a specific artifact identified by digest. Storing them together ensures the association cannot be broken by administrative accidents.</w:t>
      </w:r>
    </w:p>
    <w:p>
      <w:pPr>
        <w:pStyle w:val="ListParagraph"/>
        <w:numPr>
          <w:ilvl w:val="0"/>
          <w:numId w:val="2"/>
        </w:numPr>
        <w:spacing w:after="80"/>
      </w:pPr>
      <w:r>
        <w:rPr>
          <w:b/>
          <w:bCs/>
        </w:rPr>
        <w:t xml:space="preserve">Audit simplicity. </w:t>
      </w:r>
      <w:r>
        <w:t xml:space="preserve">'Where is the SBOM for this artifact?' has a single answer: with the artifact. No separate lookup needed, no stale links, no index to maintain.</w:t>
      </w:r>
    </w:p>
    <w:p>
      <w:pPr>
        <w:pStyle w:val="Heading2"/>
        <w:spacing w:after="160" w:before="280"/>
      </w:pPr>
      <w:r>
        <w:rPr>
          <w:b/>
          <w:bCs/>
        </w:rPr>
        <w:t xml:space="preserve">8.5 OCI Referring Artifacts</w:t>
      </w:r>
    </w:p>
    <w:p>
      <w:pPr>
        <w:spacing w:after="140"/>
        <w:jc w:val="both"/>
      </w:pPr>
      <w:r>
        <w:t xml:space="preserve">The Open Container Initiative (OCI) specifications include support for 'referring artifacts' — artifacts that explicitly reference a primary artifact. SBOMs (and SLSA attestations) are commonly stored as referring artifacts in container registries.</w:t>
      </w:r>
    </w:p>
    <w:p>
      <w:pPr>
        <w:spacing w:after="140"/>
        <w:jc w:val="both"/>
      </w:pPr>
      <w:r>
        <w:t xml:space="preserve">The mechanics:</w:t>
      </w:r>
    </w:p>
    <w:p>
      <w:pPr>
        <w:pStyle w:val="ListParagraph"/>
        <w:numPr>
          <w:ilvl w:val="0"/>
          <w:numId w:val="2"/>
        </w:numPr>
        <w:spacing w:after="80"/>
      </w:pPr>
      <w:r>
        <w:t xml:space="preserve">The primary artifact (the container image) is stored normally in the registry.</w:t>
      </w:r>
    </w:p>
    <w:p>
      <w:pPr>
        <w:pStyle w:val="ListParagraph"/>
        <w:numPr>
          <w:ilvl w:val="0"/>
          <w:numId w:val="2"/>
        </w:numPr>
        <w:spacing w:after="80"/>
      </w:pPr>
      <w:r>
        <w:t xml:space="preserve">The SBOM is stored as a separate OCI artifact, with its manifest including a 'subject' reference pointing at the primary artifact's digest.</w:t>
      </w:r>
    </w:p>
    <w:p>
      <w:pPr>
        <w:pStyle w:val="ListParagraph"/>
        <w:numPr>
          <w:ilvl w:val="0"/>
          <w:numId w:val="2"/>
        </w:numPr>
        <w:spacing w:after="80"/>
      </w:pPr>
      <w:r>
        <w:t xml:space="preserve">The registry exposes an API endpoint (the Referrers API) that returns all artifacts referring to a given primary artifact.</w:t>
      </w:r>
    </w:p>
    <w:p>
      <w:pPr>
        <w:pStyle w:val="ListParagraph"/>
        <w:numPr>
          <w:ilvl w:val="0"/>
          <w:numId w:val="2"/>
        </w:numPr>
        <w:spacing w:after="80"/>
      </w:pPr>
      <w:r>
        <w:t xml:space="preserve">A consumer fetching the primary artifact calls the Referrers API to discover and fetch the associated SBOM.</w:t>
      </w:r>
    </w:p>
    <w:p>
      <w:pPr>
        <w:spacing w:after="140"/>
        <w:jc w:val="both"/>
      </w:pPr>
      <w:r>
        <w:t xml:space="preserve">Tools supporting this pattern:</w:t>
      </w:r>
    </w:p>
    <w:p>
      <w:pPr>
        <w:pStyle w:val="ListParagraph"/>
        <w:numPr>
          <w:ilvl w:val="0"/>
          <w:numId w:val="2"/>
        </w:numPr>
        <w:spacing w:after="80"/>
      </w:pPr>
      <w:r>
        <w:t xml:space="preserve">cosign attach sbom — attaches an SBOM to a container image as an OCI artifact.</w:t>
      </w:r>
    </w:p>
    <w:p>
      <w:pPr>
        <w:pStyle w:val="ListParagraph"/>
        <w:numPr>
          <w:ilvl w:val="0"/>
          <w:numId w:val="2"/>
        </w:numPr>
        <w:spacing w:after="80"/>
      </w:pPr>
      <w:r>
        <w:t xml:space="preserve">Modern container registries (GHCR, Docker Hub, ECR, GCR, Azure Container Registry, Harbor) support the Referrers API.</w:t>
      </w:r>
    </w:p>
    <w:p>
      <w:pPr>
        <w:pStyle w:val="ListParagraph"/>
        <w:numPr>
          <w:ilvl w:val="0"/>
          <w:numId w:val="2"/>
        </w:numPr>
        <w:spacing w:after="80"/>
      </w:pPr>
      <w:r>
        <w:t xml:space="preserve">Standard CLIs (cosign, oras) provide uniform interfaces for attachment and retrieval.</w:t>
      </w:r>
    </w:p>
    <w:p>
      <w:pPr>
        <w:spacing w:after="140"/>
        <w:jc w:val="both"/>
      </w:pPr>
      <w:r>
        <w:t xml:space="preserve">The OCI referring-artifact pattern is becoming the dominant storage model for SBOMs and attestations in cloud-native environments. Organizations adopting it benefit from tooling convergence and future-proofing as the ecosystem standardizes on this approach.</w:t>
      </w:r>
    </w:p>
    <w:p>
      <w:pPr>
        <w:pStyle w:val="Heading2"/>
        <w:spacing w:after="160" w:before="280"/>
      </w:pPr>
      <w:r>
        <w:rPr>
          <w:b/>
          <w:bCs/>
        </w:rPr>
        <w:t xml:space="preserve">8.6 Sign the SBOM</w:t>
      </w:r>
    </w:p>
    <w:p>
      <w:pPr>
        <w:spacing w:after="140"/>
        <w:jc w:val="both"/>
      </w:pPr>
      <w:r>
        <w:t xml:space="preserve">An unsigned SBOM is only as trustworthy as the channel it arrived through. A signed SBOM can be verified independently — the consumer can confirm the SBOM was produced by the expected builder and has not been tampered with since.</w:t>
      </w:r>
    </w:p>
    <w:p>
      <w:pPr>
        <w:spacing w:after="140"/>
        <w:jc w:val="both"/>
      </w:pPr>
      <w:r>
        <w:t xml:space="preserve">Signing SBOMs overlaps with the signing work covered in Module 4 of this curriculum. The short version: SBOMs should be signed using the same signing infrastructure as artifacts themselves, typically with Sigstore's cosign. The signature binds the SBOM content to the build identity; a consumer verifying the signature verifies both the source and the integrity of the SBOM.</w:t>
      </w:r>
    </w:p>
    <w:p>
      <w:pPr>
        <w:spacing w:after="140"/>
        <w:jc w:val="both"/>
      </w:pPr>
      <w:r>
        <w:t xml:space="preserve">In practice, signing is often implemented as part of the OCI referring-artifact pattern: the SBOM is stored as a referring artifact; the signature is a further referring artifact on top. The consumer's verification flow pulls the primary artifact, discovers the SBOM, verifies the SBOM's signature, and then processes the SBOM contents.</w:t>
      </w:r>
    </w:p>
    <w:p>
      <w:pPr>
        <w:pStyle w:val="Heading2"/>
        <w:spacing w:after="160" w:before="280"/>
      </w:pPr>
      <w:r>
        <w:rPr>
          <w:b/>
          <w:bCs/>
        </w:rPr>
        <w:t xml:space="preserve">8.7 Validate Generated SBOMs</w:t>
      </w:r>
    </w:p>
    <w:p>
      <w:pPr>
        <w:spacing w:after="140"/>
        <w:jc w:val="both"/>
      </w:pPr>
      <w:r>
        <w:t xml:space="preserve">Not every generated SBOM is a useful SBOM. A few specific validations worth running at generation time:</w:t>
      </w:r>
    </w:p>
    <w:p>
      <w:pPr>
        <w:pStyle w:val="ListParagraph"/>
        <w:numPr>
          <w:ilvl w:val="0"/>
          <w:numId w:val="2"/>
        </w:numPr>
        <w:spacing w:after="80"/>
      </w:pPr>
      <w:r>
        <w:rPr>
          <w:b/>
          <w:bCs/>
        </w:rPr>
        <w:t xml:space="preserve">Schema validation. </w:t>
      </w:r>
      <w:r>
        <w:t xml:space="preserve">Confirm the SBOM conforms to its declared format schema (SPDX or CycloneDX). Tools like sbom-utility, cyclonedx-cli validate-bom, and similar provide schema validation.</w:t>
      </w:r>
    </w:p>
    <w:p>
      <w:pPr>
        <w:pStyle w:val="ListParagraph"/>
        <w:numPr>
          <w:ilvl w:val="0"/>
          <w:numId w:val="2"/>
        </w:numPr>
        <w:spacing w:after="80"/>
      </w:pPr>
      <w:r>
        <w:rPr>
          <w:b/>
          <w:bCs/>
        </w:rPr>
        <w:t xml:space="preserve">Component count sanity check. </w:t>
      </w:r>
      <w:r>
        <w:t xml:space="preserve">If yesterday's SBOM had 500 components and today's has 5, something is wrong. Dramatic changes in component count often indicate generation failures rather than legitimate dependency changes.</w:t>
      </w:r>
    </w:p>
    <w:p>
      <w:pPr>
        <w:pStyle w:val="ListParagraph"/>
        <w:numPr>
          <w:ilvl w:val="0"/>
          <w:numId w:val="2"/>
        </w:numPr>
        <w:spacing w:after="80"/>
      </w:pPr>
      <w:r>
        <w:rPr>
          <w:b/>
          <w:bCs/>
        </w:rPr>
        <w:t xml:space="preserve">Identifier coverage. </w:t>
      </w:r>
      <w:r>
        <w:t xml:space="preserve">Components should have purls or CPEs for reliable cross-referencing with vulnerability databases. Components identified only by name may be ambiguous.</w:t>
      </w:r>
    </w:p>
    <w:p>
      <w:pPr>
        <w:pStyle w:val="ListParagraph"/>
        <w:numPr>
          <w:ilvl w:val="0"/>
          <w:numId w:val="2"/>
        </w:numPr>
        <w:spacing w:after="80"/>
      </w:pPr>
      <w:r>
        <w:rPr>
          <w:b/>
          <w:bCs/>
        </w:rPr>
        <w:t xml:space="preserve">License field population. </w:t>
      </w:r>
      <w:r>
        <w:t xml:space="preserve">For license-compliance use cases, licenses must be populated. Widespread 'unknown' or 'noassertion' values suggest the generator is not configured correctly.</w:t>
      </w:r>
    </w:p>
    <w:p>
      <w:pPr>
        <w:spacing w:after="140"/>
        <w:jc w:val="both"/>
      </w:pPr>
      <w:r>
        <w:t xml:space="preserve">These validations should fail the build if they fail, the same way vulnerability scans do. A useless SBOM is worse than no SBOM because it provides false reassurance.</w:t>
      </w:r>
    </w:p>
    <w:p>
      <w:pPr>
        <w:pStyle w:val="Heading2"/>
        <w:spacing w:after="160" w:before="280"/>
      </w:pPr>
      <w:r>
        <w:rPr>
          <w:b/>
          <w:bCs/>
        </w:rPr>
        <w:t xml:space="preserve">8.8 Retention and Access</w:t>
      </w:r>
    </w:p>
    <w:p>
      <w:pPr>
        <w:spacing w:after="140"/>
        <w:jc w:val="both"/>
      </w:pPr>
      <w:r>
        <w:t xml:space="preserve">SBOMs should be retained for as long as the artifact is in use, plus an audit-appropriate buffer. Specific guidance:</w:t>
      </w:r>
    </w:p>
    <w:p>
      <w:pPr>
        <w:pStyle w:val="ListParagraph"/>
        <w:numPr>
          <w:ilvl w:val="0"/>
          <w:numId w:val="2"/>
        </w:numPr>
        <w:spacing w:after="80"/>
      </w:pPr>
      <w:r>
        <w:t xml:space="preserve">Retain SBOMs for production artifacts for at least the product's support lifetime.</w:t>
      </w:r>
    </w:p>
    <w:p>
      <w:pPr>
        <w:pStyle w:val="ListParagraph"/>
        <w:numPr>
          <w:ilvl w:val="0"/>
          <w:numId w:val="2"/>
        </w:numPr>
        <w:spacing w:after="80"/>
      </w:pPr>
      <w:r>
        <w:t xml:space="preserve">For artifacts with regulatory implications (medical devices, critical infrastructure, government systems), retention may extend beyond the product lifetime — sometimes 7–10 years or more.</w:t>
      </w:r>
    </w:p>
    <w:p>
      <w:pPr>
        <w:pStyle w:val="ListParagraph"/>
        <w:numPr>
          <w:ilvl w:val="0"/>
          <w:numId w:val="2"/>
        </w:numPr>
        <w:spacing w:after="80"/>
      </w:pPr>
      <w:r>
        <w:t xml:space="preserve">Access should be appropriately controlled: SBOMs disclose your internal dependency choices, which can be competitive information. Public products may publish SBOMs publicly; internal products usually restrict access to customers, auditors, and internal teams.</w:t>
      </w:r>
    </w:p>
    <w:p>
      <w:pPr>
        <w:pStyle w:val="ListParagraph"/>
        <w:numPr>
          <w:ilvl w:val="0"/>
          <w:numId w:val="2"/>
        </w:numPr>
        <w:spacing w:after="80"/>
      </w:pPr>
      <w:r>
        <w:t xml:space="preserve">For consumable/operational SBOMs, low-latency access matters: an incident-response query that takes hours to resolve a stale SBOM is operationally worthless.</w:t>
      </w:r>
    </w:p>
    <w:p>
      <w:pPr>
        <w:pStyle w:val="Heading2"/>
        <w:spacing w:after="160" w:before="280"/>
      </w:pPr>
      <w:r>
        <w:rPr>
          <w:b/>
          <w:bCs/>
        </w:rPr>
        <w:t xml:space="preserve">8.9 The Complete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The best-practice pipeline</w:t>
            </w:r>
          </w:p>
          <w:p>
            <w:pPr>
              <w:jc w:val="both"/>
            </w:pPr>
            <w:r>
              <w:t xml:space="preserve">1) Per-build generation: SBOM generated as part of every CI build, in both SPDX and CycloneDX formats. 2) Validation: schema-checked and sanity-checked before acceptance. 3) Vulnerability scanning: grype or equivalent runs against the SBOM; high-severity findings fail the build. 4) Signing: SBOM signed via cosign using the build's OIDC identity. 5) Storage: SBOM attached as an OCI referring artifact to the primary artifact in the registry. 6) Discovery: consumers fetch the primary artifact, call the Referrers API, retrieve and verify the SBOM. 7) Consumption: admission controllers enforce SBOM presence and vulnerability policies; security dashboards aggregate across the portfolio. 8) Retention: SBOMs retained for the artifact's operational lifetime with appropriate audit buffer.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8</w:t>
            </w:r>
          </w:p>
          <w:p>
            <w:pPr>
              <w:jc w:val="both"/>
            </w:pPr>
            <w:r>
              <w:t xml:space="preserve">The two core best practices are generate an SBOM per build and store it alongside the artifact. Per-build generation ensures the SBOM matches the artifact one-to-one, captures build-time drift authoritatively, and enables reliable incident response. Storage alongside the artifact (via OCI referring artifacts in container registries) ensures discoverability, lifecycle alignment, and audit simplicity. Supporting practices include SBOM signing, schema and sanity validation, and appropriate retention. The complete pipeline from generation through storage to consumption is the operationally-useful form of SBOM adoption; fragments of it provide fragments of the value.</w:t>
            </w:r>
          </w:p>
        </w:tc>
      </w:tr>
    </w:tbl>
    <w:p>
      <w:r>
        <w:br w:type="page"/>
      </w:r>
    </w:p>
    <w:p>
      <w:pPr>
        <w:pStyle w:val="Heading1"/>
        <w:spacing w:after="200" w:before="360"/>
      </w:pPr>
      <w:r>
        <w:rPr>
          <w:b/>
          <w:bCs/>
        </w:rPr>
        <w:t xml:space="preserve">Synthesis: How the Module Fits Together</w:t>
      </w:r>
    </w:p>
    <w:p>
      <w:pPr>
        <w:spacing w:after="140"/>
        <w:jc w:val="both"/>
      </w:pPr>
      <w:r>
        <w:t xml:space="preserve">This module has covered SBOMs from first principles through operational best practices. The eight chapters build a complete picture of what SBOMs are, why they matter, how to produce them, how to consume them, and where regulation is pushing adoption.</w:t>
      </w:r>
    </w:p>
    <w:p>
      <w:pPr>
        <w:spacing w:after="140"/>
        <w:jc w:val="both"/>
      </w:pPr>
      <w:r>
        <w:t xml:space="preserve">Chapter 1 introduced SBOMs as structured machine-readable inventories of every component in a specific software artifact. Unlike lockfiles or manifests, SBOMs describe the built artifact rather than specifying how to build one; unlike asset inventories, they operate at the component level rather than the system level.</w:t>
      </w:r>
    </w:p>
    <w:p>
      <w:pPr>
        <w:spacing w:after="140"/>
        <w:jc w:val="both"/>
      </w:pPr>
      <w:r>
        <w:t xml:space="preserve">Chapter 2 addressed the operational problems SBOMs solve. The Log4Shell incident is the canonical example: teams with SBOMs answered 'do we have vulnerable Log4j?' in minutes; teams without them ran multi-week emergency inventory projects. The value extends beyond vulnerability response to license compliance, acquisition due diligence, regulatory reporting, end-of-life tracking, and customer transparency.</w:t>
      </w:r>
    </w:p>
    <w:p>
      <w:pPr>
        <w:spacing w:after="140"/>
        <w:jc w:val="both"/>
      </w:pPr>
      <w:r>
        <w:t xml:space="preserve">Chapters 3 and 4 addressed the two dominant SBOM formats. SPDX is the Linux Foundation's specification, formalized as an ISO standard, originally license-compliance-focused and now broadly scoped. CycloneDX is OWASP's specification, designed security-first with integrated vulnerability and VEX support. The choice between them is often ecosystem-fit rather than technical superiority; many organizations generate both.</w:t>
      </w:r>
    </w:p>
    <w:p>
      <w:pPr>
        <w:spacing w:after="140"/>
        <w:jc w:val="both"/>
      </w:pPr>
      <w:r>
        <w:t xml:space="preserve">Chapter 5 covered generation tools: syft as the dominant general-purpose artifact scanner, cdxgen as the CycloneDX-focused alternative, and language-specific generators (cyclonedx-node, cyclonedx-python, cyclonedx-maven-plugin, and many others) that integrate with build systems. Mature pipelines combine general-purpose and language-specific tools for comprehensive coverage.</w:t>
      </w:r>
    </w:p>
    <w:p>
      <w:pPr>
        <w:spacing w:after="140"/>
        <w:jc w:val="both"/>
      </w:pPr>
      <w:r>
        <w:t xml:space="preserve">Chapter 6 covered consumption via vulnerability scanners: grype (Anchore's scanner paired with syft), osv-scanner (Google's scanner using OSV.dev), and trivy (Aqua Security's multi-purpose scanner). VEX statements filter false positives by asserting exploitability. Beyond vulnerability scanning, SBOM consumption includes license compliance, portfolio aggregation, admission control, and diff analysis.</w:t>
      </w:r>
    </w:p>
    <w:p>
      <w:pPr>
        <w:spacing w:after="140"/>
        <w:jc w:val="both"/>
      </w:pPr>
      <w:r>
        <w:t xml:space="preserve">Chapter 7 addressed regulation. US Executive Order 14028 (2021) initiated federal SBOM requirements, operationalized via NTIA's minimum elements and OMB memoranda. The EU Cyber Resilience Act (2024) extends requirements to nearly all software sold in the EU. Industry-specific regulations (FDA medical devices, automotive cybersecurity, PCI-DSS v4.0) add further pressure. The direction is uniform: SBOMs are moving from best-practice to required.</w:t>
      </w:r>
    </w:p>
    <w:p>
      <w:pPr>
        <w:spacing w:after="140"/>
        <w:jc w:val="both"/>
      </w:pPr>
      <w:r>
        <w:t xml:space="preserve">Chapter 8 addressed operational best practices. Generate SBOMs per build, at the moment the artifact is built, with authoritative access to all components. Store SBOMs alongside the artifact, typically as OCI referring artifacts in container registries, so consumers can discover and verify them through the same channel as the artifact itself. Sign SBOMs; validate them; retain them for the artifact's operational lifetime.</w:t>
      </w:r>
    </w:p>
    <w:p>
      <w:pPr>
        <w:spacing w:after="140"/>
        <w:jc w:val="both"/>
      </w:pPr>
      <w:r>
        <w:t xml:space="preserve">The connection to the rest of the curriculum: SBOMs and SLSA (Module 2) are complementary evidence about software artifacts. SLSA attests to how an artifact was built; SBOMs enumerate what is in it. Both are typically signed via Sigstore (Module 4 will address this). Both feed consumption pipelines (Module 6 will address runtime enforcement) that turn evidence into operational protection. The modules fit together: SLSA provenance plus SBOM content plus signing plus dependency management plus runtime controls form a coherent layered defense.</w:t>
      </w:r>
    </w:p>
    <w:p>
      <w:pPr>
        <w:pStyle w:val="Heading2"/>
        <w:spacing w:after="160" w:before="280"/>
      </w:pPr>
      <w:r>
        <w:rPr>
          <w:b/>
          <w:bCs/>
        </w:rPr>
        <w:t xml:space="preserve">Review Questions</w:t>
      </w:r>
    </w:p>
    <w:p>
      <w:pPr>
        <w:pStyle w:val="ListParagraph"/>
        <w:numPr>
          <w:ilvl w:val="0"/>
          <w:numId w:val="2"/>
        </w:numPr>
        <w:spacing w:after="80"/>
      </w:pPr>
      <w:r>
        <w:t xml:space="preserve">Define what an SBOM contains and explain how it differs from a lockfile and from an asset inventory.</w:t>
      </w:r>
    </w:p>
    <w:p>
      <w:pPr>
        <w:pStyle w:val="ListParagraph"/>
        <w:numPr>
          <w:ilvl w:val="0"/>
          <w:numId w:val="2"/>
        </w:numPr>
        <w:spacing w:after="80"/>
      </w:pPr>
      <w:r>
        <w:t xml:space="preserve">Walk through the Log4Shell incident from the SBOM perspective. What specific question was hard to answer, and how would an SBOM have helped?</w:t>
      </w:r>
    </w:p>
    <w:p>
      <w:pPr>
        <w:pStyle w:val="ListParagraph"/>
        <w:numPr>
          <w:ilvl w:val="0"/>
          <w:numId w:val="2"/>
        </w:numPr>
        <w:spacing w:after="80"/>
      </w:pPr>
      <w:r>
        <w:t xml:space="preserve">Name six use cases for SBOMs beyond vulnerability response.</w:t>
      </w:r>
    </w:p>
    <w:p>
      <w:pPr>
        <w:pStyle w:val="ListParagraph"/>
        <w:numPr>
          <w:ilvl w:val="0"/>
          <w:numId w:val="2"/>
        </w:numPr>
        <w:spacing w:after="80"/>
      </w:pPr>
      <w:r>
        <w:t xml:space="preserve">Compare SPDX and CycloneDX. Name two differentiators for each and describe when you would choose each.</w:t>
      </w:r>
    </w:p>
    <w:p>
      <w:pPr>
        <w:pStyle w:val="ListParagraph"/>
        <w:numPr>
          <w:ilvl w:val="0"/>
          <w:numId w:val="2"/>
        </w:numPr>
        <w:spacing w:after="80"/>
      </w:pPr>
      <w:r>
        <w:t xml:space="preserve">What is the NTIA minimum elements for an SBOM? Why does the distinction between 'minimum elements' and 'useful SBOM' matter?</w:t>
      </w:r>
    </w:p>
    <w:p>
      <w:pPr>
        <w:pStyle w:val="ListParagraph"/>
        <w:numPr>
          <w:ilvl w:val="0"/>
          <w:numId w:val="2"/>
        </w:numPr>
        <w:spacing w:after="80"/>
      </w:pPr>
      <w:r>
        <w:t xml:space="preserve">Describe the role of syft in modern SBOM generation. What does it detect, and what does it produce?</w:t>
      </w:r>
    </w:p>
    <w:p>
      <w:pPr>
        <w:pStyle w:val="ListParagraph"/>
        <w:numPr>
          <w:ilvl w:val="0"/>
          <w:numId w:val="2"/>
        </w:numPr>
        <w:spacing w:after="80"/>
      </w:pPr>
      <w:r>
        <w:t xml:space="preserve">Why would you use a language-specific SBOM generator (like cyclonedx-maven-plugin) in addition to an artifact scanner like syft?</w:t>
      </w:r>
    </w:p>
    <w:p>
      <w:pPr>
        <w:pStyle w:val="ListParagraph"/>
        <w:numPr>
          <w:ilvl w:val="0"/>
          <w:numId w:val="2"/>
        </w:numPr>
        <w:spacing w:after="80"/>
      </w:pPr>
      <w:r>
        <w:t xml:space="preserve">Compare grype, osv-scanner, and trivy for vulnerability scanning. What are the distinguishing features of each?</w:t>
      </w:r>
    </w:p>
    <w:p>
      <w:pPr>
        <w:pStyle w:val="ListParagraph"/>
        <w:numPr>
          <w:ilvl w:val="0"/>
          <w:numId w:val="2"/>
        </w:numPr>
        <w:spacing w:after="80"/>
      </w:pPr>
      <w:r>
        <w:t xml:space="preserve">Explain VEX and why it matters. Give three VEX statuses and describe what each asserts.</w:t>
      </w:r>
    </w:p>
    <w:p>
      <w:pPr>
        <w:pStyle w:val="ListParagraph"/>
        <w:numPr>
          <w:ilvl w:val="0"/>
          <w:numId w:val="2"/>
        </w:numPr>
        <w:spacing w:after="80"/>
      </w:pPr>
      <w:r>
        <w:t xml:space="preserve">What is Executive Order 14028, and what did it require regarding SBOMs? How has this rippled through industry practice?</w:t>
      </w:r>
    </w:p>
    <w:p>
      <w:pPr>
        <w:pStyle w:val="ListParagraph"/>
        <w:numPr>
          <w:ilvl w:val="0"/>
          <w:numId w:val="2"/>
        </w:numPr>
        <w:spacing w:after="80"/>
      </w:pPr>
      <w:r>
        <w:t xml:space="preserve">Describe the EU Cyber Resilience Act's SBOM provisions. How does its scope compare to EO 14028?</w:t>
      </w:r>
    </w:p>
    <w:p>
      <w:pPr>
        <w:pStyle w:val="ListParagraph"/>
        <w:numPr>
          <w:ilvl w:val="0"/>
          <w:numId w:val="2"/>
        </w:numPr>
        <w:spacing w:after="80"/>
      </w:pPr>
      <w:r>
        <w:t xml:space="preserve">Why does the 'generate per build' best practice matter? What goes wrong if SBOMs are generated less frequently?</w:t>
      </w:r>
    </w:p>
    <w:p>
      <w:pPr>
        <w:pStyle w:val="ListParagraph"/>
        <w:numPr>
          <w:ilvl w:val="0"/>
          <w:numId w:val="2"/>
        </w:numPr>
        <w:spacing w:after="80"/>
      </w:pPr>
      <w:r>
        <w:t xml:space="preserve">Describe OCI referring artifacts and their role in SBOM storage. What problem do they solve?</w:t>
      </w:r>
    </w:p>
    <w:p>
      <w:pPr>
        <w:pStyle w:val="ListParagraph"/>
        <w:numPr>
          <w:ilvl w:val="0"/>
          <w:numId w:val="2"/>
        </w:numPr>
        <w:spacing w:after="80"/>
      </w:pPr>
      <w:r>
        <w:t xml:space="preserve">A team is adopting SBOMs from scratch. Sketch a minimum viable implementation covering generation, validation, scanning, and storage.</w:t>
      </w:r>
    </w:p>
    <w:p>
      <w:pPr>
        <w:pStyle w:val="Heading2"/>
        <w:spacing w:after="160" w:before="280"/>
      </w:pPr>
      <w:r>
        <w:rPr>
          <w:b/>
          <w:bCs/>
        </w:rPr>
        <w:t xml:space="preserve">Glossary</w:t>
      </w:r>
    </w:p>
    <w:p>
      <w:pPr>
        <w:pStyle w:val="ListParagraph"/>
        <w:numPr>
          <w:ilvl w:val="0"/>
          <w:numId w:val="2"/>
        </w:numPr>
        <w:spacing w:after="80"/>
      </w:pPr>
      <w:r>
        <w:rPr>
          <w:b/>
          <w:bCs/>
        </w:rPr>
        <w:t xml:space="preserve">Attestation: </w:t>
      </w:r>
      <w:r>
        <w:t xml:space="preserve">a signed statement about a software artifact; SBOMs are commonly distributed as signed attestations.</w:t>
      </w:r>
    </w:p>
    <w:p>
      <w:pPr>
        <w:pStyle w:val="ListParagraph"/>
        <w:numPr>
          <w:ilvl w:val="0"/>
          <w:numId w:val="2"/>
        </w:numPr>
        <w:spacing w:after="80"/>
      </w:pPr>
      <w:r>
        <w:rPr>
          <w:b/>
          <w:bCs/>
        </w:rPr>
        <w:t xml:space="preserve">CBOM (Cryptographic Bill of Materials): </w:t>
      </w:r>
      <w:r>
        <w:t xml:space="preserve">a CycloneDX variant inventorying cryptographic components in a product.</w:t>
      </w:r>
    </w:p>
    <w:p>
      <w:pPr>
        <w:pStyle w:val="ListParagraph"/>
        <w:numPr>
          <w:ilvl w:val="0"/>
          <w:numId w:val="2"/>
        </w:numPr>
        <w:spacing w:after="80"/>
      </w:pPr>
      <w:r>
        <w:rPr>
          <w:b/>
          <w:bCs/>
        </w:rPr>
        <w:t xml:space="preserve">cdxgen: </w:t>
      </w:r>
      <w:r>
        <w:t xml:space="preserve">an OWASP-associated CycloneDX-focused SBOM generator.</w:t>
      </w:r>
    </w:p>
    <w:p>
      <w:pPr>
        <w:pStyle w:val="ListParagraph"/>
        <w:numPr>
          <w:ilvl w:val="0"/>
          <w:numId w:val="2"/>
        </w:numPr>
        <w:spacing w:after="80"/>
      </w:pPr>
      <w:r>
        <w:rPr>
          <w:b/>
          <w:bCs/>
        </w:rPr>
        <w:t xml:space="preserve">CPE (Common Platform Enumeration): </w:t>
      </w:r>
      <w:r>
        <w:t xml:space="preserve">NIST's standardized identifier for software and hardware platforms; commonly used for vulnerability matching.</w:t>
      </w:r>
    </w:p>
    <w:p>
      <w:pPr>
        <w:pStyle w:val="ListParagraph"/>
        <w:numPr>
          <w:ilvl w:val="0"/>
          <w:numId w:val="2"/>
        </w:numPr>
        <w:spacing w:after="80"/>
      </w:pPr>
      <w:r>
        <w:rPr>
          <w:b/>
          <w:bCs/>
        </w:rPr>
        <w:t xml:space="preserve">CycloneDX: </w:t>
      </w:r>
      <w:r>
        <w:t xml:space="preserve">the OWASP-developed SBOM format, security-first in design, with native vulnerability and VEX support.</w:t>
      </w:r>
    </w:p>
    <w:p>
      <w:pPr>
        <w:pStyle w:val="ListParagraph"/>
        <w:numPr>
          <w:ilvl w:val="0"/>
          <w:numId w:val="2"/>
        </w:numPr>
        <w:spacing w:after="80"/>
      </w:pPr>
      <w:r>
        <w:rPr>
          <w:b/>
          <w:bCs/>
        </w:rPr>
        <w:t xml:space="preserve">Cyber Resilience Act (CRA): </w:t>
      </w:r>
      <w:r>
        <w:t xml:space="preserve">the EU regulation (adopted 2024) imposing cybersecurity and SBOM requirements on products with digital elements.</w:t>
      </w:r>
    </w:p>
    <w:p>
      <w:pPr>
        <w:pStyle w:val="ListParagraph"/>
        <w:numPr>
          <w:ilvl w:val="0"/>
          <w:numId w:val="2"/>
        </w:numPr>
        <w:spacing w:after="80"/>
      </w:pPr>
      <w:r>
        <w:rPr>
          <w:b/>
          <w:bCs/>
        </w:rPr>
        <w:t xml:space="preserve">Executive Order 14028: </w:t>
      </w:r>
      <w:r>
        <w:t xml:space="preserve">the May 2021 US executive order initiating federal supply-chain security requirements.</w:t>
      </w:r>
    </w:p>
    <w:p>
      <w:pPr>
        <w:pStyle w:val="ListParagraph"/>
        <w:numPr>
          <w:ilvl w:val="0"/>
          <w:numId w:val="2"/>
        </w:numPr>
        <w:spacing w:after="80"/>
      </w:pPr>
      <w:r>
        <w:rPr>
          <w:b/>
          <w:bCs/>
        </w:rPr>
        <w:t xml:space="preserve">grype: </w:t>
      </w:r>
      <w:r>
        <w:t xml:space="preserve">Anchore's SBOM-based vulnerability scanner, companion to syft.</w:t>
      </w:r>
    </w:p>
    <w:p>
      <w:pPr>
        <w:pStyle w:val="ListParagraph"/>
        <w:numPr>
          <w:ilvl w:val="0"/>
          <w:numId w:val="2"/>
        </w:numPr>
        <w:spacing w:after="80"/>
      </w:pPr>
      <w:r>
        <w:rPr>
          <w:b/>
          <w:bCs/>
        </w:rPr>
        <w:t xml:space="preserve">HBOM (Hardware Bill of Materials): </w:t>
      </w:r>
      <w:r>
        <w:t xml:space="preserve">a BOM variant for hardware components.</w:t>
      </w:r>
    </w:p>
    <w:p>
      <w:pPr>
        <w:pStyle w:val="ListParagraph"/>
        <w:numPr>
          <w:ilvl w:val="0"/>
          <w:numId w:val="2"/>
        </w:numPr>
        <w:spacing w:after="80"/>
      </w:pPr>
      <w:r>
        <w:rPr>
          <w:b/>
          <w:bCs/>
        </w:rPr>
        <w:t xml:space="preserve">MBOM (Machine-Learning Bill of Materials): </w:t>
      </w:r>
      <w:r>
        <w:t xml:space="preserve">a BOM variant for ML models and training data.</w:t>
      </w:r>
    </w:p>
    <w:p>
      <w:pPr>
        <w:pStyle w:val="ListParagraph"/>
        <w:numPr>
          <w:ilvl w:val="0"/>
          <w:numId w:val="2"/>
        </w:numPr>
        <w:spacing w:after="80"/>
      </w:pPr>
      <w:r>
        <w:rPr>
          <w:b/>
          <w:bCs/>
        </w:rPr>
        <w:t xml:space="preserve">NTIA Minimum Elements: </w:t>
      </w:r>
      <w:r>
        <w:t xml:space="preserve">the US federal specification of what counts as an acceptable SBOM.</w:t>
      </w:r>
    </w:p>
    <w:p>
      <w:pPr>
        <w:pStyle w:val="ListParagraph"/>
        <w:numPr>
          <w:ilvl w:val="0"/>
          <w:numId w:val="2"/>
        </w:numPr>
        <w:spacing w:after="80"/>
      </w:pPr>
      <w:r>
        <w:rPr>
          <w:b/>
          <w:bCs/>
        </w:rPr>
        <w:t xml:space="preserve">OCI Referring Artifact: </w:t>
      </w:r>
      <w:r>
        <w:t xml:space="preserve">an OCI artifact that references a primary artifact via its manifest, used for storing SBOMs and attestations alongside images.</w:t>
      </w:r>
    </w:p>
    <w:p>
      <w:pPr>
        <w:pStyle w:val="ListParagraph"/>
        <w:numPr>
          <w:ilvl w:val="0"/>
          <w:numId w:val="2"/>
        </w:numPr>
        <w:spacing w:after="80"/>
      </w:pPr>
      <w:r>
        <w:rPr>
          <w:b/>
          <w:bCs/>
        </w:rPr>
        <w:t xml:space="preserve">OMB M-22-18: </w:t>
      </w:r>
      <w:r>
        <w:t xml:space="preserve">the Office of Management and Budget memorandum operationalizing EO 14028's software-supply-chain requirements.</w:t>
      </w:r>
    </w:p>
    <w:p>
      <w:pPr>
        <w:pStyle w:val="ListParagraph"/>
        <w:numPr>
          <w:ilvl w:val="0"/>
          <w:numId w:val="2"/>
        </w:numPr>
        <w:spacing w:after="80"/>
      </w:pPr>
      <w:r>
        <w:rPr>
          <w:b/>
          <w:bCs/>
        </w:rPr>
        <w:t xml:space="preserve">OSV.dev: </w:t>
      </w:r>
      <w:r>
        <w:t xml:space="preserve">Google's open vulnerability database aggregating ecosystem-specific advisory sources.</w:t>
      </w:r>
    </w:p>
    <w:p>
      <w:pPr>
        <w:pStyle w:val="ListParagraph"/>
        <w:numPr>
          <w:ilvl w:val="0"/>
          <w:numId w:val="2"/>
        </w:numPr>
        <w:spacing w:after="80"/>
      </w:pPr>
      <w:r>
        <w:rPr>
          <w:b/>
          <w:bCs/>
        </w:rPr>
        <w:t xml:space="preserve">osv-scanner: </w:t>
      </w:r>
      <w:r>
        <w:t xml:space="preserve">Google's SBOM-aware vulnerability scanner using OSV.dev as its data source.</w:t>
      </w:r>
    </w:p>
    <w:p>
      <w:pPr>
        <w:pStyle w:val="ListParagraph"/>
        <w:numPr>
          <w:ilvl w:val="0"/>
          <w:numId w:val="2"/>
        </w:numPr>
        <w:spacing w:after="80"/>
      </w:pPr>
      <w:r>
        <w:rPr>
          <w:b/>
          <w:bCs/>
        </w:rPr>
        <w:t xml:space="preserve">purl (Package URL): </w:t>
      </w:r>
      <w:r>
        <w:t xml:space="preserve">a package-manager-aware identifier format, e.g., pkg:maven/org.apache.logging.log4j/log4j-core@2.17.1.</w:t>
      </w:r>
    </w:p>
    <w:p>
      <w:pPr>
        <w:pStyle w:val="ListParagraph"/>
        <w:numPr>
          <w:ilvl w:val="0"/>
          <w:numId w:val="2"/>
        </w:numPr>
        <w:spacing w:after="80"/>
      </w:pPr>
      <w:r>
        <w:rPr>
          <w:b/>
          <w:bCs/>
        </w:rPr>
        <w:t xml:space="preserve">SaaSBOM: </w:t>
      </w:r>
      <w:r>
        <w:t xml:space="preserve">a CycloneDX variant inventorying service dependencies.</w:t>
      </w:r>
    </w:p>
    <w:p>
      <w:pPr>
        <w:pStyle w:val="ListParagraph"/>
        <w:numPr>
          <w:ilvl w:val="0"/>
          <w:numId w:val="2"/>
        </w:numPr>
        <w:spacing w:after="80"/>
      </w:pPr>
      <w:r>
        <w:rPr>
          <w:b/>
          <w:bCs/>
        </w:rPr>
        <w:t xml:space="preserve">SBOM (Software Bill of Materials): </w:t>
      </w:r>
      <w:r>
        <w:t xml:space="preserve">a structured inventory of the components in a software artifact.</w:t>
      </w:r>
    </w:p>
    <w:p>
      <w:pPr>
        <w:pStyle w:val="ListParagraph"/>
        <w:numPr>
          <w:ilvl w:val="0"/>
          <w:numId w:val="2"/>
        </w:numPr>
        <w:spacing w:after="80"/>
      </w:pPr>
      <w:r>
        <w:rPr>
          <w:b/>
          <w:bCs/>
        </w:rPr>
        <w:t xml:space="preserve">SPDX (Software Package Data Exchange): </w:t>
      </w:r>
      <w:r>
        <w:t xml:space="preserve">the Linux Foundation's SBOM format, ISO/IEC 5962:2021.</w:t>
      </w:r>
    </w:p>
    <w:p>
      <w:pPr>
        <w:pStyle w:val="ListParagraph"/>
        <w:numPr>
          <w:ilvl w:val="0"/>
          <w:numId w:val="2"/>
        </w:numPr>
        <w:spacing w:after="80"/>
      </w:pPr>
      <w:r>
        <w:rPr>
          <w:b/>
          <w:bCs/>
        </w:rPr>
        <w:t xml:space="preserve">SPDX License Expression: </w:t>
      </w:r>
      <w:r>
        <w:t xml:space="preserve">a standardized syntax for identifying software licenses.</w:t>
      </w:r>
    </w:p>
    <w:p>
      <w:pPr>
        <w:pStyle w:val="ListParagraph"/>
        <w:numPr>
          <w:ilvl w:val="0"/>
          <w:numId w:val="2"/>
        </w:numPr>
        <w:spacing w:after="80"/>
      </w:pPr>
      <w:r>
        <w:rPr>
          <w:b/>
          <w:bCs/>
        </w:rPr>
        <w:t xml:space="preserve">SSDF (Secure Software Development Framework): </w:t>
      </w:r>
      <w:r>
        <w:t xml:space="preserve">NIST's framework (SP 800-218) for secure software development, referenced by EO 14028.</w:t>
      </w:r>
    </w:p>
    <w:p>
      <w:pPr>
        <w:pStyle w:val="ListParagraph"/>
        <w:numPr>
          <w:ilvl w:val="0"/>
          <w:numId w:val="2"/>
        </w:numPr>
        <w:spacing w:after="80"/>
      </w:pPr>
      <w:r>
        <w:rPr>
          <w:b/>
          <w:bCs/>
        </w:rPr>
        <w:t xml:space="preserve">SWID: </w:t>
      </w:r>
      <w:r>
        <w:t xml:space="preserve">Software Identification Tag; an older software-identification format, accepted alongside SPDX and CycloneDX in NTIA guidance.</w:t>
      </w:r>
    </w:p>
    <w:p>
      <w:pPr>
        <w:pStyle w:val="ListParagraph"/>
        <w:numPr>
          <w:ilvl w:val="0"/>
          <w:numId w:val="2"/>
        </w:numPr>
        <w:spacing w:after="80"/>
      </w:pPr>
      <w:r>
        <w:rPr>
          <w:b/>
          <w:bCs/>
        </w:rPr>
        <w:t xml:space="preserve">syft: </w:t>
      </w:r>
      <w:r>
        <w:t xml:space="preserve">Anchore's general-purpose SBOM generator, the dominant open-source tool in the space.</w:t>
      </w:r>
    </w:p>
    <w:p>
      <w:pPr>
        <w:pStyle w:val="ListParagraph"/>
        <w:numPr>
          <w:ilvl w:val="0"/>
          <w:numId w:val="2"/>
        </w:numPr>
        <w:spacing w:after="80"/>
      </w:pPr>
      <w:r>
        <w:rPr>
          <w:b/>
          <w:bCs/>
        </w:rPr>
        <w:t xml:space="preserve">trivy: </w:t>
      </w:r>
      <w:r>
        <w:t xml:space="preserve">Aqua Security's multi-purpose scanner, combining vulnerability, IaC, and secret scanning in one tool.</w:t>
      </w:r>
    </w:p>
    <w:p>
      <w:pPr>
        <w:pStyle w:val="ListParagraph"/>
        <w:numPr>
          <w:ilvl w:val="0"/>
          <w:numId w:val="2"/>
        </w:numPr>
        <w:spacing w:after="80"/>
      </w:pPr>
      <w:r>
        <w:rPr>
          <w:b/>
          <w:bCs/>
        </w:rPr>
        <w:t xml:space="preserve">VEX (Vulnerability Exploitability eXchange): </w:t>
      </w:r>
      <w:r>
        <w:t xml:space="preserve">a standard for asserting whether a specific vulnerability is actually exploitable in a specific product.</w:t>
      </w:r>
    </w:p>
    <w:p>
      <w:pPr>
        <w:pStyle w:val="Heading2"/>
        <w:spacing w:after="160" w:before="280"/>
      </w:pPr>
      <w:r>
        <w:rPr>
          <w:b/>
          <w:bCs/>
        </w:rPr>
        <w:t xml:space="preserve">Closing Note</w:t>
      </w:r>
    </w:p>
    <w:p>
      <w:pPr>
        <w:spacing w:after="140"/>
        <w:jc w:val="both"/>
      </w:pPr>
      <w:r>
        <w:t xml:space="preserve">SBOMs have gone from a niche license-compliance tool to a core supply-chain-security requirement in about five years. The shift is substantial but not yet complete: many organizations generate SBOMs but do not yet consume them effectively, many software vendors produce SBOMs only for federal contracts, and many dependency ecosystems have incomplete SBOM coverage for their packages. The regulatory forces will push these gaps closed over the next several years, but the operational teams that lead rather than follow this push have substantially better outcomes during incidents.</w:t>
      </w:r>
    </w:p>
    <w:p>
      <w:pPr>
        <w:spacing w:after="140"/>
        <w:jc w:val="both"/>
      </w:pPr>
      <w:r>
        <w:t xml:space="preserve">The practical implication: treat SBOM generation as a baseline expectation for every build pipeline you operate. Pair generation with consumption — vulnerability scanning at minimum, with VEX-based filtering for signal quality. Store SBOMs as OCI referring artifacts so they travel with the artifact itself. Invest incrementally in the related controls — signing, admission policies, dashboards — that turn the raw SBOM data into operational value.</w:t>
      </w:r>
    </w:p>
    <w:p>
      <w:pPr>
        <w:spacing w:after="140"/>
        <w:jc w:val="both"/>
      </w:pPr>
      <w:r>
        <w:t xml:space="preserve">Module 4 of this curriculum will address signing and verification in detail — the Sigstore, cosign, and Rekor tooling that underpins both SLSA attestation signing and SBOM signing. The signing infrastructure is the third leg of the table alongside the SLSA framework (Module 2) and SBOMs (this module); together they form the substrate on which the runtime enforcement patterns in later modules are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Supply Chain Security — Module 3: SBOM</dc:title>
  <dc:creator>Claude</dc:creator>
  <dc:description>Comprehensive study guide for Module 3: SBOM (Software Bill of Materials)</dc:description>
  <cp:lastModifiedBy>Un-named</cp:lastModifiedBy>
  <cp:revision>1</cp:revision>
  <dcterms:created xsi:type="dcterms:W3CDTF">2026-04-17T07:28:55.456Z</dcterms:created>
  <dcterms:modified xsi:type="dcterms:W3CDTF">2026-04-17T07:28:55.457Z</dcterms:modified>
</cp:coreProperties>
</file>

<file path=docProps/custom.xml><?xml version="1.0" encoding="utf-8"?>
<Properties xmlns="http://schemas.openxmlformats.org/officeDocument/2006/custom-properties" xmlns:vt="http://schemas.openxmlformats.org/officeDocument/2006/docPropsVTypes"/>
</file>