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Architecture Governance</w:t>
      </w:r>
    </w:p>
    <w:p>
      <w:pPr>
        <w:spacing w:after="120" w:before="120"/>
        <w:jc w:val="center"/>
      </w:pPr>
      <w:r>
        <w:rPr>
          <w:i/>
          <w:iCs/>
          <w:color w:val="555555"/>
          <w:sz w:val="28"/>
          <w:szCs w:val="28"/>
        </w:rPr>
        <w:t xml:space="preserve">Structures · Processes · Principles · Decisions</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Covers Architecture Board, Compliance Reviews, Dispensations, Principles, Repository, Maturity, ADRs and Architecture Contracts.</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Introduction — Why Architecture Governance Matters</w:t>
      </w:r>
    </w:p>
    <w:p>
      <w:pPr>
        <w:spacing w:after="80" w:before="80" w:line="300"/>
        <w:jc w:val="both"/>
      </w:pPr>
      <w:r>
        <w:t xml:space="preserve">An enterprise architecture without governance is a collection of diagrams. Governance is what turns architecture into a living, authoritative, business-aligned asset. It ensures that architectures are delivered to the right quality, that implementations stay faithful to what was approved, that exceptions are handled fairly, and that the architecture itself is continuously improved.</w:t>
      </w:r>
    </w:p>
    <w:p>
      <w:pPr>
        <w:spacing w:after="80" w:before="80" w:line="300"/>
        <w:jc w:val="both"/>
      </w:pPr>
      <w:r>
        <w:t xml:space="preserve">TOGAF 10 defines Architecture Governance as the practice and orientation by which enterprise architectures and other architectures are managed and controlled at an enterprise-wide level. It is not a single activity — it is a system made up of structures (like the Architecture Board), processes (like Compliance Reviews and Dispensations), rules (like Principles), assets (like the Architecture Repository), measurements (like the Maturity Model), records (like ADRs), and agreements (like Architecture Contracts). This guide walks through each in depth.</w:t>
      </w:r>
    </w:p>
    <w:p>
      <w:pPr>
        <w:pStyle w:val="Heading1"/>
        <w:pageBreakBefore/>
        <w:spacing w:after="180" w:before="360"/>
      </w:pPr>
      <w:r>
        <w:t xml:space="preserve">1. Architecture Governance Overview</w:t>
      </w:r>
    </w:p>
    <w:p>
      <w:pPr>
        <w:pStyle w:val="Heading2"/>
        <w:spacing w:after="120" w:before="260"/>
      </w:pPr>
      <w:r>
        <w:t xml:space="preserve">1.1 Definition</w:t>
      </w:r>
    </w:p>
    <w:p>
      <w:pPr>
        <w:spacing w:after="80" w:before="80" w:line="300"/>
        <w:jc w:val="both"/>
      </w:pPr>
      <w:r>
        <w:t xml:space="preserve">Architecture Governance is the practice by which enterprise architectures are managed and controlled. It operates across the entire architecture lifecycle — from initial principles and vision, through development of baseline and target architectures, through implementation, and into ongoing change management. It ensures both the quality of architectural deliverables and the conformance of implementations.</w:t>
      </w:r>
    </w:p>
    <w:p>
      <w:pPr>
        <w:spacing w:after="80" w:before="80" w:line="300"/>
        <w:jc w:val="both"/>
      </w:pPr>
      <w:r>
        <w:t xml:space="preserve">Governance sits at the intersection of three other disciplines. Corporate Governance sets the direction ("what" the enterprise must do). IT Governance ensures IT delivers value. Architecture Governance sits beneath both, ensuring architectural integrity is maintained as the organization delivers that value.</w:t>
      </w:r>
    </w:p>
    <w:p>
      <w:pPr>
        <w:pStyle w:val="Heading2"/>
        <w:spacing w:after="120" w:before="260"/>
      </w:pPr>
      <w:r>
        <w:t xml:space="preserve">1.2 Characteristics of Effective Architecture Governance</w:t>
      </w:r>
    </w:p>
    <w:p>
      <w:pPr>
        <w:spacing w:after="80" w:before="80" w:line="300"/>
        <w:jc w:val="both"/>
      </w:pPr>
      <w:r>
        <w:t xml:space="preserve">TOGAF identifies the characteristics that good governance must exhibit. These are high-yield — memorize them as they frequently appear on exams and in real governance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Characteristic</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Discipline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All parties commit to adhering to procedures, processes, and authority structures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Transparency</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All actions, decisions, and their rationales are visible to all authorized parties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Independence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 bodies act without conflicts of interest — those who develop do not approve their own work</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Accountability</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Identifiable groups are authorized and responsible for their actions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Responsibility</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Each contracted party acts responsibly to the organization and its stakeholders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Fairness</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All decisions, processes, and mechanisms are equitable</w:t>
            </w:r>
          </w:p>
        </w:tc>
      </w:tr>
    </w:tbl>
    <w:p>
      <w:pPr>
        <w:pStyle w:val="Heading2"/>
        <w:spacing w:after="120" w:before="260"/>
      </w:pPr>
      <w:r>
        <w:t xml:space="preserve">1.3 Benefits of Architecture Governance</w:t>
      </w:r>
    </w:p>
    <w:p>
      <w:pPr>
        <w:pStyle w:val="ListParagraph"/>
        <w:numPr>
          <w:ilvl w:val="0"/>
          <w:numId w:val="2"/>
        </w:numPr>
        <w:spacing w:after="40" w:before="40" w:line="280"/>
      </w:pPr>
      <w:r>
        <w:rPr>
          <w:b/>
          <w:bCs/>
        </w:rPr>
        <w:t xml:space="preserve">Increased transparency: </w:t>
      </w:r>
      <w:r>
        <w:t xml:space="preserve">decisions and rationales are visible and auditable.</w:t>
      </w:r>
    </w:p>
    <w:p>
      <w:pPr>
        <w:pStyle w:val="ListParagraph"/>
        <w:numPr>
          <w:ilvl w:val="0"/>
          <w:numId w:val="2"/>
        </w:numPr>
        <w:spacing w:after="40" w:before="40" w:line="280"/>
      </w:pPr>
      <w:r>
        <w:rPr>
          <w:b/>
          <w:bCs/>
        </w:rPr>
        <w:t xml:space="preserve">Reduced duplication: </w:t>
      </w:r>
      <w:r>
        <w:t xml:space="preserve">reuse of shared services, common standards, and reference architectures.</w:t>
      </w:r>
    </w:p>
    <w:p>
      <w:pPr>
        <w:pStyle w:val="ListParagraph"/>
        <w:numPr>
          <w:ilvl w:val="0"/>
          <w:numId w:val="2"/>
        </w:numPr>
        <w:spacing w:after="40" w:before="40" w:line="280"/>
      </w:pPr>
      <w:r>
        <w:rPr>
          <w:b/>
          <w:bCs/>
        </w:rPr>
        <w:t xml:space="preserve">Risk reduction: </w:t>
      </w:r>
      <w:r>
        <w:t xml:space="preserve">conformance and exception handling prevent uncontrolled deviation.</w:t>
      </w:r>
    </w:p>
    <w:p>
      <w:pPr>
        <w:pStyle w:val="ListParagraph"/>
        <w:numPr>
          <w:ilvl w:val="0"/>
          <w:numId w:val="2"/>
        </w:numPr>
        <w:spacing w:after="40" w:before="40" w:line="280"/>
      </w:pPr>
      <w:r>
        <w:rPr>
          <w:b/>
          <w:bCs/>
        </w:rPr>
        <w:t xml:space="preserve">Cost avoidance: </w:t>
      </w:r>
      <w:r>
        <w:t xml:space="preserve">fewer re-work cycles, fewer legacy "orphan" systems, better buy-vs-build decisions.</w:t>
      </w:r>
    </w:p>
    <w:p>
      <w:pPr>
        <w:pStyle w:val="ListParagraph"/>
        <w:numPr>
          <w:ilvl w:val="0"/>
          <w:numId w:val="2"/>
        </w:numPr>
        <w:spacing w:after="40" w:before="40" w:line="280"/>
      </w:pPr>
      <w:r>
        <w:rPr>
          <w:b/>
          <w:bCs/>
        </w:rPr>
        <w:t xml:space="preserve">Strategic alignment: </w:t>
      </w:r>
      <w:r>
        <w:t xml:space="preserve">every initiative is traceable to business strategy.</w:t>
      </w:r>
    </w:p>
    <w:p>
      <w:pPr>
        <w:pStyle w:val="ListParagraph"/>
        <w:numPr>
          <w:ilvl w:val="0"/>
          <w:numId w:val="2"/>
        </w:numPr>
        <w:spacing w:after="40" w:before="40" w:line="280"/>
      </w:pPr>
      <w:r>
        <w:rPr>
          <w:b/>
          <w:bCs/>
        </w:rPr>
        <w:t xml:space="preserve">Regulatory compliance: </w:t>
      </w:r>
      <w:r>
        <w:t xml:space="preserve">controls around data, technology, and change satisfy auditors.</w:t>
      </w:r>
    </w:p>
    <w:p>
      <w:pPr>
        <w:pStyle w:val="ListParagraph"/>
        <w:numPr>
          <w:ilvl w:val="0"/>
          <w:numId w:val="2"/>
        </w:numPr>
        <w:spacing w:after="40" w:before="40" w:line="280"/>
      </w:pPr>
      <w:r>
        <w:rPr>
          <w:b/>
          <w:bCs/>
        </w:rPr>
        <w:t xml:space="preserve">Improved quality: </w:t>
      </w:r>
      <w:r>
        <w:t xml:space="preserve">consistent reviews catch design flaws early.</w:t>
      </w:r>
    </w:p>
    <w:p>
      <w:pPr>
        <w:pStyle w:val="Heading2"/>
        <w:spacing w:after="120" w:before="260"/>
      </w:pPr>
      <w:r>
        <w:t xml:space="preserve">1.4 The Four Levels of Architecture Governance</w:t>
      </w:r>
    </w:p>
    <w:p>
      <w:pPr>
        <w:spacing w:after="80" w:before="80" w:line="300"/>
        <w:jc w:val="both"/>
      </w:pPr>
      <w:r>
        <w:t xml:space="preserve">TOGAF distinguishes levels of governance because different decisions belong to different forums. The levels form a natural escalation hierarchy — a decision unresolved at one level moves up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Scope</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Body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Corporate / Enterprise</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Strategy, investment, enterprise-wide principles</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Board of Directors, Executive Committee</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 / IT</w:t>
            </w:r>
          </w:p>
        </w:tc>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IT strategy, enterprise technology standards</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IT Executive Committee, CIO</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principles, patterns, compliance, dispensations</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Board</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 / Project</w:t>
            </w:r>
          </w:p>
        </w:tc>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Project-level conformance &amp; design decisions</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Project Architecture Review Team, Design Authority</w:t>
            </w:r>
          </w:p>
        </w:tc>
      </w:tr>
    </w:tbl>
    <w:p>
      <w:pPr>
        <w:pStyle w:val="Heading2"/>
        <w:spacing w:after="120" w:before="260"/>
      </w:pPr>
      <w:r>
        <w:t xml:space="preserve">1.5 The Governance Framework — Conceptual Structure</w:t>
      </w:r>
    </w:p>
    <w:p>
      <w:pPr>
        <w:spacing w:after="80" w:before="80" w:line="300"/>
        <w:jc w:val="both"/>
      </w:pPr>
      <w:r>
        <w:t xml:space="preserve">TOGAF models governance conceptually as three interlocking parts — Context, Content, and Process — supported by a Repository. Understanding this model makes the rest of governance concrete.</w:t>
      </w:r>
    </w:p>
    <w:p>
      <w:pPr>
        <w:pStyle w:val="ListParagraph"/>
        <w:numPr>
          <w:ilvl w:val="0"/>
          <w:numId w:val="2"/>
        </w:numPr>
        <w:spacing w:after="40" w:before="40" w:line="280"/>
      </w:pPr>
      <w:r>
        <w:rPr>
          <w:b/>
          <w:bCs/>
        </w:rPr>
        <w:t xml:space="preserve">Context: </w:t>
      </w:r>
      <w:r>
        <w:t xml:space="preserve">the environment in which governance operates — regulations, enterprise policies, corporate direction, external drivers.</w:t>
      </w:r>
    </w:p>
    <w:p>
      <w:pPr>
        <w:pStyle w:val="ListParagraph"/>
        <w:numPr>
          <w:ilvl w:val="0"/>
          <w:numId w:val="2"/>
        </w:numPr>
        <w:spacing w:after="40" w:before="40" w:line="280"/>
      </w:pPr>
      <w:r>
        <w:rPr>
          <w:b/>
          <w:bCs/>
        </w:rPr>
        <w:t xml:space="preserve">Content: </w:t>
      </w:r>
      <w:r>
        <w:t xml:space="preserve">the things being governed — architecture deliverables, principles, standards, contracts, models, solutions.</w:t>
      </w:r>
    </w:p>
    <w:p>
      <w:pPr>
        <w:pStyle w:val="ListParagraph"/>
        <w:numPr>
          <w:ilvl w:val="0"/>
          <w:numId w:val="2"/>
        </w:numPr>
        <w:spacing w:after="40" w:before="40" w:line="280"/>
      </w:pPr>
      <w:r>
        <w:rPr>
          <w:b/>
          <w:bCs/>
        </w:rPr>
        <w:t xml:space="preserve">Process: </w:t>
      </w:r>
      <w:r>
        <w:t xml:space="preserve">the activities that govern — approvals, reviews, dispensations, monitoring, reporting, escalation.</w:t>
      </w:r>
    </w:p>
    <w:p>
      <w:pPr>
        <w:pStyle w:val="ListParagraph"/>
        <w:numPr>
          <w:ilvl w:val="0"/>
          <w:numId w:val="2"/>
        </w:numPr>
        <w:spacing w:after="40" w:before="40" w:line="280"/>
      </w:pPr>
      <w:r>
        <w:rPr>
          <w:b/>
          <w:bCs/>
        </w:rPr>
        <w:t xml:space="preserve">Repository: </w:t>
      </w:r>
      <w:r>
        <w:t xml:space="preserve">the persistent store of Context and Content, enabling traceability, audit, and reuse.</w:t>
      </w:r>
    </w:p>
    <w:p>
      <w:pPr>
        <w:pStyle w:val="Heading2"/>
        <w:spacing w:after="120" w:before="260"/>
      </w:pPr>
      <w:r>
        <w:t xml:space="preserve">1.6 Governance Versus Management</w:t>
      </w:r>
    </w:p>
    <w:p>
      <w:pPr>
        <w:spacing w:after="80" w:before="80" w:line="300"/>
        <w:jc w:val="both"/>
      </w:pPr>
      <w:r>
        <w:t xml:space="preserve">A frequent point of confusion, and a common exam trap. Governance decides what should be done and sets the rules; Management executes within those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Aspect</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Governance</w:t>
            </w:r>
          </w:p>
        </w:tc>
        <w:tc>
          <w:tcPr>
            <w:tcW w:type="dxa" w:w="36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Management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Question answered</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Are we doing the right things?</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Are we doing things right?</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Focus</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Direction, accountability, control</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Execution, coordination, delivery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Time horizon</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and long-term</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Operational and near-term</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Outputs</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Decisions, principles, policies, approvals</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Deliverables, services,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retailer stands up its Architecture Governance as follows:</w:t>
            </w:r>
          </w:p>
          <w:p>
            <w:pPr>
              <w:spacing w:after="40" w:before="40" w:line="280"/>
            </w:pPr>
            <w:r>
              <w:t xml:space="preserve">— Corporate level: Board sets strategic priority of "unify customer experience across channels."</w:t>
            </w:r>
          </w:p>
          <w:p>
            <w:pPr>
              <w:spacing w:after="40" w:before="40" w:line="280"/>
            </w:pPr>
            <w:r>
              <w:t xml:space="preserve">— IT level: CIO committee approves a 3-year cloud-first strategy and £180M investment envelope.</w:t>
            </w:r>
          </w:p>
          <w:p>
            <w:pPr>
              <w:spacing w:after="40" w:before="40" w:line="280"/>
            </w:pPr>
            <w:r>
              <w:t xml:space="preserve">— Architecture level: Architecture Board ratifies principles ("Data is an asset," "Cloud-first," "APIs before UIs"), approves reference architectures, owns the dispensation process.</w:t>
            </w:r>
          </w:p>
          <w:p>
            <w:pPr>
              <w:spacing w:after="40" w:before="40" w:line="280"/>
            </w:pPr>
            <w:r>
              <w:t xml:space="preserve">— Solution level: each programme has a Design Authority that enforces conformance in day-to-day delivery.</w:t>
            </w:r>
          </w:p>
          <w:p>
            <w:pPr>
              <w:spacing w:after="40" w:before="40" w:line="280"/>
            </w:pPr>
            <w:r>
              <w:t xml:space="preserve">When a project wants to deploy on-prem, the Design Authority escalates to the Architecture Board, which decides whether the deviation is justified or a dispensation is required.</w:t>
            </w:r>
          </w:p>
        </w:tc>
      </w:tr>
    </w:tbl>
    <w:p>
      <w:pPr>
        <w:pStyle w:val="Heading1"/>
        <w:pageBreakBefore/>
        <w:spacing w:after="180" w:before="360"/>
      </w:pPr>
      <w:r>
        <w:t xml:space="preserve">2. Architecture Board</w:t>
      </w:r>
    </w:p>
    <w:p>
      <w:pPr>
        <w:pStyle w:val="Heading2"/>
        <w:spacing w:after="120" w:before="260"/>
      </w:pPr>
      <w:r>
        <w:t xml:space="preserve">2.1 Purpose</w:t>
      </w:r>
    </w:p>
    <w:p>
      <w:pPr>
        <w:spacing w:after="80" w:before="80" w:line="300"/>
        <w:jc w:val="both"/>
      </w:pPr>
      <w:r>
        <w:t xml:space="preserve">The Architecture Board is the cross-functional body representing all the key stakeholders in the architecture, formally empowered to oversee the implementation of the enterprise architecture strategy. It is the single most important governance structure in TOGAF. Without a functioning Architecture Board, governance becomes advisory, and advisory governance is easily ignored.</w:t>
      </w:r>
    </w:p>
    <w:p>
      <w:pPr>
        <w:spacing w:after="80" w:before="80" w:line="300"/>
        <w:jc w:val="both"/>
      </w:pPr>
      <w:r>
        <w:t xml:space="preserve">TOGAF recommends establishing a Board at each scope of architecture — a global Board for enterprise-wide architecture, potentially with Segment Boards for major business domains, and Capability-level review teams closer to delivery. The Boards form a federation that escalates cleanly.</w:t>
      </w:r>
    </w:p>
    <w:p>
      <w:pPr>
        <w:pStyle w:val="Heading2"/>
        <w:spacing w:after="120" w:before="260"/>
      </w:pPr>
      <w:r>
        <w:t xml:space="preserve">2.2 Responsibilities</w:t>
      </w:r>
    </w:p>
    <w:p>
      <w:pPr>
        <w:pStyle w:val="ListParagraph"/>
        <w:numPr>
          <w:ilvl w:val="0"/>
          <w:numId w:val="3"/>
        </w:numPr>
        <w:spacing w:after="40" w:before="40" w:line="280"/>
      </w:pPr>
      <w:r>
        <w:t xml:space="preserve">Providing the basis for all decision-making with regard to the architectures.</w:t>
      </w:r>
    </w:p>
    <w:p>
      <w:pPr>
        <w:pStyle w:val="ListParagraph"/>
        <w:numPr>
          <w:ilvl w:val="0"/>
          <w:numId w:val="3"/>
        </w:numPr>
        <w:spacing w:after="40" w:before="40" w:line="280"/>
      </w:pPr>
      <w:r>
        <w:t xml:space="preserve">Consistency between sub-architectures (segments) and the enterprise architecture.</w:t>
      </w:r>
    </w:p>
    <w:p>
      <w:pPr>
        <w:pStyle w:val="ListParagraph"/>
        <w:numPr>
          <w:ilvl w:val="0"/>
          <w:numId w:val="3"/>
        </w:numPr>
        <w:spacing w:after="40" w:before="40" w:line="280"/>
      </w:pPr>
      <w:r>
        <w:t xml:space="preserve">Establishing targets for re-use of components.</w:t>
      </w:r>
    </w:p>
    <w:p>
      <w:pPr>
        <w:pStyle w:val="ListParagraph"/>
        <w:numPr>
          <w:ilvl w:val="0"/>
          <w:numId w:val="3"/>
        </w:numPr>
        <w:spacing w:after="40" w:before="40" w:line="280"/>
      </w:pPr>
      <w:r>
        <w:t xml:space="preserve">Flexibility of enterprise architecture to accommodate changing business needs and emerging technology.</w:t>
      </w:r>
    </w:p>
    <w:p>
      <w:pPr>
        <w:pStyle w:val="ListParagraph"/>
        <w:numPr>
          <w:ilvl w:val="0"/>
          <w:numId w:val="3"/>
        </w:numPr>
        <w:spacing w:after="40" w:before="40" w:line="280"/>
      </w:pPr>
      <w:r>
        <w:t xml:space="preserve">Enforcement of Architecture Compliance.</w:t>
      </w:r>
    </w:p>
    <w:p>
      <w:pPr>
        <w:pStyle w:val="ListParagraph"/>
        <w:numPr>
          <w:ilvl w:val="0"/>
          <w:numId w:val="3"/>
        </w:numPr>
        <w:spacing w:after="40" w:before="40" w:line="280"/>
      </w:pPr>
      <w:r>
        <w:t xml:space="preserve">Improving the maturity level of architecture discipline within the organization.</w:t>
      </w:r>
    </w:p>
    <w:p>
      <w:pPr>
        <w:pStyle w:val="ListParagraph"/>
        <w:numPr>
          <w:ilvl w:val="0"/>
          <w:numId w:val="3"/>
        </w:numPr>
        <w:spacing w:after="40" w:before="40" w:line="280"/>
      </w:pPr>
      <w:r>
        <w:t xml:space="preserve">Ensuring that the discipline of architecture-based development is adopted.</w:t>
      </w:r>
    </w:p>
    <w:p>
      <w:pPr>
        <w:pStyle w:val="ListParagraph"/>
        <w:numPr>
          <w:ilvl w:val="0"/>
          <w:numId w:val="3"/>
        </w:numPr>
        <w:spacing w:after="40" w:before="40" w:line="280"/>
      </w:pPr>
      <w:r>
        <w:t xml:space="preserve">Supporting a visible escalation capability for out-of-bounds decisions.</w:t>
      </w:r>
    </w:p>
    <w:p>
      <w:pPr>
        <w:pStyle w:val="ListParagraph"/>
        <w:numPr>
          <w:ilvl w:val="0"/>
          <w:numId w:val="3"/>
        </w:numPr>
        <w:spacing w:after="40" w:before="40" w:line="280"/>
      </w:pPr>
      <w:r>
        <w:t xml:space="preserve">Issuing dispensations and tracking them to expiry.</w:t>
      </w:r>
    </w:p>
    <w:p>
      <w:pPr>
        <w:pStyle w:val="ListParagraph"/>
        <w:numPr>
          <w:ilvl w:val="0"/>
          <w:numId w:val="3"/>
        </w:numPr>
        <w:spacing w:after="40" w:before="40" w:line="280"/>
      </w:pPr>
      <w:r>
        <w:t xml:space="preserve">Approving Architecture Contracts.</w:t>
      </w:r>
    </w:p>
    <w:p>
      <w:pPr>
        <w:pStyle w:val="ListParagraph"/>
        <w:numPr>
          <w:ilvl w:val="0"/>
          <w:numId w:val="3"/>
        </w:numPr>
        <w:spacing w:after="40" w:before="40" w:line="280"/>
      </w:pPr>
      <w:r>
        <w:t xml:space="preserve">Monitoring adherence to Architecture Principles and flagging violations.</w:t>
      </w:r>
    </w:p>
    <w:p>
      <w:pPr>
        <w:pStyle w:val="Heading2"/>
        <w:spacing w:after="120" w:before="260"/>
      </w:pPr>
      <w:r>
        <w:t xml:space="preserve">2.3 Board Composition</w:t>
      </w:r>
    </w:p>
    <w:p>
      <w:pPr>
        <w:spacing w:after="80" w:before="80" w:line="300"/>
        <w:jc w:val="both"/>
      </w:pPr>
      <w:r>
        <w:t xml:space="preserve">Composition must balance authority (senior enough to make decisions stick), breadth (all key domains represented), and independence (reviewers are not also the reviewed). A typical enterprise Architecture Board has 7 to 12 voting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Role</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Contribution</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Chief Architect (Chair)</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Sets agenda, facilitates decisions, owns EA function</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Architect(s)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Ensure business alignment of architectural decisions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Architect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Stewardship of data assets, models, and standards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Application Architect</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Portfolio, integration, and reuse decisions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 Infrastructure Architect</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Platform and infrastructure standards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Security Architect</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Information security, compliance, zero trust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Solution Architect representatives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Voice of delivery; balance of practicality</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Representative(s)</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unit leaders or their delegates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CIO / CTO (sponsor)</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Executive sponsorship and escalation path</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PMO / Portfolio representative</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Delivery coordination, investment linkage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Secretary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Minutes, actions, decision log, repository updates</w:t>
            </w:r>
          </w:p>
        </w:tc>
      </w:tr>
    </w:tbl>
    <w:p>
      <w:pPr>
        <w:pStyle w:val="Heading2"/>
        <w:spacing w:after="120" w:before="260"/>
      </w:pPr>
      <w:r>
        <w:t xml:space="preserve">2.4 Operating Model</w:t>
      </w:r>
    </w:p>
    <w:p>
      <w:pPr>
        <w:pStyle w:val="ListParagraph"/>
        <w:numPr>
          <w:ilvl w:val="0"/>
          <w:numId w:val="2"/>
        </w:numPr>
        <w:spacing w:after="40" w:before="40" w:line="280"/>
      </w:pPr>
      <w:r>
        <w:rPr>
          <w:b/>
          <w:bCs/>
        </w:rPr>
        <w:t xml:space="preserve">Cadence: </w:t>
      </w:r>
      <w:r>
        <w:t xml:space="preserve">most enterprises run a full Architecture Board monthly, with an "expedited track" or sub-board that meets weekly for urgent items.</w:t>
      </w:r>
    </w:p>
    <w:p>
      <w:pPr>
        <w:pStyle w:val="ListParagraph"/>
        <w:numPr>
          <w:ilvl w:val="0"/>
          <w:numId w:val="2"/>
        </w:numPr>
        <w:spacing w:after="40" w:before="40" w:line="280"/>
      </w:pPr>
      <w:r>
        <w:rPr>
          <w:b/>
          <w:bCs/>
        </w:rPr>
        <w:t xml:space="preserve">Quorum: </w:t>
      </w:r>
      <w:r>
        <w:t xml:space="preserve">typically 50% + 1 of voting members, with Chair or Deputy Chair required.</w:t>
      </w:r>
    </w:p>
    <w:p>
      <w:pPr>
        <w:pStyle w:val="ListParagraph"/>
        <w:numPr>
          <w:ilvl w:val="0"/>
          <w:numId w:val="2"/>
        </w:numPr>
        <w:spacing w:after="40" w:before="40" w:line="280"/>
      </w:pPr>
      <w:r>
        <w:rPr>
          <w:b/>
          <w:bCs/>
        </w:rPr>
        <w:t xml:space="preserve">Decision-making: </w:t>
      </w:r>
      <w:r>
        <w:t xml:space="preserve">consensus preferred; Chair has casting vote; unresolvable conflicts escalate to IT Executive Committee or sponsor.</w:t>
      </w:r>
    </w:p>
    <w:p>
      <w:pPr>
        <w:pStyle w:val="ListParagraph"/>
        <w:numPr>
          <w:ilvl w:val="0"/>
          <w:numId w:val="2"/>
        </w:numPr>
        <w:spacing w:after="40" w:before="40" w:line="280"/>
      </w:pPr>
      <w:r>
        <w:rPr>
          <w:b/>
          <w:bCs/>
        </w:rPr>
        <w:t xml:space="preserve">Agenda items: </w:t>
      </w:r>
      <w:r>
        <w:t xml:space="preserve">compliance reviews, dispensation requests, architecture change requests, principle updates, reference architecture ratifications, maturity reports.</w:t>
      </w:r>
    </w:p>
    <w:p>
      <w:pPr>
        <w:pStyle w:val="ListParagraph"/>
        <w:numPr>
          <w:ilvl w:val="0"/>
          <w:numId w:val="2"/>
        </w:numPr>
        <w:spacing w:after="40" w:before="40" w:line="280"/>
      </w:pPr>
      <w:r>
        <w:rPr>
          <w:b/>
          <w:bCs/>
        </w:rPr>
        <w:t xml:space="preserve">Minutes and decisions: </w:t>
      </w:r>
      <w:r>
        <w:t xml:space="preserve">recorded formally in the Architecture Repository, indexed by decision ID, and made accessible (within confidentiality constraints) to the enterprise.</w:t>
      </w:r>
    </w:p>
    <w:p>
      <w:pPr>
        <w:pStyle w:val="Heading2"/>
        <w:spacing w:after="120" w:before="260"/>
      </w:pPr>
      <w:r>
        <w:t xml:space="preserve">2.5 Local vs. Global Boards</w:t>
      </w:r>
    </w:p>
    <w:p>
      <w:pPr>
        <w:spacing w:after="80" w:before="80" w:line="300"/>
        <w:jc w:val="both"/>
      </w:pPr>
      <w:r>
        <w:t xml:space="preserve">Large or federated enterprises often operate a tiered Board structure. Global Boards govern enterprise-wide concerns; Local/Segment Boards govern a business unit or geography; Capability Boards (sometimes called Design Authorities) govern a specific program. Items flow up when they cross boundaries or violate enterprise standards.</w:t>
      </w:r>
    </w:p>
    <w:p>
      <w:pPr>
        <w:pStyle w:val="Heading2"/>
        <w:spacing w:after="120" w:before="260"/>
      </w:pPr>
      <w:r>
        <w:t xml:space="preserve">2.6 Effectiveness Metrics</w:t>
      </w:r>
    </w:p>
    <w:p>
      <w:pPr>
        <w:spacing w:after="80" w:before="80" w:line="300"/>
        <w:jc w:val="both"/>
      </w:pPr>
      <w:r>
        <w:t xml:space="preserve">A Board should measure itself. Common metrics:</w:t>
      </w:r>
    </w:p>
    <w:p>
      <w:pPr>
        <w:pStyle w:val="ListParagraph"/>
        <w:numPr>
          <w:ilvl w:val="0"/>
          <w:numId w:val="2"/>
        </w:numPr>
        <w:spacing w:after="40" w:before="40" w:line="280"/>
      </w:pPr>
      <w:r>
        <w:t xml:space="preserve">Percentage of projects reviewed before funding commitment</w:t>
      </w:r>
    </w:p>
    <w:p>
      <w:pPr>
        <w:pStyle w:val="ListParagraph"/>
        <w:numPr>
          <w:ilvl w:val="0"/>
          <w:numId w:val="2"/>
        </w:numPr>
        <w:spacing w:after="40" w:before="40" w:line="280"/>
      </w:pPr>
      <w:r>
        <w:t xml:space="preserve">Mean time from review submission to decision</w:t>
      </w:r>
    </w:p>
    <w:p>
      <w:pPr>
        <w:pStyle w:val="ListParagraph"/>
        <w:numPr>
          <w:ilvl w:val="0"/>
          <w:numId w:val="2"/>
        </w:numPr>
        <w:spacing w:after="40" w:before="40" w:line="280"/>
      </w:pPr>
      <w:r>
        <w:t xml:space="preserve">Number of dispensations granted and their rationale distribution</w:t>
      </w:r>
    </w:p>
    <w:p>
      <w:pPr>
        <w:pStyle w:val="ListParagraph"/>
        <w:numPr>
          <w:ilvl w:val="0"/>
          <w:numId w:val="2"/>
        </w:numPr>
        <w:spacing w:after="40" w:before="40" w:line="280"/>
      </w:pPr>
      <w:r>
        <w:t xml:space="preserve">Percentage of reviews completed on first pass (not sent back)</w:t>
      </w:r>
    </w:p>
    <w:p>
      <w:pPr>
        <w:pStyle w:val="ListParagraph"/>
        <w:numPr>
          <w:ilvl w:val="0"/>
          <w:numId w:val="2"/>
        </w:numPr>
        <w:spacing w:after="40" w:before="40" w:line="280"/>
      </w:pPr>
      <w:r>
        <w:t xml:space="preserve">Downstream compliance drift (how many approved designs later deviated)</w:t>
      </w:r>
    </w:p>
    <w:p>
      <w:pPr>
        <w:pStyle w:val="ListParagraph"/>
        <w:numPr>
          <w:ilvl w:val="0"/>
          <w:numId w:val="2"/>
        </w:numPr>
        <w:spacing w:after="40" w:before="40" w:line="280"/>
      </w:pPr>
      <w:r>
        <w:t xml:space="preserve">Stakeholder satisfaction (survey of project teams)</w:t>
      </w:r>
    </w:p>
    <w:p>
      <w:pPr>
        <w:pStyle w:val="ListParagraph"/>
        <w:numPr>
          <w:ilvl w:val="0"/>
          <w:numId w:val="2"/>
        </w:numPr>
        <w:spacing w:after="40" w:before="40" w:line="280"/>
      </w:pPr>
      <w:r>
        <w:t xml:space="preserve">Risk reduction — number of issues caught pre-implementation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European bank establishes its Architecture Board with 9 voting members: Chief Architect (chair), Head of Data, Head of Applications, Head of Infrastructure, CISO, two Business Architects from Retail and Commercial, PMO director, and CTO (sponsor).</w:t>
            </w:r>
          </w:p>
          <w:p>
            <w:pPr>
              <w:spacing w:after="40" w:before="40" w:line="280"/>
            </w:pPr>
            <w:r>
              <w:t xml:space="preserve">Cadence: full Board monthly, expedited Board weekly.</w:t>
            </w:r>
          </w:p>
          <w:p>
            <w:pPr>
              <w:spacing w:after="40" w:before="40" w:line="280"/>
            </w:pPr>
            <w:r>
              <w:t xml:space="preserve">Decision log stored in Confluence, indexed as AB-2026-001 through AB-2026-127 by year end.</w:t>
            </w:r>
          </w:p>
          <w:p>
            <w:pPr>
              <w:spacing w:after="40" w:before="40" w:line="280"/>
            </w:pPr>
            <w:r>
              <w:t xml:space="preserve">KPI dashboard: 94% of strategic projects reviewed pre-funding; median decision time 8 days; 22 dispensations granted, 18 expired as planned.</w:t>
            </w:r>
          </w:p>
          <w:p>
            <w:pPr>
              <w:spacing w:after="40" w:before="40" w:line="280"/>
            </w:pPr>
            <w:r>
              <w:t xml:space="preserve">When a payments modernization program wanted to bypass the enterprise API Gateway, the Board ruled "no," issued a 90-day transition plan, and the project was brought into conformance.</w:t>
            </w:r>
          </w:p>
        </w:tc>
      </w:tr>
    </w:tbl>
    <w:p>
      <w:pPr>
        <w:pStyle w:val="Heading1"/>
        <w:pageBreakBefore/>
        <w:spacing w:after="180" w:before="360"/>
      </w:pPr>
      <w:r>
        <w:t xml:space="preserve">3. Architecture Compliance Reviews</w:t>
      </w:r>
    </w:p>
    <w:p>
      <w:pPr>
        <w:pStyle w:val="Heading2"/>
        <w:spacing w:after="120" w:before="260"/>
      </w:pPr>
      <w:r>
        <w:t xml:space="preserve">3.1 Purpose</w:t>
      </w:r>
    </w:p>
    <w:p>
      <w:pPr>
        <w:spacing w:after="80" w:before="80" w:line="300"/>
        <w:jc w:val="both"/>
      </w:pPr>
      <w:r>
        <w:t xml:space="preserve">An Architecture Compliance Review is a scrutiny of the compliance of a specific project against established architectural criteria, spirit, and business objectives. It is a scheduled checkpoint where architects, the implementation team, and the Architecture Board determine whether a project's design adheres to the approved architecture, and whether to grant approval to proceed.</w:t>
      </w:r>
    </w:p>
    <w:p>
      <w:pPr>
        <w:spacing w:after="80" w:before="80" w:line="300"/>
        <w:jc w:val="both"/>
      </w:pPr>
      <w:r>
        <w:t xml:space="preserve">Compliance reviews are central to Phase G (Implementation Governance) of the ADM, but their criteria are defined and principles established all the way back in the Preliminary Phase.</w:t>
      </w:r>
    </w:p>
    <w:p>
      <w:pPr>
        <w:pStyle w:val="Heading2"/>
        <w:spacing w:after="120" w:before="260"/>
      </w:pPr>
      <w:r>
        <w:t xml:space="preserve">3.2 Objectives</w:t>
      </w:r>
    </w:p>
    <w:p>
      <w:pPr>
        <w:pStyle w:val="ListParagraph"/>
        <w:numPr>
          <w:ilvl w:val="0"/>
          <w:numId w:val="3"/>
        </w:numPr>
        <w:spacing w:after="40" w:before="40" w:line="280"/>
      </w:pPr>
      <w:r>
        <w:t xml:space="preserve">Catch errors in the project architecture early — reducing rework, cost, and downstream risk.</w:t>
      </w:r>
    </w:p>
    <w:p>
      <w:pPr>
        <w:pStyle w:val="ListParagraph"/>
        <w:numPr>
          <w:ilvl w:val="0"/>
          <w:numId w:val="3"/>
        </w:numPr>
        <w:spacing w:after="40" w:before="40" w:line="280"/>
      </w:pPr>
      <w:r>
        <w:t xml:space="preserve">Ensure the application of best practices to architecture work.</w:t>
      </w:r>
    </w:p>
    <w:p>
      <w:pPr>
        <w:pStyle w:val="ListParagraph"/>
        <w:numPr>
          <w:ilvl w:val="0"/>
          <w:numId w:val="3"/>
        </w:numPr>
        <w:spacing w:after="40" w:before="40" w:line="280"/>
      </w:pPr>
      <w:r>
        <w:t xml:space="preserve">Provide an overview of the compliance of an architecture to mandated enterprise standards.</w:t>
      </w:r>
    </w:p>
    <w:p>
      <w:pPr>
        <w:pStyle w:val="ListParagraph"/>
        <w:numPr>
          <w:ilvl w:val="0"/>
          <w:numId w:val="3"/>
        </w:numPr>
        <w:spacing w:after="40" w:before="40" w:line="280"/>
      </w:pPr>
      <w:r>
        <w:t xml:space="preserve">Identify where the standards themselves require modification.</w:t>
      </w:r>
    </w:p>
    <w:p>
      <w:pPr>
        <w:pStyle w:val="ListParagraph"/>
        <w:numPr>
          <w:ilvl w:val="0"/>
          <w:numId w:val="3"/>
        </w:numPr>
        <w:spacing w:after="40" w:before="40" w:line="280"/>
      </w:pPr>
      <w:r>
        <w:t xml:space="preserve">Identify services that are common across the enterprise for reuse.</w:t>
      </w:r>
    </w:p>
    <w:p>
      <w:pPr>
        <w:pStyle w:val="ListParagraph"/>
        <w:numPr>
          <w:ilvl w:val="0"/>
          <w:numId w:val="3"/>
        </w:numPr>
        <w:spacing w:after="40" w:before="40" w:line="280"/>
      </w:pPr>
      <w:r>
        <w:t xml:space="preserve">Take advantage of advances in technology.</w:t>
      </w:r>
    </w:p>
    <w:p>
      <w:pPr>
        <w:pStyle w:val="ListParagraph"/>
        <w:numPr>
          <w:ilvl w:val="0"/>
          <w:numId w:val="3"/>
        </w:numPr>
        <w:spacing w:after="40" w:before="40" w:line="280"/>
      </w:pPr>
      <w:r>
        <w:t xml:space="preserve">Communicate the EA function's value and visibility.</w:t>
      </w:r>
    </w:p>
    <w:p>
      <w:pPr>
        <w:pStyle w:val="ListParagraph"/>
        <w:numPr>
          <w:ilvl w:val="0"/>
          <w:numId w:val="3"/>
        </w:numPr>
        <w:spacing w:after="40" w:before="40" w:line="280"/>
      </w:pPr>
      <w:r>
        <w:t xml:space="preserve">Document strategies for collaboration, resource sharing, and co-innovation.</w:t>
      </w:r>
    </w:p>
    <w:p>
      <w:pPr>
        <w:pStyle w:val="Heading2"/>
        <w:spacing w:after="120" w:before="260"/>
      </w:pPr>
      <w:r>
        <w:t xml:space="preserve">3.3 Types of Architecture Compliance</w:t>
      </w:r>
    </w:p>
    <w:p>
      <w:pPr>
        <w:spacing w:after="80" w:before="80" w:line="300"/>
        <w:jc w:val="both"/>
      </w:pPr>
      <w:r>
        <w:t xml:space="preserve">TOGAF defines six levels of compliance. These are high-yield — expect at least one exam question on them, and be able to rank them from strongest to weakest.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Irrelevant</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architecture has no features applicable to this implementation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Consistent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implementation has features in common with the architecture but is not constrained by it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Compliant</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Some features of the architecture are implemented; no features contradict the architecture</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Conformant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All features of the architecture are implemented; additional features exist but do not contradict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Fully Conformant</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All features are implemented; nothing added; fully aligned</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Non-conformant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One or more features of the architecture are not implemented or are implemented contrary to the architecture</w:t>
            </w:r>
          </w:p>
        </w:tc>
      </w:tr>
    </w:tbl>
    <w:p>
      <w:pPr>
        <w:spacing w:after="80" w:before="80" w:line="300"/>
        <w:jc w:val="both"/>
      </w:pPr>
      <w:r>
        <w:t xml:space="preserve">Note that "Non-conformant" is a failure state; the other five are valid positions along a spectrum. "Consistent" is weaker than "Compliant" (it does not claim adherence); "Conformant" is stronger; "Fully Conformant" is the strongest (no deviations at all).</w:t>
      </w:r>
    </w:p>
    <w:p>
      <w:pPr>
        <w:pStyle w:val="Heading2"/>
        <w:spacing w:after="120" w:before="260"/>
      </w:pPr>
      <w:r>
        <w:t xml:space="preserve">3.4 The Compliance Review Process</w:t>
      </w:r>
    </w:p>
    <w:p>
      <w:pPr>
        <w:spacing w:after="80" w:before="80" w:line="300"/>
        <w:jc w:val="both"/>
      </w:pPr>
      <w:r>
        <w:t xml:space="preserve">TOGAF describes a structured compliance review process. The numbered steps below are the canonical sequence and are worth memorizing:</w:t>
      </w:r>
    </w:p>
    <w:p>
      <w:pPr>
        <w:pStyle w:val="ListParagraph"/>
        <w:numPr>
          <w:ilvl w:val="0"/>
          <w:numId w:val="3"/>
        </w:numPr>
        <w:spacing w:after="40" w:before="40" w:line="280"/>
      </w:pPr>
      <w:r>
        <w:t xml:space="preserve">Request the compliance review.</w:t>
      </w:r>
    </w:p>
    <w:p>
      <w:pPr>
        <w:pStyle w:val="ListParagraph"/>
        <w:numPr>
          <w:ilvl w:val="0"/>
          <w:numId w:val="3"/>
        </w:numPr>
        <w:spacing w:after="40" w:before="40" w:line="280"/>
      </w:pPr>
      <w:r>
        <w:t xml:space="preserve">Identify responsible part of the organization.</w:t>
      </w:r>
    </w:p>
    <w:p>
      <w:pPr>
        <w:pStyle w:val="ListParagraph"/>
        <w:numPr>
          <w:ilvl w:val="0"/>
          <w:numId w:val="3"/>
        </w:numPr>
        <w:spacing w:after="40" w:before="40" w:line="280"/>
      </w:pPr>
      <w:r>
        <w:t xml:space="preserve">Identify the lead enterprise architect.</w:t>
      </w:r>
    </w:p>
    <w:p>
      <w:pPr>
        <w:pStyle w:val="ListParagraph"/>
        <w:numPr>
          <w:ilvl w:val="0"/>
          <w:numId w:val="3"/>
        </w:numPr>
        <w:spacing w:after="40" w:before="40" w:line="280"/>
      </w:pPr>
      <w:r>
        <w:t xml:space="preserve">Determine the scope of the review.</w:t>
      </w:r>
    </w:p>
    <w:p>
      <w:pPr>
        <w:pStyle w:val="ListParagraph"/>
        <w:numPr>
          <w:ilvl w:val="0"/>
          <w:numId w:val="3"/>
        </w:numPr>
        <w:spacing w:after="40" w:before="40" w:line="280"/>
      </w:pPr>
      <w:r>
        <w:t xml:space="preserve">Tailor the checklists to the project context.</w:t>
      </w:r>
    </w:p>
    <w:p>
      <w:pPr>
        <w:pStyle w:val="ListParagraph"/>
        <w:numPr>
          <w:ilvl w:val="0"/>
          <w:numId w:val="3"/>
        </w:numPr>
        <w:spacing w:after="40" w:before="40" w:line="280"/>
      </w:pPr>
      <w:r>
        <w:t xml:space="preserve">Schedule the review meeting.</w:t>
      </w:r>
    </w:p>
    <w:p>
      <w:pPr>
        <w:pStyle w:val="ListParagraph"/>
        <w:numPr>
          <w:ilvl w:val="0"/>
          <w:numId w:val="3"/>
        </w:numPr>
        <w:spacing w:after="40" w:before="40" w:line="280"/>
      </w:pPr>
      <w:r>
        <w:t xml:space="preserve">Interview the project principals.</w:t>
      </w:r>
    </w:p>
    <w:p>
      <w:pPr>
        <w:pStyle w:val="ListParagraph"/>
        <w:numPr>
          <w:ilvl w:val="0"/>
          <w:numId w:val="3"/>
        </w:numPr>
        <w:spacing w:after="40" w:before="40" w:line="280"/>
      </w:pPr>
      <w:r>
        <w:t xml:space="preserve">Analyze the completed checklists.</w:t>
      </w:r>
    </w:p>
    <w:p>
      <w:pPr>
        <w:pStyle w:val="ListParagraph"/>
        <w:numPr>
          <w:ilvl w:val="0"/>
          <w:numId w:val="3"/>
        </w:numPr>
        <w:spacing w:after="40" w:before="40" w:line="280"/>
      </w:pPr>
      <w:r>
        <w:t xml:space="preserve">Prepare the Compliance Review Report.</w:t>
      </w:r>
    </w:p>
    <w:p>
      <w:pPr>
        <w:pStyle w:val="ListParagraph"/>
        <w:numPr>
          <w:ilvl w:val="0"/>
          <w:numId w:val="3"/>
        </w:numPr>
        <w:spacing w:after="40" w:before="40" w:line="280"/>
      </w:pPr>
      <w:r>
        <w:t xml:space="preserve">Present the review findings.</w:t>
      </w:r>
    </w:p>
    <w:p>
      <w:pPr>
        <w:pStyle w:val="ListParagraph"/>
        <w:numPr>
          <w:ilvl w:val="0"/>
          <w:numId w:val="3"/>
        </w:numPr>
        <w:spacing w:after="40" w:before="40" w:line="280"/>
      </w:pPr>
      <w:r>
        <w:t xml:space="preserve">Accept the review (or send back for remediation).</w:t>
      </w:r>
    </w:p>
    <w:p>
      <w:pPr>
        <w:pStyle w:val="ListParagraph"/>
        <w:numPr>
          <w:ilvl w:val="0"/>
          <w:numId w:val="3"/>
        </w:numPr>
        <w:spacing w:after="40" w:before="40" w:line="280"/>
      </w:pPr>
      <w:r>
        <w:t xml:space="preserve">Send the assessment report and/or summary to interested parties.</w:t>
      </w:r>
    </w:p>
    <w:p>
      <w:pPr>
        <w:pStyle w:val="Heading2"/>
        <w:spacing w:after="120" w:before="260"/>
      </w:pPr>
      <w:r>
        <w:t xml:space="preserve">3.5 When to Hold Reviews</w:t>
      </w:r>
    </w:p>
    <w:p>
      <w:pPr>
        <w:spacing w:after="80" w:before="80" w:line="300"/>
        <w:jc w:val="both"/>
      </w:pPr>
      <w:r>
        <w:t xml:space="preserve">Reviews are tied to natural decision points in the project lifecycle, typically aligned with stage-gates. Common review points:</w:t>
      </w:r>
    </w:p>
    <w:p>
      <w:pPr>
        <w:pStyle w:val="ListParagraph"/>
        <w:numPr>
          <w:ilvl w:val="0"/>
          <w:numId w:val="2"/>
        </w:numPr>
        <w:spacing w:after="40" w:before="40" w:line="280"/>
      </w:pPr>
      <w:r>
        <w:rPr>
          <w:b/>
          <w:bCs/>
        </w:rPr>
        <w:t xml:space="preserve">Vision / Initiation Review: </w:t>
      </w:r>
      <w:r>
        <w:t xml:space="preserve">at Phase A completion — before funding is committed.</w:t>
      </w:r>
    </w:p>
    <w:p>
      <w:pPr>
        <w:pStyle w:val="ListParagraph"/>
        <w:numPr>
          <w:ilvl w:val="0"/>
          <w:numId w:val="2"/>
        </w:numPr>
        <w:spacing w:after="40" w:before="40" w:line="280"/>
      </w:pPr>
      <w:r>
        <w:rPr>
          <w:b/>
          <w:bCs/>
        </w:rPr>
        <w:t xml:space="preserve">Design Review: </w:t>
      </w:r>
      <w:r>
        <w:t xml:space="preserve">after high-level design is drafted — before detailed design begins.</w:t>
      </w:r>
    </w:p>
    <w:p>
      <w:pPr>
        <w:pStyle w:val="ListParagraph"/>
        <w:numPr>
          <w:ilvl w:val="0"/>
          <w:numId w:val="2"/>
        </w:numPr>
        <w:spacing w:after="40" w:before="40" w:line="280"/>
      </w:pPr>
      <w:r>
        <w:rPr>
          <w:b/>
          <w:bCs/>
        </w:rPr>
        <w:t xml:space="preserve">Build Review: </w:t>
      </w:r>
      <w:r>
        <w:t xml:space="preserve">before implementation starts — verifying detailed design adheres.</w:t>
      </w:r>
    </w:p>
    <w:p>
      <w:pPr>
        <w:pStyle w:val="ListParagraph"/>
        <w:numPr>
          <w:ilvl w:val="0"/>
          <w:numId w:val="2"/>
        </w:numPr>
        <w:spacing w:after="40" w:before="40" w:line="280"/>
      </w:pPr>
      <w:r>
        <w:rPr>
          <w:b/>
          <w:bCs/>
        </w:rPr>
        <w:t xml:space="preserve">Deployment / Go-Live Review: </w:t>
      </w:r>
      <w:r>
        <w:t xml:space="preserve">before production deployment.</w:t>
      </w:r>
    </w:p>
    <w:p>
      <w:pPr>
        <w:pStyle w:val="ListParagraph"/>
        <w:numPr>
          <w:ilvl w:val="0"/>
          <w:numId w:val="2"/>
        </w:numPr>
        <w:spacing w:after="40" w:before="40" w:line="280"/>
      </w:pPr>
      <w:r>
        <w:rPr>
          <w:b/>
          <w:bCs/>
        </w:rPr>
        <w:t xml:space="preserve">Post-Implementation Review: </w:t>
      </w:r>
      <w:r>
        <w:t xml:space="preserve">after go-live, typically 3–6 months later, for benefit realization and lessons learned.</w:t>
      </w:r>
    </w:p>
    <w:p>
      <w:pPr>
        <w:pStyle w:val="Heading2"/>
        <w:spacing w:after="120" w:before="260"/>
      </w:pPr>
      <w:r>
        <w:t xml:space="preserve">3.6 Compliance Review Checklists</w:t>
      </w:r>
    </w:p>
    <w:p>
      <w:pPr>
        <w:spacing w:after="80" w:before="80" w:line="300"/>
        <w:jc w:val="both"/>
      </w:pPr>
      <w:r>
        <w:t xml:space="preserve">TOGAF provides comprehensive sample checklists across hardware, operating system, software services, application, information management, security, and system management. These checklists are not mandatory — they are starting points for tailoring to the enterprise. Each checklist contains questions whose answers characterize how compliant the solution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Sample Compliance Checklist — Application Architecture (excerpt)</w:t>
            </w:r>
          </w:p>
          <w:p>
            <w:pPr>
              <w:spacing w:after="40" w:before="40" w:line="280"/>
            </w:pPr>
            <w:r>
              <w:t xml:space="preserve">— Has business-driven development been used to establish business requirements?</w:t>
            </w:r>
          </w:p>
          <w:p>
            <w:pPr>
              <w:spacing w:after="40" w:before="40" w:line="280"/>
            </w:pPr>
            <w:r>
              <w:t xml:space="preserve">— Has user satisfaction been measured against baseline requirements?</w:t>
            </w:r>
          </w:p>
          <w:p>
            <w:pPr>
              <w:spacing w:after="40" w:before="40" w:line="280"/>
            </w:pPr>
            <w:r>
              <w:t xml:space="preserve">— Have appropriate reuse of existing applications and services been considered?</w:t>
            </w:r>
          </w:p>
          <w:p>
            <w:pPr>
              <w:spacing w:after="40" w:before="40" w:line="280"/>
            </w:pPr>
            <w:r>
              <w:t xml:space="preserve">— Does the application architecture address availability, recovery, and operational concerns?</w:t>
            </w:r>
          </w:p>
          <w:p>
            <w:pPr>
              <w:spacing w:after="40" w:before="40" w:line="280"/>
            </w:pPr>
            <w:r>
              <w:t xml:space="preserve">— Have interfaces to other applications been documented using approved standards?</w:t>
            </w:r>
          </w:p>
          <w:p>
            <w:pPr>
              <w:spacing w:after="40" w:before="40" w:line="280"/>
            </w:pPr>
            <w:r>
              <w:t xml:space="preserve">— Have integration patterns (API, event, batch) been chosen in line with enterprise patterns?</w:t>
            </w:r>
          </w:p>
          <w:p>
            <w:pPr>
              <w:spacing w:after="40" w:before="40" w:line="280"/>
            </w:pPr>
            <w:r>
              <w:t xml:space="preserve">— Is the application's data model aligned with the enterprise data model?</w:t>
            </w:r>
          </w:p>
          <w:p>
            <w:pPr>
              <w:spacing w:after="40" w:before="40" w:line="280"/>
            </w:pPr>
            <w:r>
              <w:t xml:space="preserve">— Have security requirements (authN, authZ, audit) been addressed?</w:t>
            </w:r>
          </w:p>
          <w:p>
            <w:pPr>
              <w:spacing w:after="40" w:before="40" w:line="280"/>
            </w:pPr>
            <w:r>
              <w:t xml:space="preserve">— Has the application been classified using TIME analysis (Tolerate/Invest/Migrate/Eliminate)?</w:t>
            </w:r>
          </w:p>
        </w:tc>
      </w:tr>
    </w:tbl>
    <w:p>
      <w:pPr>
        <w:pStyle w:val="Heading2"/>
        <w:spacing w:after="120" w:before="260"/>
      </w:pPr>
      <w:r>
        <w:t xml:space="preserve">3.7 The Compliance Review Report</w:t>
      </w:r>
    </w:p>
    <w:p>
      <w:pPr>
        <w:spacing w:after="80" w:before="80" w:line="300"/>
        <w:jc w:val="both"/>
      </w:pPr>
      <w:r>
        <w:t xml:space="preserve">Each review produces a formal Compliance Review Report that becomes a permanent record in the Architecture Repository. Typical contents:</w:t>
      </w:r>
    </w:p>
    <w:p>
      <w:pPr>
        <w:pStyle w:val="ListParagraph"/>
        <w:numPr>
          <w:ilvl w:val="0"/>
          <w:numId w:val="2"/>
        </w:numPr>
        <w:spacing w:after="40" w:before="40" w:line="280"/>
      </w:pPr>
      <w:r>
        <w:t xml:space="preserve">Project identification and scope of review</w:t>
      </w:r>
    </w:p>
    <w:p>
      <w:pPr>
        <w:pStyle w:val="ListParagraph"/>
        <w:numPr>
          <w:ilvl w:val="0"/>
          <w:numId w:val="2"/>
        </w:numPr>
        <w:spacing w:after="40" w:before="40" w:line="280"/>
      </w:pPr>
      <w:r>
        <w:t xml:space="preserve">Review team members</w:t>
      </w:r>
    </w:p>
    <w:p>
      <w:pPr>
        <w:pStyle w:val="ListParagraph"/>
        <w:numPr>
          <w:ilvl w:val="0"/>
          <w:numId w:val="2"/>
        </w:numPr>
        <w:spacing w:after="40" w:before="40" w:line="280"/>
      </w:pPr>
      <w:r>
        <w:t xml:space="preserve">Compliance classification (Irrelevant / Consistent / Compliant / Conformant / Fully Conformant / Non-conformant)</w:t>
      </w:r>
    </w:p>
    <w:p>
      <w:pPr>
        <w:pStyle w:val="ListParagraph"/>
        <w:numPr>
          <w:ilvl w:val="0"/>
          <w:numId w:val="2"/>
        </w:numPr>
        <w:spacing w:after="40" w:before="40" w:line="280"/>
      </w:pPr>
      <w:r>
        <w:t xml:space="preserve">Evidence examined (documents, interviews, demos)</w:t>
      </w:r>
    </w:p>
    <w:p>
      <w:pPr>
        <w:pStyle w:val="ListParagraph"/>
        <w:numPr>
          <w:ilvl w:val="0"/>
          <w:numId w:val="2"/>
        </w:numPr>
        <w:spacing w:after="40" w:before="40" w:line="280"/>
      </w:pPr>
      <w:r>
        <w:t xml:space="preserve">Findings — what complies, what does not, and why</w:t>
      </w:r>
    </w:p>
    <w:p>
      <w:pPr>
        <w:pStyle w:val="ListParagraph"/>
        <w:numPr>
          <w:ilvl w:val="0"/>
          <w:numId w:val="2"/>
        </w:numPr>
        <w:spacing w:after="40" w:before="40" w:line="280"/>
      </w:pPr>
      <w:r>
        <w:t xml:space="preserve">Recommendations — remediation actions</w:t>
      </w:r>
    </w:p>
    <w:p>
      <w:pPr>
        <w:pStyle w:val="ListParagraph"/>
        <w:numPr>
          <w:ilvl w:val="0"/>
          <w:numId w:val="2"/>
        </w:numPr>
        <w:spacing w:after="40" w:before="40" w:line="280"/>
      </w:pPr>
      <w:r>
        <w:t xml:space="preserve">Dispensations granted (if any), with conditions and expiry</w:t>
      </w:r>
    </w:p>
    <w:p>
      <w:pPr>
        <w:pStyle w:val="ListParagraph"/>
        <w:numPr>
          <w:ilvl w:val="0"/>
          <w:numId w:val="2"/>
        </w:numPr>
        <w:spacing w:after="40" w:before="40" w:line="280"/>
      </w:pPr>
      <w:r>
        <w:t xml:space="preserve">Decision — Approved / Approved with Conditions / Rejected</w:t>
      </w:r>
    </w:p>
    <w:p>
      <w:pPr>
        <w:pStyle w:val="ListParagraph"/>
        <w:numPr>
          <w:ilvl w:val="0"/>
          <w:numId w:val="2"/>
        </w:numPr>
        <w:spacing w:after="40" w:before="40" w:line="280"/>
      </w:pPr>
      <w:r>
        <w:t xml:space="preserve">Action items and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new "Next-Gen Trading Platform" enters its Design Review.</w:t>
            </w:r>
          </w:p>
          <w:p>
            <w:pPr>
              <w:spacing w:after="40" w:before="40" w:line="280"/>
            </w:pPr>
            <w:r>
              <w:t xml:space="preserve">Scope: REST API design, data model, deployment topology, security model, monitoring.</w:t>
            </w:r>
          </w:p>
          <w:p>
            <w:pPr>
              <w:spacing w:after="40" w:before="40" w:line="280"/>
            </w:pPr>
            <w:r>
              <w:t xml:space="preserve">Findings:</w:t>
            </w:r>
          </w:p>
          <w:p>
            <w:pPr>
              <w:spacing w:after="40" w:before="40" w:line="280"/>
            </w:pPr>
            <w:r>
              <w:t xml:space="preserve">— API design: Compliant (uses enterprise gateway, OAuth2, rate limiting).</w:t>
            </w:r>
          </w:p>
          <w:p>
            <w:pPr>
              <w:spacing w:after="40" w:before="40" w:line="280"/>
            </w:pPr>
            <w:r>
              <w:t xml:space="preserve">— Data model: Non-conformant — introduces a new local "Client" entity instead of using the Party MDM.</w:t>
            </w:r>
          </w:p>
          <w:p>
            <w:pPr>
              <w:spacing w:after="40" w:before="40" w:line="280"/>
            </w:pPr>
            <w:r>
              <w:t xml:space="preserve">— Deployment: Conformant (approved Kubernetes cluster, tagging, region).</w:t>
            </w:r>
          </w:p>
          <w:p>
            <w:pPr>
              <w:spacing w:after="40" w:before="40" w:line="280"/>
            </w:pPr>
            <w:r>
              <w:t xml:space="preserve">— Security: Compliant (meets baseline, but missing SBOM generation).</w:t>
            </w:r>
          </w:p>
          <w:p>
            <w:pPr>
              <w:spacing w:after="40" w:before="40" w:line="280"/>
            </w:pPr>
            <w:r>
              <w:t xml:space="preserve">— Monitoring: Compliant (standard observability stack).</w:t>
            </w:r>
          </w:p>
          <w:p>
            <w:pPr>
              <w:spacing w:after="40" w:before="40" w:line="280"/>
            </w:pPr>
            <w:r>
              <w:t xml:space="preserve">Decision: Approved with Conditions — must integrate with Party MDM within 60 days; SBOM pipeline in place before GA.</w:t>
            </w:r>
          </w:p>
          <w:p>
            <w:pPr>
              <w:spacing w:after="40" w:before="40" w:line="280"/>
            </w:pPr>
            <w:r>
              <w:t xml:space="preserve">Report filed as CR-2026-047 in the Architecture Repository.</w:t>
            </w:r>
          </w:p>
        </w:tc>
      </w:tr>
    </w:tbl>
    <w:p>
      <w:pPr>
        <w:pStyle w:val="Heading2"/>
        <w:spacing w:after="120" w:before="260"/>
      </w:pPr>
      <w:r>
        <w:t xml:space="preserve">3.8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Reviewing too late — a review held the day before go-live cannot change anything. Build reviews into stage-gates.</w:t>
            </w:r>
          </w:p>
          <w:p>
            <w:pPr>
              <w:spacing w:after="40" w:before="40" w:line="280"/>
            </w:pPr>
            <w:r>
              <w:t xml:space="preserve">Using a one-size-fits-all checklist — tailor to the project's risk profile and complexity.</w:t>
            </w:r>
          </w:p>
          <w:p>
            <w:pPr>
              <w:spacing w:after="40" w:before="40" w:line="280"/>
            </w:pPr>
            <w:r>
              <w:t xml:space="preserve">Treating the review as adversarial — the architect is a partner, not an auditor. Hostile reviews produce evasive projects.</w:t>
            </w:r>
          </w:p>
          <w:p>
            <w:pPr>
              <w:spacing w:after="40" w:before="40" w:line="280"/>
            </w:pPr>
            <w:r>
              <w:t xml:space="preserve">Granting "approvals" verbally without a report — the decision must be written and stored, or it is not governance.</w:t>
            </w:r>
          </w:p>
          <w:p>
            <w:pPr>
              <w:spacing w:after="40" w:before="40" w:line="280"/>
            </w:pPr>
            <w:r>
              <w:t xml:space="preserve">Ignoring Post-Implementation Reviews — these are how the organization learns.</w:t>
            </w:r>
          </w:p>
        </w:tc>
      </w:tr>
    </w:tbl>
    <w:p>
      <w:pPr>
        <w:pStyle w:val="Heading1"/>
        <w:pageBreakBefore/>
        <w:spacing w:after="180" w:before="360"/>
      </w:pPr>
      <w:r>
        <w:t xml:space="preserve">4. Dispensation Process</w:t>
      </w:r>
    </w:p>
    <w:p>
      <w:pPr>
        <w:pStyle w:val="Heading2"/>
        <w:spacing w:after="120" w:before="260"/>
      </w:pPr>
      <w:r>
        <w:t xml:space="preserve">4.1 Purpose</w:t>
      </w:r>
    </w:p>
    <w:p>
      <w:pPr>
        <w:spacing w:after="80" w:before="80" w:line="300"/>
        <w:jc w:val="both"/>
      </w:pPr>
      <w:r>
        <w:t xml:space="preserve">A Dispensation is a time-bound permission for a project, service, or solution to deviate from a published architecture standard, principle, or reference model. Real enterprises cannot enforce 100% conformance all the time — there are legitimate reasons to deviate (a regulatory deadline, a vendor constraint, a strategic acquisition, an emergency fix). The Dispensation Process lets deviations happen under governance rather than outside of it.</w:t>
      </w:r>
    </w:p>
    <w:p>
      <w:pPr>
        <w:spacing w:after="80" w:before="80" w:line="300"/>
        <w:jc w:val="both"/>
      </w:pPr>
      <w:r>
        <w:t xml:space="preserve">Without a dispensation process, architects face a binary choice: block the deviation (slowing the business) or accept it informally (creating invisible architecture debt). Neither is acceptable. The dispensation process is the "release valve" that keeps governance legitimate while allowing controlled flexibility.</w:t>
      </w:r>
    </w:p>
    <w:p>
      <w:pPr>
        <w:pStyle w:val="Heading2"/>
        <w:spacing w:after="120" w:before="260"/>
      </w:pPr>
      <w:r>
        <w:t xml:space="preserve">4.2 When a Dispensation is Needed</w:t>
      </w:r>
    </w:p>
    <w:p>
      <w:pPr>
        <w:pStyle w:val="ListParagraph"/>
        <w:numPr>
          <w:ilvl w:val="0"/>
          <w:numId w:val="2"/>
        </w:numPr>
        <w:spacing w:after="40" w:before="40" w:line="280"/>
      </w:pPr>
      <w:r>
        <w:t xml:space="preserve">A project cannot meet a principle or standard within its timeline or budget</w:t>
      </w:r>
    </w:p>
    <w:p>
      <w:pPr>
        <w:pStyle w:val="ListParagraph"/>
        <w:numPr>
          <w:ilvl w:val="0"/>
          <w:numId w:val="2"/>
        </w:numPr>
        <w:spacing w:after="40" w:before="40" w:line="280"/>
      </w:pPr>
      <w:r>
        <w:t xml:space="preserve">A regulatory deadline leaves no time to follow the standard approach</w:t>
      </w:r>
    </w:p>
    <w:p>
      <w:pPr>
        <w:pStyle w:val="ListParagraph"/>
        <w:numPr>
          <w:ilvl w:val="0"/>
          <w:numId w:val="2"/>
        </w:numPr>
        <w:spacing w:after="40" w:before="40" w:line="280"/>
      </w:pPr>
      <w:r>
        <w:t xml:space="preserve">A vendor-supplied SaaS solution cannot be modified to conform</w:t>
      </w:r>
    </w:p>
    <w:p>
      <w:pPr>
        <w:pStyle w:val="ListParagraph"/>
        <w:numPr>
          <w:ilvl w:val="0"/>
          <w:numId w:val="2"/>
        </w:numPr>
        <w:spacing w:after="40" w:before="40" w:line="280"/>
      </w:pPr>
      <w:r>
        <w:t xml:space="preserve">An M&amp;A integration introduces non-standard systems that must be absorbed</w:t>
      </w:r>
    </w:p>
    <w:p>
      <w:pPr>
        <w:pStyle w:val="ListParagraph"/>
        <w:numPr>
          <w:ilvl w:val="0"/>
          <w:numId w:val="2"/>
        </w:numPr>
        <w:spacing w:after="40" w:before="40" w:line="280"/>
      </w:pPr>
      <w:r>
        <w:t xml:space="preserve">A new technology is being piloted before it becomes a standard</w:t>
      </w:r>
    </w:p>
    <w:p>
      <w:pPr>
        <w:pStyle w:val="ListParagraph"/>
        <w:numPr>
          <w:ilvl w:val="0"/>
          <w:numId w:val="2"/>
        </w:numPr>
        <w:spacing w:after="40" w:before="40" w:line="280"/>
      </w:pPr>
      <w:r>
        <w:t xml:space="preserve">Cost of conformance is disproportionate to the benefit</w:t>
      </w:r>
    </w:p>
    <w:p>
      <w:pPr>
        <w:pStyle w:val="Heading2"/>
        <w:spacing w:after="120" w:before="260"/>
      </w:pPr>
      <w:r>
        <w:t xml:space="preserve">4.3 The Dispensation Lifecycle</w:t>
      </w:r>
    </w:p>
    <w:p>
      <w:pPr>
        <w:pStyle w:val="ListParagraph"/>
        <w:numPr>
          <w:ilvl w:val="0"/>
          <w:numId w:val="3"/>
        </w:numPr>
        <w:spacing w:after="40" w:before="40" w:line="280"/>
      </w:pPr>
      <w:r>
        <w:t xml:space="preserve">Requestor identifies the required deviation and prepares a dispensation request.</w:t>
      </w:r>
    </w:p>
    <w:p>
      <w:pPr>
        <w:pStyle w:val="ListParagraph"/>
        <w:numPr>
          <w:ilvl w:val="0"/>
          <w:numId w:val="3"/>
        </w:numPr>
        <w:spacing w:after="40" w:before="40" w:line="280"/>
      </w:pPr>
      <w:r>
        <w:t xml:space="preserve">Request is submitted to the Architecture Board (or Design Authority for lower-level items).</w:t>
      </w:r>
    </w:p>
    <w:p>
      <w:pPr>
        <w:pStyle w:val="ListParagraph"/>
        <w:numPr>
          <w:ilvl w:val="0"/>
          <w:numId w:val="3"/>
        </w:numPr>
        <w:spacing w:after="40" w:before="40" w:line="280"/>
      </w:pPr>
      <w:r>
        <w:t xml:space="preserve">Board evaluates the request against criteria: risk, business value, cost, duration, alternatives.</w:t>
      </w:r>
    </w:p>
    <w:p>
      <w:pPr>
        <w:pStyle w:val="ListParagraph"/>
        <w:numPr>
          <w:ilvl w:val="0"/>
          <w:numId w:val="3"/>
        </w:numPr>
        <w:spacing w:after="40" w:before="40" w:line="280"/>
      </w:pPr>
      <w:r>
        <w:t xml:space="preserve">Board decides: Grant, Modify (with conditions), Decline, or Escalate.</w:t>
      </w:r>
    </w:p>
    <w:p>
      <w:pPr>
        <w:pStyle w:val="ListParagraph"/>
        <w:numPr>
          <w:ilvl w:val="0"/>
          <w:numId w:val="3"/>
        </w:numPr>
        <w:spacing w:after="40" w:before="40" w:line="280"/>
      </w:pPr>
      <w:r>
        <w:t xml:space="preserve">If granted, a Dispensation Record is created in the Repository with a defined expiry.</w:t>
      </w:r>
    </w:p>
    <w:p>
      <w:pPr>
        <w:pStyle w:val="ListParagraph"/>
        <w:numPr>
          <w:ilvl w:val="0"/>
          <w:numId w:val="3"/>
        </w:numPr>
        <w:spacing w:after="40" w:before="40" w:line="280"/>
      </w:pPr>
      <w:r>
        <w:t xml:space="preserve">Dispensation is monitored — progress against remediation plan reviewed periodically.</w:t>
      </w:r>
    </w:p>
    <w:p>
      <w:pPr>
        <w:pStyle w:val="ListParagraph"/>
        <w:numPr>
          <w:ilvl w:val="0"/>
          <w:numId w:val="3"/>
        </w:numPr>
        <w:spacing w:after="40" w:before="40" w:line="280"/>
      </w:pPr>
      <w:r>
        <w:t xml:space="preserve">At expiry, the dispensation either lapses (and the system must be compliant), is renewed (with justification), or the standard itself is revisited.</w:t>
      </w:r>
    </w:p>
    <w:p>
      <w:pPr>
        <w:pStyle w:val="Heading2"/>
        <w:spacing w:after="120" w:before="260"/>
      </w:pPr>
      <w:r>
        <w:t xml:space="preserve">4.4 Elements of a Dispensation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Dispensation Request — Standard Template</w:t>
            </w:r>
          </w:p>
          <w:p>
            <w:pPr>
              <w:spacing w:after="40" w:before="40" w:line="280"/>
            </w:pPr>
            <w:r>
              <w:t xml:space="preserve">— Request ID and date</w:t>
            </w:r>
          </w:p>
          <w:p>
            <w:pPr>
              <w:spacing w:after="40" w:before="40" w:line="280"/>
            </w:pPr>
            <w:r>
              <w:t xml:space="preserve">— Requesting project / product / team</w:t>
            </w:r>
          </w:p>
          <w:p>
            <w:pPr>
              <w:spacing w:after="40" w:before="40" w:line="280"/>
            </w:pPr>
            <w:r>
              <w:t xml:space="preserve">— Sponsor (name and title)</w:t>
            </w:r>
          </w:p>
          <w:p>
            <w:pPr>
              <w:spacing w:after="40" w:before="40" w:line="280"/>
            </w:pPr>
            <w:r>
              <w:t xml:space="preserve">— Specific principle, standard, or reference being deviated from</w:t>
            </w:r>
          </w:p>
          <w:p>
            <w:pPr>
              <w:spacing w:after="40" w:before="40" w:line="280"/>
            </w:pPr>
            <w:r>
              <w:t xml:space="preserve">— Description of the deviation (what exactly is being done differently)</w:t>
            </w:r>
          </w:p>
          <w:p>
            <w:pPr>
              <w:spacing w:after="40" w:before="40" w:line="280"/>
            </w:pPr>
            <w:r>
              <w:t xml:space="preserve">— Rationale — why the deviation is necessary</w:t>
            </w:r>
          </w:p>
          <w:p>
            <w:pPr>
              <w:spacing w:after="40" w:before="40" w:line="280"/>
            </w:pPr>
            <w:r>
              <w:t xml:space="preserve">— Alternatives considered and why they were rejected</w:t>
            </w:r>
          </w:p>
          <w:p>
            <w:pPr>
              <w:spacing w:after="40" w:before="40" w:line="280"/>
            </w:pPr>
            <w:r>
              <w:t xml:space="preserve">— Duration of the deviation (must be finite)</w:t>
            </w:r>
          </w:p>
          <w:p>
            <w:pPr>
              <w:spacing w:after="40" w:before="40" w:line="280"/>
            </w:pPr>
            <w:r>
              <w:t xml:space="preserve">— Remediation plan — how and when conformance will be restored</w:t>
            </w:r>
          </w:p>
          <w:p>
            <w:pPr>
              <w:spacing w:after="40" w:before="40" w:line="280"/>
            </w:pPr>
            <w:r>
              <w:t xml:space="preserve">— Risk assessment — likelihood, impact, mitigations</w:t>
            </w:r>
          </w:p>
          <w:p>
            <w:pPr>
              <w:spacing w:after="40" w:before="40" w:line="280"/>
            </w:pPr>
            <w:r>
              <w:t xml:space="preserve">— Cost of conformance vs. cost of deviation</w:t>
            </w:r>
          </w:p>
          <w:p>
            <w:pPr>
              <w:spacing w:after="40" w:before="40" w:line="280"/>
            </w:pPr>
            <w:r>
              <w:t xml:space="preserve">— Stakeholders affected</w:t>
            </w:r>
          </w:p>
          <w:p>
            <w:pPr>
              <w:spacing w:after="40" w:before="40" w:line="280"/>
            </w:pPr>
            <w:r>
              <w:t xml:space="preserve">— Approvals required / obtained</w:t>
            </w:r>
          </w:p>
        </w:tc>
      </w:tr>
    </w:tbl>
    <w:p>
      <w:pPr>
        <w:pStyle w:val="Heading2"/>
        <w:spacing w:after="120" w:before="260"/>
      </w:pPr>
      <w:r>
        <w:t xml:space="preserve">4.5 Dispensation Attributes</w:t>
      </w:r>
    </w:p>
    <w:p>
      <w:pPr>
        <w:pStyle w:val="ListParagraph"/>
        <w:numPr>
          <w:ilvl w:val="0"/>
          <w:numId w:val="2"/>
        </w:numPr>
        <w:spacing w:after="40" w:before="40" w:line="280"/>
      </w:pPr>
      <w:r>
        <w:rPr>
          <w:b/>
          <w:bCs/>
        </w:rPr>
        <w:t xml:space="preserve">Time-limited: </w:t>
      </w:r>
      <w:r>
        <w:t xml:space="preserve">every dispensation has an expiry date. Open-ended dispensations are prohibited — they become permanent "architecture debt."</w:t>
      </w:r>
    </w:p>
    <w:p>
      <w:pPr>
        <w:pStyle w:val="ListParagraph"/>
        <w:numPr>
          <w:ilvl w:val="0"/>
          <w:numId w:val="2"/>
        </w:numPr>
        <w:spacing w:after="40" w:before="40" w:line="280"/>
      </w:pPr>
      <w:r>
        <w:rPr>
          <w:b/>
          <w:bCs/>
        </w:rPr>
        <w:t xml:space="preserve">Specific: </w:t>
      </w:r>
      <w:r>
        <w:t xml:space="preserve">the dispensation names the exact principle or standard waived, not a vague "architecture exception."</w:t>
      </w:r>
    </w:p>
    <w:p>
      <w:pPr>
        <w:pStyle w:val="ListParagraph"/>
        <w:numPr>
          <w:ilvl w:val="0"/>
          <w:numId w:val="2"/>
        </w:numPr>
        <w:spacing w:after="40" w:before="40" w:line="280"/>
      </w:pPr>
      <w:r>
        <w:rPr>
          <w:b/>
          <w:bCs/>
        </w:rPr>
        <w:t xml:space="preserve">Accountable: </w:t>
      </w:r>
      <w:r>
        <w:t xml:space="preserve">a named individual owns remediation by the expiry date.</w:t>
      </w:r>
    </w:p>
    <w:p>
      <w:pPr>
        <w:pStyle w:val="ListParagraph"/>
        <w:numPr>
          <w:ilvl w:val="0"/>
          <w:numId w:val="2"/>
        </w:numPr>
        <w:spacing w:after="40" w:before="40" w:line="280"/>
      </w:pPr>
      <w:r>
        <w:rPr>
          <w:b/>
          <w:bCs/>
        </w:rPr>
        <w:t xml:space="preserve">Visible: </w:t>
      </w:r>
      <w:r>
        <w:t xml:space="preserve">dispensations are listed in the Architecture Repository, reviewed in Board meetings, and reported in governance dashboards.</w:t>
      </w:r>
    </w:p>
    <w:p>
      <w:pPr>
        <w:pStyle w:val="ListParagraph"/>
        <w:numPr>
          <w:ilvl w:val="0"/>
          <w:numId w:val="2"/>
        </w:numPr>
        <w:spacing w:after="40" w:before="40" w:line="280"/>
      </w:pPr>
      <w:r>
        <w:rPr>
          <w:b/>
          <w:bCs/>
        </w:rPr>
        <w:t xml:space="preserve">Monitored: </w:t>
      </w:r>
      <w:r>
        <w:t xml:space="preserve">interim checkpoints are scheduled to verify the remediation plan is on track.</w:t>
      </w:r>
    </w:p>
    <w:p>
      <w:pPr>
        <w:pStyle w:val="ListParagraph"/>
        <w:numPr>
          <w:ilvl w:val="0"/>
          <w:numId w:val="2"/>
        </w:numPr>
        <w:spacing w:after="40" w:before="40" w:line="280"/>
      </w:pPr>
      <w:r>
        <w:rPr>
          <w:b/>
          <w:bCs/>
        </w:rPr>
        <w:t xml:space="preserve">Audited: </w:t>
      </w:r>
      <w:r>
        <w:t xml:space="preserve">at expiry, the Board verifies either that conformance has been restored or that a conscious renewal has been granted.</w:t>
      </w:r>
    </w:p>
    <w:p>
      <w:pPr>
        <w:pStyle w:val="Heading2"/>
        <w:spacing w:after="120" w:before="260"/>
      </w:pPr>
      <w:r>
        <w:t xml:space="preserve">4.6 Dispensation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Outcome</w:t>
            </w:r>
          </w:p>
        </w:tc>
        <w:tc>
          <w:tcPr>
            <w:tcW w:type="dxa" w:w="4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c>
          <w:tcPr>
            <w:tcW w:type="dxa" w:w="24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Next Step</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Granted</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Deviation permitted under stated conditions and expiry</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Monitor; remediate by expiry</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Granted with Modifications</w:t>
            </w:r>
          </w:p>
        </w:tc>
        <w:tc>
          <w:tcPr>
            <w:tcW w:type="dxa" w:w="4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Granted but with additional constraints (e.g., logging, reporting)</w:t>
            </w:r>
          </w:p>
        </w:tc>
        <w:tc>
          <w:tcPr>
            <w:tcW w:type="dxa" w:w="2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Accept conditions; monitor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Deferred</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Decision postponed pending more information</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Provide requested information</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Declined</w:t>
            </w:r>
          </w:p>
        </w:tc>
        <w:tc>
          <w:tcPr>
            <w:tcW w:type="dxa" w:w="4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Deviation not permitted</w:t>
            </w:r>
          </w:p>
        </w:tc>
        <w:tc>
          <w:tcPr>
            <w:tcW w:type="dxa" w:w="2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Project must conform or be re-scoped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Standard Updated</w:t>
            </w:r>
          </w:p>
        </w:tc>
        <w:tc>
          <w:tcPr>
            <w:tcW w:type="dxa" w:w="4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standard is found to be flawed and is updated</w:t>
            </w:r>
          </w:p>
        </w:tc>
        <w:tc>
          <w:tcPr>
            <w:tcW w:type="dxa" w:w="2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Update Repository; no dispensation needed</w:t>
            </w:r>
          </w:p>
        </w:tc>
      </w:tr>
    </w:tbl>
    <w:p>
      <w:pPr>
        <w:pStyle w:val="Heading2"/>
        <w:spacing w:after="120" w:before="260"/>
      </w:pPr>
      <w:r>
        <w:t xml:space="preserve">4.7 Tracking and Reporting</w:t>
      </w:r>
    </w:p>
    <w:p>
      <w:pPr>
        <w:spacing w:after="80" w:before="80" w:line="300"/>
        <w:jc w:val="both"/>
      </w:pPr>
      <w:r>
        <w:t xml:space="preserve">A healthy enterprise keeps a live Dispensation Register. Metrics typically reported to the Architecture Board:</w:t>
      </w:r>
    </w:p>
    <w:p>
      <w:pPr>
        <w:pStyle w:val="ListParagraph"/>
        <w:numPr>
          <w:ilvl w:val="0"/>
          <w:numId w:val="2"/>
        </w:numPr>
        <w:spacing w:after="40" w:before="40" w:line="280"/>
      </w:pPr>
      <w:r>
        <w:t xml:space="preserve">Total open dispensations and their aggregate "debt"</w:t>
      </w:r>
    </w:p>
    <w:p>
      <w:pPr>
        <w:pStyle w:val="ListParagraph"/>
        <w:numPr>
          <w:ilvl w:val="0"/>
          <w:numId w:val="2"/>
        </w:numPr>
        <w:spacing w:after="40" w:before="40" w:line="280"/>
      </w:pPr>
      <w:r>
        <w:t xml:space="preserve">Dispensations approaching expiry (next 30/60/90 days)</w:t>
      </w:r>
    </w:p>
    <w:p>
      <w:pPr>
        <w:pStyle w:val="ListParagraph"/>
        <w:numPr>
          <w:ilvl w:val="0"/>
          <w:numId w:val="2"/>
        </w:numPr>
        <w:spacing w:after="40" w:before="40" w:line="280"/>
      </w:pPr>
      <w:r>
        <w:t xml:space="preserve">Expired dispensations still without remediation (red flag)</w:t>
      </w:r>
    </w:p>
    <w:p>
      <w:pPr>
        <w:pStyle w:val="ListParagraph"/>
        <w:numPr>
          <w:ilvl w:val="0"/>
          <w:numId w:val="2"/>
        </w:numPr>
        <w:spacing w:after="40" w:before="40" w:line="280"/>
      </w:pPr>
      <w:r>
        <w:t xml:space="preserve">Dispensations renewed more than once (systemic issue indicator)</w:t>
      </w:r>
    </w:p>
    <w:p>
      <w:pPr>
        <w:pStyle w:val="ListParagraph"/>
        <w:numPr>
          <w:ilvl w:val="0"/>
          <w:numId w:val="2"/>
        </w:numPr>
        <w:spacing w:after="40" w:before="40" w:line="280"/>
      </w:pPr>
      <w:r>
        <w:t xml:space="preserve">Standards triggering the most dispensations (candidate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Dispensation DISP-2026-014:</w:t>
            </w:r>
          </w:p>
          <w:p>
            <w:pPr>
              <w:spacing w:after="40" w:before="40" w:line="280"/>
            </w:pPr>
            <w:r>
              <w:t xml:space="preserve">— Requestor: Payments Modernization Programme</w:t>
            </w:r>
          </w:p>
          <w:p>
            <w:pPr>
              <w:spacing w:after="40" w:before="40" w:line="280"/>
            </w:pPr>
            <w:r>
              <w:t xml:space="preserve">— Principle waived: "Cloud-First" (PRIN-TECH-004)</w:t>
            </w:r>
          </w:p>
          <w:p>
            <w:pPr>
              <w:spacing w:after="40" w:before="40" w:line="280"/>
            </w:pPr>
            <w:r>
              <w:t xml:space="preserve">— Deviation: new PCI-DSS card tokenization service will be deployed on-prem due to HSM vendor certification timelines</w:t>
            </w:r>
          </w:p>
          <w:p>
            <w:pPr>
              <w:spacing w:after="40" w:before="40" w:line="280"/>
            </w:pPr>
            <w:r>
              <w:t xml:space="preserve">— Duration: 9 months (from 2026-03-01 to 2026-12-01)</w:t>
            </w:r>
          </w:p>
          <w:p>
            <w:pPr>
              <w:spacing w:after="40" w:before="40" w:line="280"/>
            </w:pPr>
            <w:r>
              <w:t xml:space="preserve">— Remediation: migrate to cloud HSM when vendor Azure Dedicated HSM achieves PCI certification; plan documented in JIRA epic PAY-1442</w:t>
            </w:r>
          </w:p>
          <w:p>
            <w:pPr>
              <w:spacing w:after="40" w:before="40" w:line="280"/>
            </w:pPr>
            <w:r>
              <w:t xml:space="preserve">— Risk: Medium — on-prem increases operational burden; mitigated by existing Data Centre SLA</w:t>
            </w:r>
          </w:p>
          <w:p>
            <w:pPr>
              <w:spacing w:after="40" w:before="40" w:line="280"/>
            </w:pPr>
            <w:r>
              <w:t xml:space="preserve">— Decision: Granted with Modifications — monthly status report to Architecture Board; automatic lapse on 2026-12-01</w:t>
            </w:r>
          </w:p>
          <w:p>
            <w:pPr>
              <w:spacing w:after="40" w:before="40" w:line="280"/>
            </w:pPr>
            <w:r>
              <w:t xml:space="preserve">— Outcome: remediated by 2026-11-10; dispensation closed.</w:t>
            </w:r>
          </w:p>
        </w:tc>
      </w:tr>
    </w:tbl>
    <w:p>
      <w:pPr>
        <w:pStyle w:val="Heading2"/>
        <w:spacing w:after="120" w:before="260"/>
      </w:pPr>
      <w:r>
        <w:t xml:space="preserve">4.8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Rubber-stamping dispensations — the Board must genuinely challenge; otherwise the process is cover, not control.</w:t>
            </w:r>
          </w:p>
          <w:p>
            <w:pPr>
              <w:spacing w:after="40" w:before="40" w:line="280"/>
            </w:pPr>
            <w:r>
              <w:t xml:space="preserve">Issuing dispensations with no expiry — they become permanent architecture debt.</w:t>
            </w:r>
          </w:p>
          <w:p>
            <w:pPr>
              <w:spacing w:after="40" w:before="40" w:line="280"/>
            </w:pPr>
            <w:r>
              <w:t xml:space="preserve">Failing to track remediation — expired dispensations that are silently ignored destroy governance credibility.</w:t>
            </w:r>
          </w:p>
          <w:p>
            <w:pPr>
              <w:spacing w:after="40" w:before="40" w:line="280"/>
            </w:pPr>
            <w:r>
              <w:t xml:space="preserve">Using dispensations to hide design flaws — if a standard is wrong, fix the standard, don't create a permanent exception.</w:t>
            </w:r>
          </w:p>
          <w:p>
            <w:pPr>
              <w:spacing w:after="40" w:before="40" w:line="280"/>
            </w:pPr>
            <w:r>
              <w:t xml:space="preserve">Not aggregating across dispensations — a pile of "small" deviations can add up to an unrecognized strategic drift.</w:t>
            </w:r>
          </w:p>
        </w:tc>
      </w:tr>
    </w:tbl>
    <w:p>
      <w:pPr>
        <w:pStyle w:val="Heading1"/>
        <w:pageBreakBefore/>
        <w:spacing w:after="180" w:before="360"/>
      </w:pPr>
      <w:r>
        <w:t xml:space="preserve">5. Architecture Principles</w:t>
      </w:r>
    </w:p>
    <w:p>
      <w:pPr>
        <w:pStyle w:val="Heading2"/>
        <w:spacing w:after="120" w:before="260"/>
      </w:pPr>
      <w:r>
        <w:t xml:space="preserve">5.1 Definition</w:t>
      </w:r>
    </w:p>
    <w:p>
      <w:pPr>
        <w:spacing w:after="80" w:before="80" w:line="300"/>
        <w:jc w:val="both"/>
      </w:pPr>
      <w:r>
        <w:t xml:space="preserve">Architecture Principles are general rules and guidelines, intended to be enduring and seldom amended, that inform and support the way in which an organization sets about fulfilling its mission. They are the highest-level expression of architectural intent — the "constitution" that every downstream architecture decision must respect.</w:t>
      </w:r>
    </w:p>
    <w:p>
      <w:pPr>
        <w:spacing w:after="80" w:before="80" w:line="300"/>
        <w:jc w:val="both"/>
      </w:pPr>
      <w:r>
        <w:t xml:space="preserve">Principles are defined in the Preliminary Phase of the ADM and refined in Phase A. They are owned by the Architecture Board. They are explicitly not design patterns, not standards, and not reference architectures — those are derived from principles, not substitutes for them.</w:t>
      </w:r>
    </w:p>
    <w:p>
      <w:pPr>
        <w:pStyle w:val="Heading2"/>
        <w:spacing w:after="120" w:before="260"/>
      </w:pPr>
      <w:r>
        <w:t xml:space="preserve">5.2 Characteristics of Good Principles</w:t>
      </w:r>
    </w:p>
    <w:p>
      <w:pPr>
        <w:spacing w:after="80" w:before="80" w:line="300"/>
        <w:jc w:val="both"/>
      </w:pPr>
      <w:r>
        <w:t xml:space="preserve">TOGAF identifies five qualities that good principles exhibit. These are examinable and worth memorizing: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Quality</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Understandable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Intent is clear and unambiguous; avoids jargon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Robust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Enables good decisions even in edge cases and in conflict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Complete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Every important area is covered, but without overlap</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Consistent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Principles do not contradict each other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Stable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Enduring — seldom changed, unlike standards</w:t>
            </w:r>
          </w:p>
        </w:tc>
      </w:tr>
    </w:tbl>
    <w:p>
      <w:pPr>
        <w:pStyle w:val="Heading2"/>
        <w:spacing w:after="120" w:before="260"/>
      </w:pPr>
      <w:r>
        <w:t xml:space="preserve">5.3 The Four-Part Principle Template</w:t>
      </w:r>
    </w:p>
    <w:p>
      <w:pPr>
        <w:spacing w:after="80" w:before="80" w:line="300"/>
        <w:jc w:val="both"/>
      </w:pPr>
      <w:r>
        <w:t xml:space="preserve">TOGAF prescribes a canonical four-part template for every principle. The template forces each principle to be actionable rather than aspirational.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Element</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Description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Name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Short, memorable, essence-capturing — ideally a phrase leaders can recite from memory</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Statement</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One or two sentences that concisely state the rule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Rationale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business benefits and reasons to adhere — why this rule exists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Implications</w:t>
            </w:r>
          </w:p>
        </w:tc>
        <w:tc>
          <w:tcPr>
            <w:tcW w:type="dxa" w:w="7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requirements, both for the business and IT, for carrying out the principle — behaviors, costs, constraints, controls it creates</w:t>
            </w:r>
          </w:p>
        </w:tc>
      </w:tr>
    </w:tbl>
    <w:p>
      <w:pPr>
        <w:pStyle w:val="Heading2"/>
        <w:spacing w:after="120" w:before="260"/>
      </w:pPr>
      <w:r>
        <w:t xml:space="preserve">5.4 Types of Principles</w:t>
      </w:r>
    </w:p>
    <w:p>
      <w:pPr>
        <w:spacing w:after="80" w:before="80" w:line="300"/>
        <w:jc w:val="both"/>
      </w:pPr>
      <w:r>
        <w:t xml:space="preserve">TOGAF distinguishes several types. In large enterprises you will find principles at each level, all consistent with the level above.</w:t>
      </w:r>
    </w:p>
    <w:p>
      <w:pPr>
        <w:pStyle w:val="ListParagraph"/>
        <w:numPr>
          <w:ilvl w:val="0"/>
          <w:numId w:val="2"/>
        </w:numPr>
        <w:spacing w:after="40" w:before="40" w:line="280"/>
      </w:pPr>
      <w:r>
        <w:rPr>
          <w:b/>
          <w:bCs/>
        </w:rPr>
        <w:t xml:space="preserve">Enterprise Principles: </w:t>
      </w:r>
      <w:r>
        <w:t xml:space="preserve">apply to the whole organization — e.g., "Treat customers consistently."</w:t>
      </w:r>
    </w:p>
    <w:p>
      <w:pPr>
        <w:pStyle w:val="ListParagraph"/>
        <w:numPr>
          <w:ilvl w:val="0"/>
          <w:numId w:val="2"/>
        </w:numPr>
        <w:spacing w:after="40" w:before="40" w:line="280"/>
      </w:pPr>
      <w:r>
        <w:rPr>
          <w:b/>
          <w:bCs/>
        </w:rPr>
        <w:t xml:space="preserve">IT Principles: </w:t>
      </w:r>
      <w:r>
        <w:t xml:space="preserve">apply to IT — e.g., "Use industry standards."</w:t>
      </w:r>
    </w:p>
    <w:p>
      <w:pPr>
        <w:pStyle w:val="ListParagraph"/>
        <w:numPr>
          <w:ilvl w:val="0"/>
          <w:numId w:val="2"/>
        </w:numPr>
        <w:spacing w:after="40" w:before="40" w:line="280"/>
      </w:pPr>
      <w:r>
        <w:rPr>
          <w:b/>
          <w:bCs/>
        </w:rPr>
        <w:t xml:space="preserve">Architecture Principles: </w:t>
      </w:r>
      <w:r>
        <w:t xml:space="preserve">apply specifically to architecture decisions, organized by domain:</w:t>
      </w:r>
    </w:p>
    <w:p>
      <w:pPr>
        <w:pStyle w:val="ListParagraph"/>
        <w:numPr>
          <w:ilvl w:val="1"/>
          <w:numId w:val="2"/>
        </w:numPr>
        <w:spacing w:after="40" w:before="40" w:line="280"/>
      </w:pPr>
      <w:r>
        <w:t xml:space="preserve">Business Architecture Principles</w:t>
      </w:r>
    </w:p>
    <w:p>
      <w:pPr>
        <w:pStyle w:val="ListParagraph"/>
        <w:numPr>
          <w:ilvl w:val="1"/>
          <w:numId w:val="2"/>
        </w:numPr>
        <w:spacing w:after="40" w:before="40" w:line="280"/>
      </w:pPr>
      <w:r>
        <w:t xml:space="preserve">Data Architecture Principles</w:t>
      </w:r>
    </w:p>
    <w:p>
      <w:pPr>
        <w:pStyle w:val="ListParagraph"/>
        <w:numPr>
          <w:ilvl w:val="1"/>
          <w:numId w:val="2"/>
        </w:numPr>
        <w:spacing w:after="40" w:before="40" w:line="280"/>
      </w:pPr>
      <w:r>
        <w:t xml:space="preserve">Application Architecture Principles</w:t>
      </w:r>
    </w:p>
    <w:p>
      <w:pPr>
        <w:pStyle w:val="ListParagraph"/>
        <w:numPr>
          <w:ilvl w:val="1"/>
          <w:numId w:val="2"/>
        </w:numPr>
        <w:spacing w:after="40" w:before="40" w:line="280"/>
      </w:pPr>
      <w:r>
        <w:t xml:space="preserve">Technology Architecture Principles</w:t>
      </w:r>
    </w:p>
    <w:p>
      <w:pPr>
        <w:pStyle w:val="Heading2"/>
        <w:spacing w:after="120" w:before="260"/>
      </w:pPr>
      <w:r>
        <w:t xml:space="preserve">5.5 Examples of TOGAF-Style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Principle — Data Is An Asset</w:t>
            </w:r>
          </w:p>
          <w:p>
            <w:pPr>
              <w:spacing w:after="40" w:before="40" w:line="280"/>
            </w:pPr>
            <w:r>
              <w:t xml:space="preserve">Name: Data is an Asset</w:t>
            </w:r>
          </w:p>
          <w:p>
            <w:pPr>
              <w:spacing w:after="40" w:before="40" w:line="280"/>
            </w:pPr>
            <w:r>
              <w:t xml:space="preserve">Statement: Data is an asset that has value to the enterprise and is managed accordingly.</w:t>
            </w:r>
          </w:p>
          <w:p>
            <w:pPr>
              <w:spacing w:after="40" w:before="40" w:line="280"/>
            </w:pPr>
            <w:r>
              <w:t xml:space="preserve">Rationale: Accurate, timely data is critical to accurate, timely decisions. Data stewardship reduces duplication, improves quality, and supports regulatory compliance.</w:t>
            </w:r>
          </w:p>
          <w:p>
            <w:pPr>
              <w:spacing w:after="40" w:before="40" w:line="280"/>
            </w:pPr>
            <w:r>
              <w:t xml:space="preserve">Implications:</w:t>
            </w:r>
          </w:p>
          <w:p>
            <w:pPr>
              <w:spacing w:after="40" w:before="40" w:line="280"/>
            </w:pPr>
            <w:r>
              <w:t xml:space="preserve">— Data stewards must be appointed for all significant entities.</w:t>
            </w:r>
          </w:p>
          <w:p>
            <w:pPr>
              <w:spacing w:after="40" w:before="40" w:line="280"/>
            </w:pPr>
            <w:r>
              <w:t xml:space="preserve">— Data quality metrics must be established, measured, and reported.</w:t>
            </w:r>
          </w:p>
          <w:p>
            <w:pPr>
              <w:spacing w:after="40" w:before="40" w:line="280"/>
            </w:pPr>
            <w:r>
              <w:t xml:space="preserve">— A single authoritative source must exist for each significant entity (MDM).</w:t>
            </w:r>
          </w:p>
          <w:p>
            <w:pPr>
              <w:spacing w:after="40" w:before="40" w:line="280"/>
            </w:pPr>
            <w:r>
              <w:t xml:space="preserve">— Applications must reference, not duplicate, master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Principle — Common Use Applications</w:t>
            </w:r>
          </w:p>
          <w:p>
            <w:pPr>
              <w:spacing w:after="40" w:before="40" w:line="280"/>
            </w:pPr>
            <w:r>
              <w:t xml:space="preserve">Name: Common Use Applications</w:t>
            </w:r>
          </w:p>
          <w:p>
            <w:pPr>
              <w:spacing w:after="40" w:before="40" w:line="280"/>
            </w:pPr>
            <w:r>
              <w:t xml:space="preserve">Statement: Development of applications used across the enterprise is preferred over similar or duplicative applications for individual organizations.</w:t>
            </w:r>
          </w:p>
          <w:p>
            <w:pPr>
              <w:spacing w:after="40" w:before="40" w:line="280"/>
            </w:pPr>
            <w:r>
              <w:t xml:space="preserve">Rationale: Duplicate capability is expensive to build, operate, and maintain; it fragments data and degrades user experience.</w:t>
            </w:r>
          </w:p>
          <w:p>
            <w:pPr>
              <w:spacing w:after="40" w:before="40" w:line="280"/>
            </w:pPr>
            <w:r>
              <w:t xml:space="preserve">Implications:</w:t>
            </w:r>
          </w:p>
          <w:p>
            <w:pPr>
              <w:spacing w:after="40" w:before="40" w:line="280"/>
            </w:pPr>
            <w:r>
              <w:t xml:space="preserve">— Enterprise application portfolio must be maintained.</w:t>
            </w:r>
          </w:p>
          <w:p>
            <w:pPr>
              <w:spacing w:after="40" w:before="40" w:line="280"/>
            </w:pPr>
            <w:r>
              <w:t xml:space="preserve">— Requests for new applications must first check for an existing common application.</w:t>
            </w:r>
          </w:p>
          <w:p>
            <w:pPr>
              <w:spacing w:after="40" w:before="40" w:line="280"/>
            </w:pPr>
            <w:r>
              <w:t xml:space="preserve">— Governance must enforce reuse over re-build.</w:t>
            </w:r>
          </w:p>
          <w:p>
            <w:pPr>
              <w:spacing w:after="40" w:before="40" w:line="280"/>
            </w:pPr>
            <w:r>
              <w:t xml:space="preserve">— Funding model must support shared services rather than penalize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Principle — Technology Independence</w:t>
            </w:r>
          </w:p>
          <w:p>
            <w:pPr>
              <w:spacing w:after="40" w:before="40" w:line="280"/>
            </w:pPr>
            <w:r>
              <w:t xml:space="preserve">Name: Technology Independence</w:t>
            </w:r>
          </w:p>
          <w:p>
            <w:pPr>
              <w:spacing w:after="40" w:before="40" w:line="280"/>
            </w:pPr>
            <w:r>
              <w:t xml:space="preserve">Statement: Applications are independent of specific technology choices and therefore can operate on a variety of technology platforms.</w:t>
            </w:r>
          </w:p>
          <w:p>
            <w:pPr>
              <w:spacing w:after="40" w:before="40" w:line="280"/>
            </w:pPr>
            <w:r>
              <w:t xml:space="preserve">Rationale: Technology evolves faster than applications. Independence reduces cost of change, preserves investment, and enables portability.</w:t>
            </w:r>
          </w:p>
          <w:p>
            <w:pPr>
              <w:spacing w:after="40" w:before="40" w:line="280"/>
            </w:pPr>
            <w:r>
              <w:t xml:space="preserve">Implications:</w:t>
            </w:r>
          </w:p>
          <w:p>
            <w:pPr>
              <w:spacing w:after="40" w:before="40" w:line="280"/>
            </w:pPr>
            <w:r>
              <w:t xml:space="preserve">— Applications must use open standards, not proprietary APIs where alternatives exist.</w:t>
            </w:r>
          </w:p>
          <w:p>
            <w:pPr>
              <w:spacing w:after="40" w:before="40" w:line="280"/>
            </w:pPr>
            <w:r>
              <w:t xml:space="preserve">— Abstraction layers (ORM, DAL, adapters) should isolate technology specifics.</w:t>
            </w:r>
          </w:p>
          <w:p>
            <w:pPr>
              <w:spacing w:after="40" w:before="40" w:line="280"/>
            </w:pPr>
            <w:r>
              <w:t xml:space="preserve">— Standards must be enforced; deviations require dispensation.</w:t>
            </w:r>
          </w:p>
          <w:p>
            <w:pPr>
              <w:spacing w:after="40" w:before="40" w:line="280"/>
            </w:pPr>
            <w:r>
              <w:t xml:space="preserve">— Procurement must prefer vendors supporting portable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Principle — Security by Design</w:t>
            </w:r>
          </w:p>
          <w:p>
            <w:pPr>
              <w:spacing w:after="40" w:before="40" w:line="280"/>
            </w:pPr>
            <w:r>
              <w:t xml:space="preserve">Name: Security by Design</w:t>
            </w:r>
          </w:p>
          <w:p>
            <w:pPr>
              <w:spacing w:after="40" w:before="40" w:line="280"/>
            </w:pPr>
            <w:r>
              <w:t xml:space="preserve">Statement: Security is an essential characteristic and must be addressed at every stage of the architecture, not added as an afterthought.</w:t>
            </w:r>
          </w:p>
          <w:p>
            <w:pPr>
              <w:spacing w:after="40" w:before="40" w:line="280"/>
            </w:pPr>
            <w:r>
              <w:t xml:space="preserve">Rationale: Retrofitting security is expensive, incomplete, and creates reputational and regulatory risk.</w:t>
            </w:r>
          </w:p>
          <w:p>
            <w:pPr>
              <w:spacing w:after="40" w:before="40" w:line="280"/>
            </w:pPr>
            <w:r>
              <w:t xml:space="preserve">Implications:</w:t>
            </w:r>
          </w:p>
          <w:p>
            <w:pPr>
              <w:spacing w:after="40" w:before="40" w:line="280"/>
            </w:pPr>
            <w:r>
              <w:t xml:space="preserve">— Threat modeling is mandatory for every project.</w:t>
            </w:r>
          </w:p>
          <w:p>
            <w:pPr>
              <w:spacing w:after="40" w:before="40" w:line="280"/>
            </w:pPr>
            <w:r>
              <w:t xml:space="preserve">— Principle of least privilege applies everywhere.</w:t>
            </w:r>
          </w:p>
          <w:p>
            <w:pPr>
              <w:spacing w:after="40" w:before="40" w:line="280"/>
            </w:pPr>
            <w:r>
              <w:t xml:space="preserve">— Encryption in transit and at rest is the default, not the exception.</w:t>
            </w:r>
          </w:p>
          <w:p>
            <w:pPr>
              <w:spacing w:after="40" w:before="40" w:line="280"/>
            </w:pPr>
            <w:r>
              <w:t xml:space="preserve">— Security architects participate in every compliance review.</w:t>
            </w:r>
          </w:p>
        </w:tc>
      </w:tr>
    </w:tbl>
    <w:p>
      <w:pPr>
        <w:pStyle w:val="Heading2"/>
        <w:spacing w:after="120" w:before="260"/>
      </w:pPr>
      <w:r>
        <w:t xml:space="preserve">5.6 Working with Principles</w:t>
      </w:r>
    </w:p>
    <w:p>
      <w:pPr>
        <w:spacing w:after="80" w:before="80" w:line="300"/>
        <w:jc w:val="both"/>
      </w:pPr>
      <w:r>
        <w:t xml:space="preserve">Principles should be treated as working tools, not decoration. Concretely, this means:</w:t>
      </w:r>
    </w:p>
    <w:p>
      <w:pPr>
        <w:pStyle w:val="ListParagraph"/>
        <w:numPr>
          <w:ilvl w:val="0"/>
          <w:numId w:val="2"/>
        </w:numPr>
        <w:spacing w:after="40" w:before="40" w:line="280"/>
      </w:pPr>
      <w:r>
        <w:rPr>
          <w:b/>
          <w:bCs/>
        </w:rPr>
        <w:t xml:space="preserve">Numbering: </w:t>
      </w:r>
      <w:r>
        <w:t xml:space="preserve">give each principle a stable ID (e.g., PRIN-DATA-002) so it can be referenced in reviews, dispensations, and ADRs.</w:t>
      </w:r>
    </w:p>
    <w:p>
      <w:pPr>
        <w:pStyle w:val="ListParagraph"/>
        <w:numPr>
          <w:ilvl w:val="0"/>
          <w:numId w:val="2"/>
        </w:numPr>
        <w:spacing w:after="40" w:before="40" w:line="280"/>
      </w:pPr>
      <w:r>
        <w:rPr>
          <w:b/>
          <w:bCs/>
        </w:rPr>
        <w:t xml:space="preserve">Publication: </w:t>
      </w:r>
      <w:r>
        <w:t xml:space="preserve">principles live in the Architecture Repository and are visible to every architect and project team.</w:t>
      </w:r>
    </w:p>
    <w:p>
      <w:pPr>
        <w:pStyle w:val="ListParagraph"/>
        <w:numPr>
          <w:ilvl w:val="0"/>
          <w:numId w:val="2"/>
        </w:numPr>
        <w:spacing w:after="40" w:before="40" w:line="280"/>
      </w:pPr>
      <w:r>
        <w:rPr>
          <w:b/>
          <w:bCs/>
        </w:rPr>
        <w:t xml:space="preserve">Training: </w:t>
      </w:r>
      <w:r>
        <w:t xml:space="preserve">every architect and senior engineer should be able to cite and apply the enterprise principles.</w:t>
      </w:r>
    </w:p>
    <w:p>
      <w:pPr>
        <w:pStyle w:val="ListParagraph"/>
        <w:numPr>
          <w:ilvl w:val="0"/>
          <w:numId w:val="2"/>
        </w:numPr>
        <w:spacing w:after="40" w:before="40" w:line="280"/>
      </w:pPr>
      <w:r>
        <w:rPr>
          <w:b/>
          <w:bCs/>
        </w:rPr>
        <w:t xml:space="preserve">Enforcement: </w:t>
      </w:r>
      <w:r>
        <w:t xml:space="preserve">compliance reviews explicitly check adherence to principles.</w:t>
      </w:r>
    </w:p>
    <w:p>
      <w:pPr>
        <w:pStyle w:val="ListParagraph"/>
        <w:numPr>
          <w:ilvl w:val="0"/>
          <w:numId w:val="2"/>
        </w:numPr>
        <w:spacing w:after="40" w:before="40" w:line="280"/>
      </w:pPr>
      <w:r>
        <w:rPr>
          <w:b/>
          <w:bCs/>
        </w:rPr>
        <w:t xml:space="preserve">Review: </w:t>
      </w:r>
      <w:r>
        <w:t xml:space="preserve">principles are revisited at long intervals (annually or every 2–3 years) — stability is a quality.</w:t>
      </w:r>
    </w:p>
    <w:p>
      <w:pPr>
        <w:pStyle w:val="Heading2"/>
        <w:spacing w:after="120" w:before="260"/>
      </w:pPr>
      <w:r>
        <w:t xml:space="preserve">5.7 Handling Principle Conflicts</w:t>
      </w:r>
    </w:p>
    <w:p>
      <w:pPr>
        <w:spacing w:after="80" w:before="80" w:line="300"/>
        <w:jc w:val="both"/>
      </w:pPr>
      <w:r>
        <w:t xml:space="preserve">Well-written principles will sometimes conflict in specific situations — "minimize cost" vs. "best-in-class quality," or "buy over build" vs. "differentiate through software." When conflicts arise:</w:t>
      </w:r>
    </w:p>
    <w:p>
      <w:pPr>
        <w:pStyle w:val="ListParagraph"/>
        <w:numPr>
          <w:ilvl w:val="0"/>
          <w:numId w:val="3"/>
        </w:numPr>
        <w:spacing w:after="40" w:before="40" w:line="280"/>
      </w:pPr>
      <w:r>
        <w:t xml:space="preserve">Articulate the conflict explicitly — do not pretend it doesn't exist.</w:t>
      </w:r>
    </w:p>
    <w:p>
      <w:pPr>
        <w:pStyle w:val="ListParagraph"/>
        <w:numPr>
          <w:ilvl w:val="0"/>
          <w:numId w:val="3"/>
        </w:numPr>
        <w:spacing w:after="40" w:before="40" w:line="280"/>
      </w:pPr>
      <w:r>
        <w:t xml:space="preserve">Identify which principle should take precedence in this context, and why.</w:t>
      </w:r>
    </w:p>
    <w:p>
      <w:pPr>
        <w:pStyle w:val="ListParagraph"/>
        <w:numPr>
          <w:ilvl w:val="0"/>
          <w:numId w:val="3"/>
        </w:numPr>
        <w:spacing w:after="40" w:before="40" w:line="280"/>
      </w:pPr>
      <w:r>
        <w:t xml:space="preserve">Document the decision as an ADR (see §9).</w:t>
      </w:r>
    </w:p>
    <w:p>
      <w:pPr>
        <w:pStyle w:val="ListParagraph"/>
        <w:numPr>
          <w:ilvl w:val="0"/>
          <w:numId w:val="3"/>
        </w:numPr>
        <w:spacing w:after="40" w:before="40" w:line="280"/>
      </w:pPr>
      <w:r>
        <w:t xml:space="preserve">If the conflict recurs, reconsider whether the principles themselves need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insurer establishes 18 principles across enterprise, business, data, application, and technology domains. Each is in the four-part template, numbered PRIN-0001 through PRIN-0018.</w:t>
            </w:r>
          </w:p>
          <w:p>
            <w:pPr>
              <w:spacing w:after="40" w:before="40" w:line="280"/>
            </w:pPr>
            <w:r>
              <w:t xml:space="preserve">Example dispute: Programme wants to buy a niche underwriting SaaS that cannot use the enterprise IAM (violates PRIN-SEC-003 "Single Sign-On").</w:t>
            </w:r>
          </w:p>
          <w:p>
            <w:pPr>
              <w:spacing w:after="40" w:before="40" w:line="280"/>
            </w:pPr>
            <w:r>
              <w:t xml:space="preserve">Architecture Board applies PRIN-BUS-002 "Speed to Market" as contextually overriding, grants a 12-month dispensation, and requires an SSO integration roadmap from the vendor.</w:t>
            </w:r>
          </w:p>
          <w:p>
            <w:pPr>
              <w:spacing w:after="40" w:before="40" w:line="280"/>
            </w:pPr>
            <w:r>
              <w:t xml:space="preserve">Decision recorded as ADR-2026-089, dispensation DISP-2026-024, both stored in the Repository.</w:t>
            </w:r>
          </w:p>
        </w:tc>
      </w:tr>
    </w:tbl>
    <w:p>
      <w:pPr>
        <w:pStyle w:val="Heading2"/>
        <w:spacing w:after="120" w:before="260"/>
      </w:pPr>
      <w:r>
        <w:t xml:space="preserve">5.8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Writing too many principles — 15 to 25 is typical for an enterprise; more than 30 becomes unmanageable.</w:t>
            </w:r>
          </w:p>
          <w:p>
            <w:pPr>
              <w:spacing w:after="40" w:before="40" w:line="280"/>
            </w:pPr>
            <w:r>
              <w:t xml:space="preserve">Writing principles that are actually standards — "All Java must be Java 21" is a standard, not a principle.</w:t>
            </w:r>
          </w:p>
          <w:p>
            <w:pPr>
              <w:spacing w:after="40" w:before="40" w:line="280"/>
            </w:pPr>
            <w:r>
              <w:t xml:space="preserve">Leaving out the Implications — without them, a principle is an empty slogan.</w:t>
            </w:r>
          </w:p>
          <w:p>
            <w:pPr>
              <w:spacing w:after="40" w:before="40" w:line="280"/>
            </w:pPr>
            <w:r>
              <w:t xml:space="preserve">Never enforcing principles — unenforced principles are worse than no principles; they teach teams to ignore governance.</w:t>
            </w:r>
          </w:p>
          <w:p>
            <w:pPr>
              <w:spacing w:after="40" w:before="40" w:line="280"/>
            </w:pPr>
            <w:r>
              <w:t xml:space="preserve">Changing principles frequently — stability is a defining quality.</w:t>
            </w:r>
          </w:p>
        </w:tc>
      </w:tr>
    </w:tbl>
    <w:p>
      <w:pPr>
        <w:pStyle w:val="Heading1"/>
        <w:pageBreakBefore/>
        <w:spacing w:after="180" w:before="360"/>
      </w:pPr>
      <w:r>
        <w:t xml:space="preserve">6. Architecture Repository</w:t>
      </w:r>
    </w:p>
    <w:p>
      <w:pPr>
        <w:pStyle w:val="Heading2"/>
        <w:spacing w:after="120" w:before="260"/>
      </w:pPr>
      <w:r>
        <w:t xml:space="preserve">6.1 Purpose</w:t>
      </w:r>
    </w:p>
    <w:p>
      <w:pPr>
        <w:spacing w:after="80" w:before="80" w:line="300"/>
        <w:jc w:val="both"/>
      </w:pPr>
      <w:r>
        <w:t xml:space="preserve">The Architecture Repository is the physical store for everything produced, referenced, and governed by the architecture function. It is not merely a document library — it is a structured, versioned, access-controlled asset that makes the architecture findable, reusable, auditable, and authoritative. Without it, governance cannot function.</w:t>
      </w:r>
    </w:p>
    <w:p>
      <w:pPr>
        <w:spacing w:after="80" w:before="80" w:line="300"/>
        <w:jc w:val="both"/>
      </w:pPr>
      <w:r>
        <w:t xml:space="preserve">TOGAF defines a logical structure for the Repository — a set of classes of content. How you physically implement those classes (Confluence, SharePoint, dedicated EA tools like ArchiMate-capable tools, Git repositories, databases) is an implementation choice; the logical structure is the standard.</w:t>
      </w:r>
    </w:p>
    <w:p>
      <w:pPr>
        <w:pStyle w:val="Heading2"/>
        <w:spacing w:after="120" w:before="260"/>
      </w:pPr>
      <w:r>
        <w:t xml:space="preserve">6.2 Logical Classes of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Class</w:t>
            </w:r>
          </w:p>
        </w:tc>
        <w:tc>
          <w:tcPr>
            <w:tcW w:type="dxa" w:w="4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Contains</w:t>
            </w:r>
          </w:p>
        </w:tc>
        <w:tc>
          <w:tcPr>
            <w:tcW w:type="dxa" w:w="1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Owner</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Metamodel</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tailored framework and content metamodel used by the enterprise — entity types, relationships, viewpoints, templates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Chief Architect</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w:t>
            </w:r>
          </w:p>
        </w:tc>
        <w:tc>
          <w:tcPr>
            <w:tcW w:type="dxa" w:w="4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Parameters, structures, and processes that support governance — Board charter, principles, standards, processes</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Governance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architectural representations of assets in use or planned — strategic, segment, and capability architectures at various time horizons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Architects</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Information Base (SIB)</w:t>
            </w:r>
          </w:p>
        </w:tc>
        <w:tc>
          <w:tcPr>
            <w:tcW w:type="dxa" w:w="4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standards with which new architectures must comply — industry, internal, regulatory, contractual</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Working Group</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Reference Library</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Guidelines, templates, patterns, reference architectures, industry models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function</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Log</w:t>
            </w:r>
          </w:p>
        </w:tc>
        <w:tc>
          <w:tcPr>
            <w:tcW w:type="dxa" w:w="4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Decisions taken by the governance function — meeting minutes, dispensations, compliance reviews, ADRs</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Secretary</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Repository</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Identified, classified, and managed architecture requirements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Architects</w:t>
            </w:r>
          </w:p>
        </w:tc>
      </w:tr>
      <w:tr>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Solutions Landscape</w:t>
            </w:r>
          </w:p>
        </w:tc>
        <w:tc>
          <w:tcPr>
            <w:tcW w:type="dxa" w:w="4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Implementations of the Architecture Landscape — actual deployed systems</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 Architects / Operations</w:t>
            </w:r>
          </w:p>
        </w:tc>
      </w:tr>
    </w:tbl>
    <w:p>
      <w:pPr>
        <w:pStyle w:val="Heading2"/>
        <w:spacing w:after="120" w:before="260"/>
      </w:pPr>
      <w:r>
        <w:t xml:space="preserve">6.3 The Three Levels of the Architecture Landscape</w:t>
      </w:r>
    </w:p>
    <w:p>
      <w:pPr>
        <w:spacing w:after="80" w:before="80" w:line="300"/>
        <w:jc w:val="both"/>
      </w:pPr>
      <w:r>
        <w:t xml:space="preserve">Within the Repository, the Architecture Landscape is stratified by level of detail and time horizon. These three levels are a frequent exam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Breadth</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Depth</w:t>
            </w:r>
          </w:p>
        </w:tc>
        <w:tc>
          <w:tcPr>
            <w:tcW w:type="dxa" w:w="1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Time Horizon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Enterprise-wide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Summary / aggregated</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3–10 years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Segment</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domain or unit</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Intermediate detail</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1–3 years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Single capability or program</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0–1 years</w:t>
            </w:r>
          </w:p>
        </w:tc>
      </w:tr>
    </w:tbl>
    <w:p>
      <w:pPr>
        <w:pStyle w:val="Heading2"/>
        <w:spacing w:after="120" w:before="260"/>
      </w:pPr>
      <w:r>
        <w:t xml:space="preserve">6.4 The Enterprise Continuum — Classifying Reusable Assets</w:t>
      </w:r>
    </w:p>
    <w:p>
      <w:pPr>
        <w:spacing w:after="80" w:before="80" w:line="300"/>
        <w:jc w:val="both"/>
      </w:pPr>
      <w:r>
        <w:t xml:space="preserve">The Enterprise Continuum is TOGAF's classification scheme for architectural assets inside and outside the Repository, running from generic (widely applicable) to specific (uniquely tailored to the enterprise). It has two sub-continua: the Architecture Continuum and the Solutions Continuum. Each is stratified into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Continuum</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Solutions Continuum</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 Foundation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Generic architectures applicable to any enterprise — TOGAF TRM is an example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Generic solutions — reference deployments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 Common Systems</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Architectures addressing common problems across industries (e.g., messaging, identity)</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Commercially-available building blocks (middleware, OSes)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 Industry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Architectures specific to an industry (eTOM for telecom, BIAN for banking, ARTS for retail)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Industry-specific products (Guidewire for insurance, Murex for trading)</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 Organization-Specific</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Architectures unique to the enterprise</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Deployed, customized implementations in production</w:t>
            </w:r>
          </w:p>
        </w:tc>
      </w:tr>
    </w:tbl>
    <w:p>
      <w:pPr>
        <w:pStyle w:val="Heading2"/>
        <w:spacing w:after="120" w:before="260"/>
      </w:pPr>
      <w:r>
        <w:t xml:space="preserve">6.5 Architecture Building Blocks vs. Solution Building Blocks</w:t>
      </w:r>
    </w:p>
    <w:p>
      <w:pPr>
        <w:spacing w:after="80" w:before="80" w:line="300"/>
        <w:jc w:val="both"/>
      </w:pPr>
      <w:r>
        <w:t xml:space="preserve">A Building Block is a package of functionality defined to meet business needs across an organization. Building Blocks evolve along the continuum — the same functionality might exist as a generic ABB at Foundation level and as a specific SBB at Organization-Specific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Building Block (ABB)</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Solution Building Block (SBB)</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Purpose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Describes required capability and direction</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Realizes the capability</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Level</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Logical, technology-independent</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Physical, product-specific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Specified by</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Solution architects / vendors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Example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"Identity Service"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"Okta Identity Cloud Tenant"</w:t>
            </w:r>
          </w:p>
        </w:tc>
      </w:tr>
    </w:tbl>
    <w:p>
      <w:pPr>
        <w:pStyle w:val="Heading2"/>
        <w:spacing w:after="120" w:before="260"/>
      </w:pPr>
      <w:r>
        <w:t xml:space="preserve">6.6 Repository Governance</w:t>
      </w:r>
    </w:p>
    <w:p>
      <w:pPr>
        <w:spacing w:after="80" w:before="80" w:line="300"/>
        <w:jc w:val="both"/>
      </w:pPr>
      <w:r>
        <w:t xml:space="preserve">The Repository itself must be governed. Key considerations:</w:t>
      </w:r>
    </w:p>
    <w:p>
      <w:pPr>
        <w:pStyle w:val="ListParagraph"/>
        <w:numPr>
          <w:ilvl w:val="0"/>
          <w:numId w:val="2"/>
        </w:numPr>
        <w:spacing w:after="40" w:before="40" w:line="280"/>
      </w:pPr>
      <w:r>
        <w:rPr>
          <w:b/>
          <w:bCs/>
        </w:rPr>
        <w:t xml:space="preserve">Access control: </w:t>
      </w:r>
      <w:r>
        <w:t xml:space="preserve">not all content is public — some is restricted (roadmaps, dispensations, security patterns).</w:t>
      </w:r>
    </w:p>
    <w:p>
      <w:pPr>
        <w:pStyle w:val="ListParagraph"/>
        <w:numPr>
          <w:ilvl w:val="0"/>
          <w:numId w:val="2"/>
        </w:numPr>
        <w:spacing w:after="40" w:before="40" w:line="280"/>
      </w:pPr>
      <w:r>
        <w:rPr>
          <w:b/>
          <w:bCs/>
        </w:rPr>
        <w:t xml:space="preserve">Versioning: </w:t>
      </w:r>
      <w:r>
        <w:t xml:space="preserve">all artifacts carry version numbers; older versions remain accessible for audit.</w:t>
      </w:r>
    </w:p>
    <w:p>
      <w:pPr>
        <w:pStyle w:val="ListParagraph"/>
        <w:numPr>
          <w:ilvl w:val="0"/>
          <w:numId w:val="2"/>
        </w:numPr>
        <w:spacing w:after="40" w:before="40" w:line="280"/>
      </w:pPr>
      <w:r>
        <w:rPr>
          <w:b/>
          <w:bCs/>
        </w:rPr>
        <w:t xml:space="preserve">Naming and identifiers: </w:t>
      </w:r>
      <w:r>
        <w:t xml:space="preserve">every artifact has a stable ID (e.g., PRIN-0001, CR-2026-017).</w:t>
      </w:r>
    </w:p>
    <w:p>
      <w:pPr>
        <w:pStyle w:val="ListParagraph"/>
        <w:numPr>
          <w:ilvl w:val="0"/>
          <w:numId w:val="2"/>
        </w:numPr>
        <w:spacing w:after="40" w:before="40" w:line="280"/>
      </w:pPr>
      <w:r>
        <w:rPr>
          <w:b/>
          <w:bCs/>
        </w:rPr>
        <w:t xml:space="preserve">Lifecycle: </w:t>
      </w:r>
      <w:r>
        <w:t xml:space="preserve">artifacts move through states — Draft → In Review → Approved → Superseded → Archived.</w:t>
      </w:r>
    </w:p>
    <w:p>
      <w:pPr>
        <w:pStyle w:val="ListParagraph"/>
        <w:numPr>
          <w:ilvl w:val="0"/>
          <w:numId w:val="2"/>
        </w:numPr>
        <w:spacing w:after="40" w:before="40" w:line="280"/>
      </w:pPr>
      <w:r>
        <w:rPr>
          <w:b/>
          <w:bCs/>
        </w:rPr>
        <w:t xml:space="preserve">Searchability: </w:t>
      </w:r>
      <w:r>
        <w:t xml:space="preserve">strong metadata and tagging so architects can find what they need.</w:t>
      </w:r>
    </w:p>
    <w:p>
      <w:pPr>
        <w:pStyle w:val="ListParagraph"/>
        <w:numPr>
          <w:ilvl w:val="0"/>
          <w:numId w:val="2"/>
        </w:numPr>
        <w:spacing w:after="40" w:before="40" w:line="280"/>
      </w:pPr>
      <w:r>
        <w:rPr>
          <w:b/>
          <w:bCs/>
        </w:rPr>
        <w:t xml:space="preserve">Integration: </w:t>
      </w:r>
      <w:r>
        <w:t xml:space="preserve">linked to other systems — CMDB, portfolio tools, CI/CD, ticketing — so it stays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financial services firm implements its Architecture Repository in three tools:</w:t>
            </w:r>
          </w:p>
          <w:p>
            <w:pPr>
              <w:spacing w:after="40" w:before="40" w:line="280"/>
            </w:pPr>
            <w:r>
              <w:t xml:space="preserve">— Confluence ("Architecture Hub") for principles, standards, reference architectures, governance log.</w:t>
            </w:r>
          </w:p>
          <w:p>
            <w:pPr>
              <w:spacing w:after="40" w:before="40" w:line="280"/>
            </w:pPr>
            <w:r>
              <w:t xml:space="preserve">— Ardoq (ArchiMate-capable EA tool) for the Architecture Landscape, metamodel, and building blocks, integrated with ServiceNow CMDB.</w:t>
            </w:r>
          </w:p>
          <w:p>
            <w:pPr>
              <w:spacing w:after="40" w:before="40" w:line="280"/>
            </w:pPr>
            <w:r>
              <w:t xml:space="preserve">— GitHub Enterprise for ADRs, code-adjacent decisions, and reference implementations.</w:t>
            </w:r>
          </w:p>
          <w:p>
            <w:pPr>
              <w:spacing w:after="40" w:before="40" w:line="280"/>
            </w:pPr>
            <w:r>
              <w:t xml:space="preserve">All three tools are linked: a principle in Confluence cites an ADR in GitHub; an ADR references a building block in Ardoq; a CMDB item links back to the capability it realizes.</w:t>
            </w:r>
          </w:p>
          <w:p>
            <w:pPr>
              <w:spacing w:after="40" w:before="40" w:line="280"/>
            </w:pPr>
            <w:r>
              <w:t xml:space="preserve">Every artifact has a stable ID; quarterly repository hygiene reviews retire obsolete content.</w:t>
            </w:r>
          </w:p>
        </w:tc>
      </w:tr>
    </w:tbl>
    <w:p>
      <w:pPr>
        <w:pStyle w:val="Heading2"/>
        <w:spacing w:after="120" w:before="260"/>
      </w:pPr>
      <w:r>
        <w:t xml:space="preserve">6.7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Treating the Repository as "a folder in SharePoint" — no structure, no versioning, no findability.</w:t>
            </w:r>
          </w:p>
          <w:p>
            <w:pPr>
              <w:spacing w:after="40" w:before="40" w:line="280"/>
            </w:pPr>
            <w:r>
              <w:t xml:space="preserve">Letting content grow unmanaged — "graveyard" pages accumulate and hide what's current.</w:t>
            </w:r>
          </w:p>
          <w:p>
            <w:pPr>
              <w:spacing w:after="40" w:before="40" w:line="280"/>
            </w:pPr>
            <w:r>
              <w:t xml:space="preserve">Ignoring access control — public roadmaps leak to competitors; confidential ones hide from those who need them.</w:t>
            </w:r>
          </w:p>
          <w:p>
            <w:pPr>
              <w:spacing w:after="40" w:before="40" w:line="280"/>
            </w:pPr>
            <w:r>
              <w:t xml:space="preserve">Missing links — content without cross-references cannot be reasoned about or audited.</w:t>
            </w:r>
          </w:p>
          <w:p>
            <w:pPr>
              <w:spacing w:after="40" w:before="40" w:line="280"/>
            </w:pPr>
            <w:r>
              <w:t xml:space="preserve">No ownership per artifact — content rots without a named owner.</w:t>
            </w:r>
          </w:p>
        </w:tc>
      </w:tr>
    </w:tbl>
    <w:p>
      <w:pPr>
        <w:pStyle w:val="Heading1"/>
        <w:pageBreakBefore/>
        <w:spacing w:after="180" w:before="360"/>
      </w:pPr>
      <w:r>
        <w:t xml:space="preserve">7. Architecture Maturity Models (ACMM)</w:t>
      </w:r>
    </w:p>
    <w:p>
      <w:pPr>
        <w:pStyle w:val="Heading2"/>
        <w:spacing w:after="120" w:before="260"/>
      </w:pPr>
      <w:r>
        <w:t xml:space="preserve">7.1 Purpose</w:t>
      </w:r>
    </w:p>
    <w:p>
      <w:pPr>
        <w:spacing w:after="80" w:before="80" w:line="300"/>
        <w:jc w:val="both"/>
      </w:pPr>
      <w:r>
        <w:t xml:space="preserve">An Architecture Maturity Model provides a structured way to measure how effective an organization's enterprise architecture capability is and where it should invest to improve. TOGAF references the US Department of Commerce Architecture Capability Maturity Model (ACMM) as a starting example; many enterprises adopt or adapt it, and several commercial variants exist (Gartner ITScore for EA, Forrester, etc.).</w:t>
      </w:r>
    </w:p>
    <w:p>
      <w:pPr>
        <w:spacing w:after="80" w:before="80" w:line="300"/>
        <w:jc w:val="both"/>
      </w:pPr>
      <w:r>
        <w:t xml:space="preserve">Maturity models matter because "you get what you measure." Without a maturity framework, improvement is impressionistic; with one, progress is explicit, targets are set, and gaps are visible to sponsors.</w:t>
      </w:r>
    </w:p>
    <w:p>
      <w:pPr>
        <w:pStyle w:val="Heading2"/>
        <w:spacing w:after="120" w:before="260"/>
      </w:pPr>
      <w:r>
        <w:t xml:space="preserve">7.2 The Six Levels of the ACMM</w:t>
      </w:r>
    </w:p>
    <w:p>
      <w:pPr>
        <w:spacing w:after="80" w:before="80" w:line="300"/>
        <w:jc w:val="both"/>
      </w:pPr>
      <w:r>
        <w:t xml:space="preserve">The DoC ACMM defines six maturity levels. Expect questions on their order and defining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Name</w:t>
            </w:r>
          </w:p>
        </w:tc>
        <w:tc>
          <w:tcPr>
            <w:tcW w:type="dxa" w:w="60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Defining Characteristic</w:t>
            </w:r>
          </w:p>
        </w:tc>
      </w:tr>
      <w:tr>
        <w:tc>
          <w:tcPr>
            <w:tcW w:type="dxa" w:w="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0</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None</w:t>
            </w:r>
          </w:p>
        </w:tc>
        <w:tc>
          <w:tcPr>
            <w:tcW w:type="dxa" w:w="6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 EA program exists; no architecture activities</w:t>
            </w:r>
          </w:p>
        </w:tc>
      </w:tr>
      <w:tr>
        <w:tc>
          <w:tcPr>
            <w:tcW w:type="dxa" w:w="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Initial</w:t>
            </w:r>
          </w:p>
        </w:tc>
        <w:tc>
          <w:tcPr>
            <w:tcW w:type="dxa" w:w="6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Informal architecture process; ad hoc and localized</w:t>
            </w:r>
          </w:p>
        </w:tc>
      </w:tr>
      <w:tr>
        <w:tc>
          <w:tcPr>
            <w:tcW w:type="dxa" w:w="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Under Development</w:t>
            </w:r>
          </w:p>
        </w:tc>
        <w:tc>
          <w:tcPr>
            <w:tcW w:type="dxa" w:w="6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Basic architecture process in development; roles defined; some documentation</w:t>
            </w:r>
          </w:p>
        </w:tc>
      </w:tr>
      <w:tr>
        <w:tc>
          <w:tcPr>
            <w:tcW w:type="dxa" w:w="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Defined</w:t>
            </w:r>
          </w:p>
        </w:tc>
        <w:tc>
          <w:tcPr>
            <w:tcW w:type="dxa" w:w="6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Defined architecture including detailed written procedures; governance established</w:t>
            </w:r>
          </w:p>
        </w:tc>
      </w:tr>
      <w:tr>
        <w:tc>
          <w:tcPr>
            <w:tcW w:type="dxa" w:w="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Managed</w:t>
            </w:r>
          </w:p>
        </w:tc>
        <w:tc>
          <w:tcPr>
            <w:tcW w:type="dxa" w:w="60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Measured and managed architecture process; metrics collected; quality measured</w:t>
            </w:r>
          </w:p>
        </w:tc>
      </w:tr>
      <w:tr>
        <w:tc>
          <w:tcPr>
            <w:tcW w:type="dxa" w:w="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Measured (Optimizing)</w:t>
            </w:r>
          </w:p>
        </w:tc>
        <w:tc>
          <w:tcPr>
            <w:tcW w:type="dxa" w:w="60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Continuous improvement based on metrics; automation and institutionalization</w:t>
            </w:r>
          </w:p>
        </w:tc>
      </w:tr>
    </w:tbl>
    <w:p>
      <w:pPr>
        <w:pStyle w:val="Heading2"/>
        <w:spacing w:after="120" w:before="260"/>
      </w:pPr>
      <w:r>
        <w:t xml:space="preserve">7.3 The Nine Assessment Characteristics</w:t>
      </w:r>
    </w:p>
    <w:p>
      <w:pPr>
        <w:spacing w:after="80" w:before="80" w:line="300"/>
        <w:jc w:val="both"/>
      </w:pPr>
      <w:r>
        <w:t xml:space="preserve">The ACMM assesses maturity across nine characteristics (sometimes called dimensions). Each is scored 0–5 independently, and an overall maturity is derived by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Characteristic</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Measures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Process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Existence, documentation, and adoption of architecture processes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Development</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the architecture itself is built — methods, iteration, quality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Linkage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well architecture is tied to business strategy and outcomes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Senior Management Involvement</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Visibility of sponsorship; frequency and seriousness of executive engagement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Operating Unit Participation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Engagement of business units in architectural decisions</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Communication</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architecture is communicated within the enterprise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IT Security</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Integration of security architecture into EA work</w:t>
            </w:r>
          </w:p>
        </w:tc>
      </w:tr>
      <w:tr>
        <w:tc>
          <w:tcPr>
            <w:tcW w:type="dxa" w:w="3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Governance</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Existence and effectiveness of governance structures and processes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IT Investment and Acquisition Strategy</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architecture informs investment decisions</w:t>
            </w:r>
          </w:p>
        </w:tc>
      </w:tr>
    </w:tbl>
    <w:p>
      <w:pPr>
        <w:pStyle w:val="Heading2"/>
        <w:spacing w:after="120" w:before="260"/>
      </w:pPr>
      <w:r>
        <w:t xml:space="preserve">7.4 How to Conduct a Maturity Assessment</w:t>
      </w:r>
    </w:p>
    <w:p>
      <w:pPr>
        <w:pStyle w:val="ListParagraph"/>
        <w:numPr>
          <w:ilvl w:val="0"/>
          <w:numId w:val="3"/>
        </w:numPr>
        <w:spacing w:after="40" w:before="40" w:line="280"/>
      </w:pPr>
      <w:r>
        <w:t xml:space="preserve">Select (or tailor) a maturity model — typically ACMM or Gartner ITScore for EA.</w:t>
      </w:r>
    </w:p>
    <w:p>
      <w:pPr>
        <w:pStyle w:val="ListParagraph"/>
        <w:numPr>
          <w:ilvl w:val="0"/>
          <w:numId w:val="3"/>
        </w:numPr>
        <w:spacing w:after="40" w:before="40" w:line="280"/>
      </w:pPr>
      <w:r>
        <w:t xml:space="preserve">Define the scope — whole enterprise, single business unit, or specific capability.</w:t>
      </w:r>
    </w:p>
    <w:p>
      <w:pPr>
        <w:pStyle w:val="ListParagraph"/>
        <w:numPr>
          <w:ilvl w:val="0"/>
          <w:numId w:val="3"/>
        </w:numPr>
        <w:spacing w:after="40" w:before="40" w:line="280"/>
      </w:pPr>
      <w:r>
        <w:t xml:space="preserve">Select evidence sources — interviews, document review, artifact sampling, surveys.</w:t>
      </w:r>
    </w:p>
    <w:p>
      <w:pPr>
        <w:pStyle w:val="ListParagraph"/>
        <w:numPr>
          <w:ilvl w:val="0"/>
          <w:numId w:val="3"/>
        </w:numPr>
        <w:spacing w:after="40" w:before="40" w:line="280"/>
      </w:pPr>
      <w:r>
        <w:t xml:space="preserve">Score each characteristic against level descriptors (0–5).</w:t>
      </w:r>
    </w:p>
    <w:p>
      <w:pPr>
        <w:pStyle w:val="ListParagraph"/>
        <w:numPr>
          <w:ilvl w:val="0"/>
          <w:numId w:val="3"/>
        </w:numPr>
        <w:spacing w:after="40" w:before="40" w:line="280"/>
      </w:pPr>
      <w:r>
        <w:t xml:space="preserve">Identify gaps and target levels — realistic next-level targets per characteristic.</w:t>
      </w:r>
    </w:p>
    <w:p>
      <w:pPr>
        <w:pStyle w:val="ListParagraph"/>
        <w:numPr>
          <w:ilvl w:val="0"/>
          <w:numId w:val="3"/>
        </w:numPr>
        <w:spacing w:after="40" w:before="40" w:line="280"/>
      </w:pPr>
      <w:r>
        <w:t xml:space="preserve">Develop an improvement roadmap with prioritized initiatives.</w:t>
      </w:r>
    </w:p>
    <w:p>
      <w:pPr>
        <w:pStyle w:val="ListParagraph"/>
        <w:numPr>
          <w:ilvl w:val="0"/>
          <w:numId w:val="3"/>
        </w:numPr>
        <w:spacing w:after="40" w:before="40" w:line="280"/>
      </w:pPr>
      <w:r>
        <w:t xml:space="preserve">Report findings to sponsors and Architecture Board.</w:t>
      </w:r>
    </w:p>
    <w:p>
      <w:pPr>
        <w:pStyle w:val="ListParagraph"/>
        <w:numPr>
          <w:ilvl w:val="0"/>
          <w:numId w:val="3"/>
        </w:numPr>
        <w:spacing w:after="40" w:before="40" w:line="280"/>
      </w:pPr>
      <w:r>
        <w:t xml:space="preserve">Re-assess at a defined cadence (commonly annual).</w:t>
      </w:r>
    </w:p>
    <w:p>
      <w:pPr>
        <w:pStyle w:val="Heading2"/>
        <w:spacing w:after="120" w:before="260"/>
      </w:pPr>
      <w:r>
        <w:t xml:space="preserve">7.5 Interpreting Results</w:t>
      </w:r>
    </w:p>
    <w:p>
      <w:pPr>
        <w:spacing w:after="80" w:before="80" w:line="300"/>
        <w:jc w:val="both"/>
      </w:pPr>
      <w:r>
        <w:t xml:space="preserve">A common mistake is chasing the highest level across all characteristics. In practice, most enterprises target level 3 ("Defined") broadly, with selective advancement to level 4 ("Managed") in critical areas. Level 5 is rare and often not cost-justified.</w:t>
      </w:r>
    </w:p>
    <w:p>
      <w:pPr>
        <w:spacing w:after="80" w:before="80" w:line="300"/>
        <w:jc w:val="both"/>
      </w:pPr>
      <w:r>
        <w:t xml:space="preserve">Imbalance matters. An organization scoring 4 on "Architecture Process" but 1 on "Business Linkage" has a technically impressive but business-disconnected EA — a classic failure mode.</w:t>
      </w:r>
    </w:p>
    <w:p>
      <w:pPr>
        <w:pStyle w:val="Heading2"/>
        <w:spacing w:after="120" w:before="260"/>
      </w:pPr>
      <w:r>
        <w:t xml:space="preserve">7.6 Using Maturity to Drive Investment</w:t>
      </w:r>
    </w:p>
    <w:p>
      <w:pPr>
        <w:pStyle w:val="ListParagraph"/>
        <w:numPr>
          <w:ilvl w:val="0"/>
          <w:numId w:val="2"/>
        </w:numPr>
        <w:spacing w:after="40" w:before="40" w:line="280"/>
      </w:pPr>
      <w:r>
        <w:rPr>
          <w:b/>
          <w:bCs/>
        </w:rPr>
        <w:t xml:space="preserve">Gap analysis: </w:t>
      </w:r>
      <w:r>
        <w:t xml:space="preserve">plot current vs. target per characteristic, identify the widest gaps.</w:t>
      </w:r>
    </w:p>
    <w:p>
      <w:pPr>
        <w:pStyle w:val="ListParagraph"/>
        <w:numPr>
          <w:ilvl w:val="0"/>
          <w:numId w:val="2"/>
        </w:numPr>
        <w:spacing w:after="40" w:before="40" w:line="280"/>
      </w:pPr>
      <w:r>
        <w:rPr>
          <w:b/>
          <w:bCs/>
        </w:rPr>
        <w:t xml:space="preserve">Prioritization: </w:t>
      </w:r>
      <w:r>
        <w:t xml:space="preserve">prioritize gaps by business impact and dependency — e.g., strengthen Governance before advancing Process.</w:t>
      </w:r>
    </w:p>
    <w:p>
      <w:pPr>
        <w:pStyle w:val="ListParagraph"/>
        <w:numPr>
          <w:ilvl w:val="0"/>
          <w:numId w:val="2"/>
        </w:numPr>
        <w:spacing w:after="40" w:before="40" w:line="280"/>
      </w:pPr>
      <w:r>
        <w:rPr>
          <w:b/>
          <w:bCs/>
        </w:rPr>
        <w:t xml:space="preserve">Roadmap: </w:t>
      </w:r>
      <w:r>
        <w:t xml:space="preserve">each gap becomes one or more improvement initiatives with owners, deliverables, and timelines.</w:t>
      </w:r>
    </w:p>
    <w:p>
      <w:pPr>
        <w:pStyle w:val="ListParagraph"/>
        <w:numPr>
          <w:ilvl w:val="0"/>
          <w:numId w:val="2"/>
        </w:numPr>
        <w:spacing w:after="40" w:before="40" w:line="280"/>
      </w:pPr>
      <w:r>
        <w:rPr>
          <w:b/>
          <w:bCs/>
        </w:rPr>
        <w:t xml:space="preserve">Funding: </w:t>
      </w:r>
      <w:r>
        <w:t xml:space="preserve">maturity improvements must be funded like any other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telecom assesses its EA against the ACMM with a lead consultant facilitating. Results:</w:t>
            </w:r>
          </w:p>
          <w:p>
            <w:pPr>
              <w:spacing w:after="40" w:before="40" w:line="280"/>
            </w:pPr>
            <w:r>
              <w:t xml:space="preserve">— Architecture Process: 3 (defined)</w:t>
            </w:r>
          </w:p>
          <w:p>
            <w:pPr>
              <w:spacing w:after="40" w:before="40" w:line="280"/>
            </w:pPr>
            <w:r>
              <w:t xml:space="preserve">— Architecture Development: 3</w:t>
            </w:r>
          </w:p>
          <w:p>
            <w:pPr>
              <w:spacing w:after="40" w:before="40" w:line="280"/>
            </w:pPr>
            <w:r>
              <w:t xml:space="preserve">— Business Linkage: 2 (under development — business sponsors absent from reviews)</w:t>
            </w:r>
          </w:p>
          <w:p>
            <w:pPr>
              <w:spacing w:after="40" w:before="40" w:line="280"/>
            </w:pPr>
            <w:r>
              <w:t xml:space="preserve">— Senior Management Involvement: 2</w:t>
            </w:r>
          </w:p>
          <w:p>
            <w:pPr>
              <w:spacing w:after="40" w:before="40" w:line="280"/>
            </w:pPr>
            <w:r>
              <w:t xml:space="preserve">— Operating Unit Participation: 1 (initial — few BU architects)</w:t>
            </w:r>
          </w:p>
          <w:p>
            <w:pPr>
              <w:spacing w:after="40" w:before="40" w:line="280"/>
            </w:pPr>
            <w:r>
              <w:t xml:space="preserve">— Architecture Communication: 2</w:t>
            </w:r>
          </w:p>
          <w:p>
            <w:pPr>
              <w:spacing w:after="40" w:before="40" w:line="280"/>
            </w:pPr>
            <w:r>
              <w:t xml:space="preserve">— IT Security: 3</w:t>
            </w:r>
          </w:p>
          <w:p>
            <w:pPr>
              <w:spacing w:after="40" w:before="40" w:line="280"/>
            </w:pPr>
            <w:r>
              <w:t xml:space="preserve">— Architecture Governance: 3</w:t>
            </w:r>
          </w:p>
          <w:p>
            <w:pPr>
              <w:spacing w:after="40" w:before="40" w:line="280"/>
            </w:pPr>
            <w:r>
              <w:t xml:space="preserve">— IT Investment &amp; Acquisition Strategy: 2</w:t>
            </w:r>
          </w:p>
          <w:p>
            <w:pPr>
              <w:spacing w:after="40" w:before="40" w:line="280"/>
            </w:pPr>
            <w:r>
              <w:t xml:space="preserve">Overall: roughly Level 2–3. Target for next 18 months: Level 3 broadly, Level 4 for Governance and Security.</w:t>
            </w:r>
          </w:p>
          <w:p>
            <w:pPr>
              <w:spacing w:after="40" w:before="40" w:line="280"/>
            </w:pPr>
            <w:r>
              <w:t xml:space="preserve">Top three initiatives: (1) embed EA in investment committees; (2) stand up BU architect network; (3) publish quarterly architecture newsletter.</w:t>
            </w:r>
          </w:p>
        </w:tc>
      </w:tr>
    </w:tbl>
    <w:p>
      <w:pPr>
        <w:pStyle w:val="Heading2"/>
        <w:spacing w:after="120" w:before="260"/>
      </w:pPr>
      <w:r>
        <w:t xml:space="preserve">7.7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Self-assessment only — without external challenge, assessments are consistently too optimistic.</w:t>
            </w:r>
          </w:p>
          <w:p>
            <w:pPr>
              <w:spacing w:after="40" w:before="40" w:line="280"/>
            </w:pPr>
            <w:r>
              <w:t xml:space="preserve">Treating maturity as an end in itself — maturity is a means; business value is the end.</w:t>
            </w:r>
          </w:p>
          <w:p>
            <w:pPr>
              <w:spacing w:after="40" w:before="40" w:line="280"/>
            </w:pPr>
            <w:r>
              <w:t xml:space="preserve">Chasing Level 5 everywhere — the cost is rarely justified outside the most critical characteristics.</w:t>
            </w:r>
          </w:p>
          <w:p>
            <w:pPr>
              <w:spacing w:after="40" w:before="40" w:line="280"/>
            </w:pPr>
            <w:r>
              <w:t xml:space="preserve">Assessing once, never again — maturity erodes without reinforcement; annual reassessment is standard.</w:t>
            </w:r>
          </w:p>
          <w:p>
            <w:pPr>
              <w:spacing w:after="40" w:before="40" w:line="280"/>
            </w:pPr>
            <w:r>
              <w:t xml:space="preserve">Reporting scores without narrative — a number alone does not drive action; a number plus findings plus recommendations does.</w:t>
            </w:r>
          </w:p>
        </w:tc>
      </w:tr>
    </w:tbl>
    <w:p>
      <w:pPr>
        <w:pStyle w:val="Heading1"/>
        <w:pageBreakBefore/>
        <w:spacing w:after="180" w:before="360"/>
      </w:pPr>
      <w:r>
        <w:t xml:space="preserve">8. Governance Framework Integration</w:t>
      </w:r>
    </w:p>
    <w:p>
      <w:pPr>
        <w:pStyle w:val="Heading2"/>
        <w:spacing w:after="120" w:before="260"/>
      </w:pPr>
      <w:r>
        <w:t xml:space="preserve">8.1 Why Integrate?</w:t>
      </w:r>
    </w:p>
    <w:p>
      <w:pPr>
        <w:spacing w:after="80" w:before="80" w:line="300"/>
        <w:jc w:val="both"/>
      </w:pPr>
      <w:r>
        <w:t xml:space="preserve">No enterprise uses TOGAF in isolation. Real organizations have a stack of frameworks — corporate governance, IT governance, service management, risk, security, project management. Architecture Governance must integrate with all of them; isolation produces parallel processes that compete rather than reinforce.</w:t>
      </w:r>
    </w:p>
    <w:p>
      <w:pPr>
        <w:spacing w:after="80" w:before="80" w:line="300"/>
        <w:jc w:val="both"/>
      </w:pPr>
      <w:r>
        <w:t xml:space="preserve">The integration pattern is the same regardless of the framework: identify the "hand-off" points where one framework's deliverable becomes another's input, and ensure each side understands the other's vocabulary, cadence, and decision rights.</w:t>
      </w:r>
    </w:p>
    <w:p>
      <w:pPr>
        <w:pStyle w:val="Heading2"/>
        <w:spacing w:after="120" w:before="260"/>
      </w:pPr>
      <w:r>
        <w:t xml:space="preserve">8.2 Common Frameworks and Their Relationship to TOGAF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Framework</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Integration with TOGAF Governance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COBIT</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IT Governance &amp; Management</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Board decisions feed COBIT controls APO03 (Manage Enterprise Architecture); compliance reviews evidence COBIT monitoring activities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ITIL</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IT Service Management</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G deployment feeds Change/Release Management; Architecture Contracts specify operational requirements; Service Design aligns to Target Architecture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PRINCE2 / PMBOK</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Project Management</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A SOW becomes Project Brief/Charter; Architecture Compliance Reviews align to Stage Gate Reviews; dispensations recorded in project risk register</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SAFe / Scaled Agile</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Agile at Scale</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Runway maps to TOGAF Transition Architectures; Solution Intent aligns to Architecture Definition; Architects embed in Release Trains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ISO/IEC 27001</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Information Security</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Security Architecture Principles embedded; compliance reviews test 27001 controls; dispensations trigger risk assessments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ISO/IEC 42010</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Description</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Directly referenced by TOGAF — defines views, viewpoints, stakeholders, concerns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NIST CSF</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Cyber Security</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Informs security principles and compliance checklist content</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DAMA-DMBOK</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Management</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Informs Data Architecture principles, stewardship, and quality controls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ADM</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Architecture method</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architecture method itself — governance exists around the ADM</w:t>
            </w:r>
          </w:p>
        </w:tc>
      </w:tr>
    </w:tbl>
    <w:p>
      <w:pPr>
        <w:pStyle w:val="Heading2"/>
        <w:spacing w:after="120" w:before="260"/>
      </w:pPr>
      <w:r>
        <w:t xml:space="preserve">8.3 Specific Integration Patterns</w:t>
      </w:r>
    </w:p>
    <w:p>
      <w:pPr>
        <w:pStyle w:val="Heading3"/>
        <w:spacing w:after="100" w:before="200"/>
      </w:pPr>
      <w:r>
        <w:t xml:space="preserve">8.3.1 Integration with COBIT</w:t>
      </w:r>
    </w:p>
    <w:p>
      <w:pPr>
        <w:spacing w:after="80" w:before="80" w:line="300"/>
        <w:jc w:val="both"/>
      </w:pPr>
      <w:r>
        <w:t xml:space="preserve">COBIT is an IT governance and management framework that defines 40+ processes with control objectives. Process APO03 — Manage Enterprise Architecture — maps directly to TOGAF. Architecture Governance provides evidence of control effectiveness to COBIT auditors, while COBIT provides broader context (risk, assurance, performance) that architecture governance must fit into.</w:t>
      </w:r>
    </w:p>
    <w:p>
      <w:pPr>
        <w:pStyle w:val="ListParagraph"/>
        <w:numPr>
          <w:ilvl w:val="0"/>
          <w:numId w:val="2"/>
        </w:numPr>
        <w:spacing w:after="40" w:before="40" w:line="280"/>
      </w:pPr>
      <w:r>
        <w:t xml:space="preserve">Architecture Board decisions = evidence for APO03 controls</w:t>
      </w:r>
    </w:p>
    <w:p>
      <w:pPr>
        <w:pStyle w:val="ListParagraph"/>
        <w:numPr>
          <w:ilvl w:val="0"/>
          <w:numId w:val="2"/>
        </w:numPr>
        <w:spacing w:after="40" w:before="40" w:line="280"/>
      </w:pPr>
      <w:r>
        <w:t xml:space="preserve">Principles &amp; standards = artifacts for APO03.01</w:t>
      </w:r>
    </w:p>
    <w:p>
      <w:pPr>
        <w:pStyle w:val="ListParagraph"/>
        <w:numPr>
          <w:ilvl w:val="0"/>
          <w:numId w:val="2"/>
        </w:numPr>
        <w:spacing w:after="40" w:before="40" w:line="280"/>
      </w:pPr>
      <w:r>
        <w:t xml:space="preserve">Compliance reviews = monitoring under MEA01</w:t>
      </w:r>
    </w:p>
    <w:p>
      <w:pPr>
        <w:pStyle w:val="ListParagraph"/>
        <w:numPr>
          <w:ilvl w:val="0"/>
          <w:numId w:val="2"/>
        </w:numPr>
        <w:spacing w:after="40" w:before="40" w:line="280"/>
      </w:pPr>
      <w:r>
        <w:t xml:space="preserve">Dispensations = evidence of risk-based exception handling</w:t>
      </w:r>
    </w:p>
    <w:p>
      <w:pPr>
        <w:pStyle w:val="Heading3"/>
        <w:spacing w:after="100" w:before="200"/>
      </w:pPr>
      <w:r>
        <w:t xml:space="preserve">8.3.2 Integration with ITIL</w:t>
      </w:r>
    </w:p>
    <w:p>
      <w:pPr>
        <w:spacing w:after="80" w:before="80" w:line="300"/>
        <w:jc w:val="both"/>
      </w:pPr>
      <w:r>
        <w:t xml:space="preserve">ITIL governs the lifecycle of IT services. Architecture Governance feeds ITIL at multiple points:</w:t>
      </w:r>
    </w:p>
    <w:p>
      <w:pPr>
        <w:pStyle w:val="ListParagraph"/>
        <w:numPr>
          <w:ilvl w:val="0"/>
          <w:numId w:val="2"/>
        </w:numPr>
        <w:spacing w:after="40" w:before="40" w:line="280"/>
      </w:pPr>
      <w:r>
        <w:t xml:space="preserve">Service Strategy: architecture informs service portfolio decisions</w:t>
      </w:r>
    </w:p>
    <w:p>
      <w:pPr>
        <w:pStyle w:val="ListParagraph"/>
        <w:numPr>
          <w:ilvl w:val="0"/>
          <w:numId w:val="2"/>
        </w:numPr>
        <w:spacing w:after="40" w:before="40" w:line="280"/>
      </w:pPr>
      <w:r>
        <w:t xml:space="preserve">Service Design: Target Architecture is an input to Service Design Packages</w:t>
      </w:r>
    </w:p>
    <w:p>
      <w:pPr>
        <w:pStyle w:val="ListParagraph"/>
        <w:numPr>
          <w:ilvl w:val="0"/>
          <w:numId w:val="2"/>
        </w:numPr>
        <w:spacing w:after="40" w:before="40" w:line="280"/>
      </w:pPr>
      <w:r>
        <w:t xml:space="preserve">Service Transition: Phase G Architecture Contracts align with Change Management and Release Management</w:t>
      </w:r>
    </w:p>
    <w:p>
      <w:pPr>
        <w:pStyle w:val="ListParagraph"/>
        <w:numPr>
          <w:ilvl w:val="0"/>
          <w:numId w:val="2"/>
        </w:numPr>
        <w:spacing w:after="40" w:before="40" w:line="280"/>
      </w:pPr>
      <w:r>
        <w:t xml:space="preserve">Service Operation: operability requirements come from Architecture Contracts (SLOs, monitoring, capacity)</w:t>
      </w:r>
    </w:p>
    <w:p>
      <w:pPr>
        <w:pStyle w:val="ListParagraph"/>
        <w:numPr>
          <w:ilvl w:val="0"/>
          <w:numId w:val="2"/>
        </w:numPr>
        <w:spacing w:after="40" w:before="40" w:line="280"/>
      </w:pPr>
      <w:r>
        <w:t xml:space="preserve">Continual Service Improvement: architecture maturity informs service improvement plans</w:t>
      </w:r>
    </w:p>
    <w:p>
      <w:pPr>
        <w:pStyle w:val="Heading3"/>
        <w:spacing w:after="100" w:before="200"/>
      </w:pPr>
      <w:r>
        <w:t xml:space="preserve">8.3.3 Integration with Agile / SAFe</w:t>
      </w:r>
    </w:p>
    <w:p>
      <w:pPr>
        <w:spacing w:after="80" w:before="80" w:line="300"/>
        <w:jc w:val="both"/>
      </w:pPr>
      <w:r>
        <w:t xml:space="preserve">Perhaps the most common modern integration question. Traditional TOGAF governance is often perceived as heavyweight; Agile and SAFe require lightweight, continuous governance. Reconciliation is possible:</w:t>
      </w:r>
    </w:p>
    <w:p>
      <w:pPr>
        <w:pStyle w:val="ListParagraph"/>
        <w:numPr>
          <w:ilvl w:val="0"/>
          <w:numId w:val="2"/>
        </w:numPr>
        <w:spacing w:after="40" w:before="40" w:line="280"/>
      </w:pPr>
      <w:r>
        <w:t xml:space="preserve">TOGAF Transition Architectures ≈ SAFe Architectural Runway</w:t>
      </w:r>
    </w:p>
    <w:p>
      <w:pPr>
        <w:pStyle w:val="ListParagraph"/>
        <w:numPr>
          <w:ilvl w:val="0"/>
          <w:numId w:val="2"/>
        </w:numPr>
        <w:spacing w:after="40" w:before="40" w:line="280"/>
      </w:pPr>
      <w:r>
        <w:t xml:space="preserve">Architecture Vision (Phase A) ≈ SAFe Solution Intent (aspirational vs. fixed sections)</w:t>
      </w:r>
    </w:p>
    <w:p>
      <w:pPr>
        <w:pStyle w:val="ListParagraph"/>
        <w:numPr>
          <w:ilvl w:val="0"/>
          <w:numId w:val="2"/>
        </w:numPr>
        <w:spacing w:after="40" w:before="40" w:line="280"/>
      </w:pPr>
      <w:r>
        <w:t xml:space="preserve">Architecture Board becomes the Architectural Review / Guild with agile cadence (fortnightly)</w:t>
      </w:r>
    </w:p>
    <w:p>
      <w:pPr>
        <w:pStyle w:val="ListParagraph"/>
        <w:numPr>
          <w:ilvl w:val="0"/>
          <w:numId w:val="2"/>
        </w:numPr>
        <w:spacing w:after="40" w:before="40" w:line="280"/>
      </w:pPr>
      <w:r>
        <w:t xml:space="preserve">Compliance reviews move from stage-gate to continuous — enforcement in CI/CD ("fitness functions," policy-as-code)</w:t>
      </w:r>
    </w:p>
    <w:p>
      <w:pPr>
        <w:pStyle w:val="ListParagraph"/>
        <w:numPr>
          <w:ilvl w:val="0"/>
          <w:numId w:val="2"/>
        </w:numPr>
        <w:spacing w:after="40" w:before="40" w:line="280"/>
      </w:pPr>
      <w:r>
        <w:t xml:space="preserve">Architects embed in Release Trains (System Architects in SAFe terms)</w:t>
      </w:r>
    </w:p>
    <w:p>
      <w:pPr>
        <w:pStyle w:val="ListParagraph"/>
        <w:numPr>
          <w:ilvl w:val="0"/>
          <w:numId w:val="2"/>
        </w:numPr>
        <w:spacing w:after="40" w:before="40" w:line="280"/>
      </w:pPr>
      <w:r>
        <w:t xml:space="preserve">Principles are enforced automatically where possible (linting, policy checks, security scans)</w:t>
      </w:r>
    </w:p>
    <w:p>
      <w:pPr>
        <w:pStyle w:val="Heading3"/>
        <w:spacing w:after="100" w:before="200"/>
      </w:pPr>
      <w:r>
        <w:t xml:space="preserve">8.3.4 Integration with Risk and Security</w:t>
      </w:r>
    </w:p>
    <w:p>
      <w:pPr>
        <w:spacing w:after="80" w:before="80" w:line="300"/>
        <w:jc w:val="both"/>
      </w:pPr>
      <w:r>
        <w:t xml:space="preserve">Security Architecture is a peer of Business/Data/Application/Technology Architecture. Architecture Governance integrates with Information Security Governance and Enterprise Risk Management by:</w:t>
      </w:r>
    </w:p>
    <w:p>
      <w:pPr>
        <w:pStyle w:val="ListParagraph"/>
        <w:numPr>
          <w:ilvl w:val="0"/>
          <w:numId w:val="2"/>
        </w:numPr>
        <w:spacing w:after="40" w:before="40" w:line="280"/>
      </w:pPr>
      <w:r>
        <w:t xml:space="preserve">Embedding security architects in the Architecture Board</w:t>
      </w:r>
    </w:p>
    <w:p>
      <w:pPr>
        <w:pStyle w:val="ListParagraph"/>
        <w:numPr>
          <w:ilvl w:val="0"/>
          <w:numId w:val="2"/>
        </w:numPr>
        <w:spacing w:after="40" w:before="40" w:line="280"/>
      </w:pPr>
      <w:r>
        <w:t xml:space="preserve">Linking dispensations to risk register entries when they increase risk</w:t>
      </w:r>
    </w:p>
    <w:p>
      <w:pPr>
        <w:pStyle w:val="ListParagraph"/>
        <w:numPr>
          <w:ilvl w:val="0"/>
          <w:numId w:val="2"/>
        </w:numPr>
        <w:spacing w:after="40" w:before="40" w:line="280"/>
      </w:pPr>
      <w:r>
        <w:t xml:space="preserve">Using ISO 27001 / NIST CSF controls as compliance review criteria</w:t>
      </w:r>
    </w:p>
    <w:p>
      <w:pPr>
        <w:pStyle w:val="ListParagraph"/>
        <w:numPr>
          <w:ilvl w:val="0"/>
          <w:numId w:val="2"/>
        </w:numPr>
        <w:spacing w:after="40" w:before="40" w:line="280"/>
      </w:pPr>
      <w:r>
        <w:t xml:space="preserve">Aligning the Standards Information Base with approved security patterns</w:t>
      </w:r>
    </w:p>
    <w:p>
      <w:pPr>
        <w:pStyle w:val="Heading2"/>
        <w:spacing w:after="120" w:before="260"/>
      </w:pPr>
      <w:r>
        <w:t xml:space="preserve">8.4 The Integrated Governance Map</w:t>
      </w:r>
    </w:p>
    <w:p>
      <w:pPr>
        <w:spacing w:after="80" w:before="80" w:line="300"/>
        <w:jc w:val="both"/>
      </w:pPr>
      <w:r>
        <w:t xml:space="preserve">A practical integration artifact is a one-page "Integrated Governance Map" showing all relevant bodies, their decision rights, their cadences, and the hand-offs between them. This diagram lives in the Architecture Repository and is reviewed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Body</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Scope</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Cadence</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Key Hand-off</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Board of Directors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Corporate strategy</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priorities → IT ExCo</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IT Executive Committee</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IT strategy and investment</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Monthly</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Investment envelopes → Architecture Board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Board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decisions, dispensations</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Monthly + expedited weekly</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 designs → Design Authorities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Design Authorities (Programme)</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Solution-level design</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Fortnightly</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Reviewed designs → Delivery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 Advisory Board (ITIL)</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Production change</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Weekly</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 changes → Operations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Risk Committee</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Enterprise risk</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Monthly</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Risk decisions → all bodies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bank integrates its governance as follows:</w:t>
            </w:r>
          </w:p>
          <w:p>
            <w:pPr>
              <w:spacing w:after="40" w:before="40" w:line="280"/>
            </w:pPr>
            <w:r>
              <w:t xml:space="preserve">— Board of Directors sets "digital-first" strategy.</w:t>
            </w:r>
          </w:p>
          <w:p>
            <w:pPr>
              <w:spacing w:after="40" w:before="40" w:line="280"/>
            </w:pPr>
            <w:r>
              <w:t xml:space="preserve">— IT ExCo (COBIT-aligned) translates to a 5-year technology roadmap and £800M envelope.</w:t>
            </w:r>
          </w:p>
          <w:p>
            <w:pPr>
              <w:spacing w:after="40" w:before="40" w:line="280"/>
            </w:pPr>
            <w:r>
              <w:t xml:space="preserve">— Architecture Board ratifies 22 principles, approves reference architectures, owns the standards catalog.</w:t>
            </w:r>
          </w:p>
          <w:p>
            <w:pPr>
              <w:spacing w:after="40" w:before="40" w:line="280"/>
            </w:pPr>
            <w:r>
              <w:t xml:space="preserve">— Programme Design Authorities enforce conformance weekly; escalate cross-programme items to the Architecture Board.</w:t>
            </w:r>
          </w:p>
          <w:p>
            <w:pPr>
              <w:spacing w:after="40" w:before="40" w:line="280"/>
            </w:pPr>
            <w:r>
              <w:t xml:space="preserve">— Change Advisory Board (ITIL) requires every production change to cite the Architecture Contract it belongs to.</w:t>
            </w:r>
          </w:p>
          <w:p>
            <w:pPr>
              <w:spacing w:after="40" w:before="40" w:line="280"/>
            </w:pPr>
            <w:r>
              <w:t xml:space="preserve">— Risk Committee reviews aggregated dispensations quarterly.</w:t>
            </w:r>
          </w:p>
          <w:p>
            <w:pPr>
              <w:spacing w:after="40" w:before="40" w:line="280"/>
            </w:pPr>
            <w:r>
              <w:t xml:space="preserve">— Auditors map every Board decision to a COBIT control; external audit passes with no findings.</w:t>
            </w:r>
          </w:p>
        </w:tc>
      </w:tr>
    </w:tbl>
    <w:p>
      <w:pPr>
        <w:pStyle w:val="Heading2"/>
        <w:spacing w:after="120" w:before="260"/>
      </w:pPr>
      <w:r>
        <w:t xml:space="preserve">8.5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Parallel governance — Architecture Board and CAB make conflicting decisions because they don't integrate.</w:t>
            </w:r>
          </w:p>
          <w:p>
            <w:pPr>
              <w:spacing w:after="40" w:before="40" w:line="280"/>
            </w:pPr>
            <w:r>
              <w:t xml:space="preserve">TOGAF purism in an Agile shop — ritualistic ADM ceremonies crushing delivery momentum; tailor or fail.</w:t>
            </w:r>
          </w:p>
          <w:p>
            <w:pPr>
              <w:spacing w:after="40" w:before="40" w:line="280"/>
            </w:pPr>
            <w:r>
              <w:t xml:space="preserve">Ignoring the Risk and Security committees — they have veto power and need early engagement.</w:t>
            </w:r>
          </w:p>
          <w:p>
            <w:pPr>
              <w:spacing w:after="40" w:before="40" w:line="280"/>
            </w:pPr>
            <w:r>
              <w:t xml:space="preserve">Framework fatigue — teams drowning in process; integrate and simplify, don't stack.</w:t>
            </w:r>
          </w:p>
        </w:tc>
      </w:tr>
    </w:tbl>
    <w:p>
      <w:pPr>
        <w:pStyle w:val="Heading1"/>
        <w:pageBreakBefore/>
        <w:spacing w:after="180" w:before="360"/>
      </w:pPr>
      <w:r>
        <w:t xml:space="preserve">9. Architecture Decision Records (ADRs)</w:t>
      </w:r>
    </w:p>
    <w:p>
      <w:pPr>
        <w:pStyle w:val="Heading2"/>
        <w:spacing w:after="120" w:before="260"/>
      </w:pPr>
      <w:r>
        <w:t xml:space="preserve">9.1 Definition</w:t>
      </w:r>
    </w:p>
    <w:p>
      <w:pPr>
        <w:spacing w:after="80" w:before="80" w:line="300"/>
        <w:jc w:val="both"/>
      </w:pPr>
      <w:r>
        <w:t xml:space="preserve">An Architecture Decision Record (ADR) is a short, structured document that captures a single, significant architectural decision — the context, the decision, the alternatives considered, the consequences, and the status. ADRs are one of the most valuable lightweight governance tools, widely adopted independently of TOGAF and very naturally complementary to TOGAF governance.</w:t>
      </w:r>
    </w:p>
    <w:p>
      <w:pPr>
        <w:spacing w:after="80" w:before="80" w:line="300"/>
        <w:jc w:val="both"/>
      </w:pPr>
      <w:r>
        <w:t xml:space="preserve">While TOGAF formally calls for Architecture Definition Documents and Compliance Review Reports, ADRs fill the gap between broad architecture documents and code-level design. They answer the universal question asked by every future engineer: "Why was this built this way?"</w:t>
      </w:r>
    </w:p>
    <w:p>
      <w:pPr>
        <w:pStyle w:val="Heading2"/>
        <w:spacing w:after="120" w:before="260"/>
      </w:pPr>
      <w:r>
        <w:t xml:space="preserve">9.2 Characteristics of a Good ADR</w:t>
      </w:r>
    </w:p>
    <w:p>
      <w:pPr>
        <w:pStyle w:val="ListParagraph"/>
        <w:numPr>
          <w:ilvl w:val="0"/>
          <w:numId w:val="2"/>
        </w:numPr>
        <w:spacing w:after="40" w:before="40" w:line="280"/>
      </w:pPr>
      <w:r>
        <w:t xml:space="preserve">One decision per ADR — not a pile of choices</w:t>
      </w:r>
    </w:p>
    <w:p>
      <w:pPr>
        <w:pStyle w:val="ListParagraph"/>
        <w:numPr>
          <w:ilvl w:val="0"/>
          <w:numId w:val="2"/>
        </w:numPr>
        <w:spacing w:after="40" w:before="40" w:line="280"/>
      </w:pPr>
      <w:r>
        <w:t xml:space="preserve">Short — typically 1–2 pages; if longer, the decision is too broad</w:t>
      </w:r>
    </w:p>
    <w:p>
      <w:pPr>
        <w:pStyle w:val="ListParagraph"/>
        <w:numPr>
          <w:ilvl w:val="0"/>
          <w:numId w:val="2"/>
        </w:numPr>
        <w:spacing w:after="40" w:before="40" w:line="280"/>
      </w:pPr>
      <w:r>
        <w:t xml:space="preserve">Immutable once approved — never edit an ADR; supersede it with a new one</w:t>
      </w:r>
    </w:p>
    <w:p>
      <w:pPr>
        <w:pStyle w:val="ListParagraph"/>
        <w:numPr>
          <w:ilvl w:val="0"/>
          <w:numId w:val="2"/>
        </w:numPr>
        <w:spacing w:after="40" w:before="40" w:line="280"/>
      </w:pPr>
      <w:r>
        <w:t xml:space="preserve">Versioned and numbered — ADR-0001, ADR-0002, etc., in stable order</w:t>
      </w:r>
    </w:p>
    <w:p>
      <w:pPr>
        <w:pStyle w:val="ListParagraph"/>
        <w:numPr>
          <w:ilvl w:val="0"/>
          <w:numId w:val="2"/>
        </w:numPr>
        <w:spacing w:after="40" w:before="40" w:line="280"/>
      </w:pPr>
      <w:r>
        <w:t xml:space="preserve">Stored with the code — Git repos, Markdown format — so decisions travel with what they describe</w:t>
      </w:r>
    </w:p>
    <w:p>
      <w:pPr>
        <w:pStyle w:val="ListParagraph"/>
        <w:numPr>
          <w:ilvl w:val="0"/>
          <w:numId w:val="2"/>
        </w:numPr>
        <w:spacing w:after="40" w:before="40" w:line="280"/>
      </w:pPr>
      <w:r>
        <w:t xml:space="preserve">Written in the present tense and active voice</w:t>
      </w:r>
    </w:p>
    <w:p>
      <w:pPr>
        <w:pStyle w:val="ListParagraph"/>
        <w:numPr>
          <w:ilvl w:val="0"/>
          <w:numId w:val="2"/>
        </w:numPr>
        <w:spacing w:after="40" w:before="40" w:line="280"/>
      </w:pPr>
      <w:r>
        <w:t xml:space="preserve">Accessible — readable by any engineer, not only architects</w:t>
      </w:r>
    </w:p>
    <w:p>
      <w:pPr>
        <w:pStyle w:val="Heading2"/>
        <w:spacing w:after="120" w:before="260"/>
      </w:pPr>
      <w:r>
        <w:t xml:space="preserve">9.3 The Canonical ADR Template</w:t>
      </w:r>
    </w:p>
    <w:p>
      <w:pPr>
        <w:spacing w:after="80" w:before="80" w:line="300"/>
        <w:jc w:val="both"/>
      </w:pPr>
      <w:r>
        <w:t xml:space="preserve">The most widely used ADR template was originated by Michael Nygard. TOGAF does not prescribe a specific template but this form is de facto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ADR Template — Nygard Form</w:t>
            </w:r>
          </w:p>
          <w:p>
            <w:pPr>
              <w:spacing w:after="40" w:before="40" w:line="280"/>
            </w:pPr>
            <w:r>
              <w:t xml:space="preserve">Title: ADR-NNNN — Short Noun Phrase (e.g., "ADR-0012 — Use PostgreSQL for Transactional Store")</w:t>
            </w:r>
          </w:p>
          <w:p>
            <w:pPr>
              <w:spacing w:after="40" w:before="40" w:line="280"/>
            </w:pPr>
            <w:r>
              <w:t xml:space="preserve"/>
            </w:r>
          </w:p>
          <w:p>
            <w:pPr>
              <w:spacing w:after="40" w:before="40" w:line="280"/>
            </w:pPr>
            <w:r>
              <w:t xml:space="preserve">Status: Proposed | Accepted | Deprecated | Superseded by ADR-NNNN</w:t>
            </w:r>
          </w:p>
          <w:p>
            <w:pPr>
              <w:spacing w:after="40" w:before="40" w:line="280"/>
            </w:pPr>
            <w:r>
              <w:t xml:space="preserve">Date: YYYY-MM-DD</w:t>
            </w:r>
          </w:p>
          <w:p>
            <w:pPr>
              <w:spacing w:after="40" w:before="40" w:line="280"/>
            </w:pPr>
            <w:r>
              <w:t xml:space="preserve">Deciders: names</w:t>
            </w:r>
          </w:p>
          <w:p>
            <w:pPr>
              <w:spacing w:after="40" w:before="40" w:line="280"/>
            </w:pPr>
            <w:r>
              <w:t xml:space="preserve"/>
            </w:r>
          </w:p>
          <w:p>
            <w:pPr>
              <w:spacing w:after="40" w:before="40" w:line="280"/>
            </w:pPr>
            <w:r>
              <w:t xml:space="preserve">Context:</w:t>
            </w:r>
          </w:p>
          <w:p>
            <w:pPr>
              <w:spacing w:after="40" w:before="40" w:line="280"/>
            </w:pPr>
            <w:r>
              <w:t xml:space="preserve">What is the issue that we're seeing? Describe the forces at play — business, technical, organizational — that create the need for this decision. Keep it factual.</w:t>
            </w:r>
          </w:p>
          <w:p>
            <w:pPr>
              <w:spacing w:after="40" w:before="40" w:line="280"/>
            </w:pPr>
            <w:r>
              <w:t xml:space="preserve"/>
            </w:r>
          </w:p>
          <w:p>
            <w:pPr>
              <w:spacing w:after="40" w:before="40" w:line="280"/>
            </w:pPr>
            <w:r>
              <w:t xml:space="preserve">Decision:</w:t>
            </w:r>
          </w:p>
          <w:p>
            <w:pPr>
              <w:spacing w:after="40" w:before="40" w:line="280"/>
            </w:pPr>
            <w:r>
              <w:t xml:space="preserve">What have we decided to do? State it in present tense: "We will…"</w:t>
            </w:r>
          </w:p>
          <w:p>
            <w:pPr>
              <w:spacing w:after="40" w:before="40" w:line="280"/>
            </w:pPr>
            <w:r>
              <w:t xml:space="preserve"/>
            </w:r>
          </w:p>
          <w:p>
            <w:pPr>
              <w:spacing w:after="40" w:before="40" w:line="280"/>
            </w:pPr>
            <w:r>
              <w:t xml:space="preserve">Alternatives Considered:</w:t>
            </w:r>
          </w:p>
          <w:p>
            <w:pPr>
              <w:spacing w:after="40" w:before="40" w:line="280"/>
            </w:pPr>
            <w:r>
              <w:t xml:space="preserve">What options were weighed? Why were they rejected? Include the non-obvious alternatives.</w:t>
            </w:r>
          </w:p>
          <w:p>
            <w:pPr>
              <w:spacing w:after="40" w:before="40" w:line="280"/>
            </w:pPr>
            <w:r>
              <w:t xml:space="preserve"/>
            </w:r>
          </w:p>
          <w:p>
            <w:pPr>
              <w:spacing w:after="40" w:before="40" w:line="280"/>
            </w:pPr>
            <w:r>
              <w:t xml:space="preserve">Consequences:</w:t>
            </w:r>
          </w:p>
          <w:p>
            <w:pPr>
              <w:spacing w:after="40" w:before="40" w:line="280"/>
            </w:pPr>
            <w:r>
              <w:t xml:space="preserve">What becomes easier or harder as a result? Describe positive, negative, and neutral consequences. Be honest about trade-offs.</w:t>
            </w:r>
          </w:p>
          <w:p>
            <w:pPr>
              <w:spacing w:after="40" w:before="40" w:line="280"/>
            </w:pPr>
            <w:r>
              <w:t xml:space="preserve"/>
            </w:r>
          </w:p>
          <w:p>
            <w:pPr>
              <w:spacing w:after="40" w:before="40" w:line="280"/>
            </w:pPr>
            <w:r>
              <w:t xml:space="preserve">Compliance / Links:</w:t>
            </w:r>
          </w:p>
          <w:p>
            <w:pPr>
              <w:spacing w:after="40" w:before="40" w:line="280"/>
            </w:pPr>
            <w:r>
              <w:t xml:space="preserve">Link to principles, standards, dispensations, and related ADRs.</w:t>
            </w:r>
          </w:p>
        </w:tc>
      </w:tr>
    </w:tbl>
    <w:p>
      <w:pPr>
        <w:pStyle w:val="Heading2"/>
        <w:spacing w:after="120" w:before="260"/>
      </w:pPr>
      <w:r>
        <w:t xml:space="preserve">9.4 ADR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State</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Proposed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Drafted; under review; not yet binding</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Accepted</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Approved; governs the system until superseded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Rejected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Considered and declined — kept as evidence of the decision process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Deprecated</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 longer recommended, but not superseded by a specific successor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Superseded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Replaced by a newer ADR; kept for history with a pointer to the successor</w:t>
            </w:r>
          </w:p>
        </w:tc>
      </w:tr>
    </w:tbl>
    <w:p>
      <w:pPr>
        <w:pStyle w:val="Heading2"/>
        <w:spacing w:after="120" w:before="260"/>
      </w:pPr>
      <w:r>
        <w:t xml:space="preserve">9.5 ADR Workflow</w:t>
      </w:r>
    </w:p>
    <w:p>
      <w:pPr>
        <w:pStyle w:val="ListParagraph"/>
        <w:numPr>
          <w:ilvl w:val="0"/>
          <w:numId w:val="3"/>
        </w:numPr>
        <w:spacing w:after="40" w:before="40" w:line="280"/>
      </w:pPr>
      <w:r>
        <w:t xml:space="preserve">An architect or engineer identifies the need for an architectural decision.</w:t>
      </w:r>
    </w:p>
    <w:p>
      <w:pPr>
        <w:pStyle w:val="ListParagraph"/>
        <w:numPr>
          <w:ilvl w:val="0"/>
          <w:numId w:val="3"/>
        </w:numPr>
        <w:spacing w:after="40" w:before="40" w:line="280"/>
      </w:pPr>
      <w:r>
        <w:t xml:space="preserve">Draft ADR in the Proposed state; circulate for review (peers, lead architect, Design Authority).</w:t>
      </w:r>
    </w:p>
    <w:p>
      <w:pPr>
        <w:pStyle w:val="ListParagraph"/>
        <w:numPr>
          <w:ilvl w:val="0"/>
          <w:numId w:val="3"/>
        </w:numPr>
        <w:spacing w:after="40" w:before="40" w:line="280"/>
      </w:pPr>
      <w:r>
        <w:t xml:space="preserve">Iterate based on feedback — keep discussion in the pull request / review tool, not the ADR itself.</w:t>
      </w:r>
    </w:p>
    <w:p>
      <w:pPr>
        <w:pStyle w:val="ListParagraph"/>
        <w:numPr>
          <w:ilvl w:val="0"/>
          <w:numId w:val="3"/>
        </w:numPr>
        <w:spacing w:after="40" w:before="40" w:line="280"/>
      </w:pPr>
      <w:r>
        <w:t xml:space="preserve">On approval, change status to Accepted; merge into main branch.</w:t>
      </w:r>
    </w:p>
    <w:p>
      <w:pPr>
        <w:pStyle w:val="ListParagraph"/>
        <w:numPr>
          <w:ilvl w:val="0"/>
          <w:numId w:val="3"/>
        </w:numPr>
        <w:spacing w:after="40" w:before="40" w:line="280"/>
      </w:pPr>
      <w:r>
        <w:t xml:space="preserve">Reference the ADR in subsequent design documents, code comments, and compliance reviews.</w:t>
      </w:r>
    </w:p>
    <w:p>
      <w:pPr>
        <w:pStyle w:val="ListParagraph"/>
        <w:numPr>
          <w:ilvl w:val="0"/>
          <w:numId w:val="3"/>
        </w:numPr>
        <w:spacing w:after="40" w:before="40" w:line="280"/>
      </w:pPr>
      <w:r>
        <w:t xml:space="preserve">If the decision later changes, draft a new ADR superseding the old one; never edit the accepted ADR.</w:t>
      </w:r>
    </w:p>
    <w:p>
      <w:pPr>
        <w:pStyle w:val="Heading2"/>
        <w:spacing w:after="120" w:before="260"/>
      </w:pPr>
      <w:r>
        <w:t xml:space="preserve">9.6 ADRs and TOGAF Governance</w:t>
      </w:r>
    </w:p>
    <w:p>
      <w:pPr>
        <w:spacing w:after="80" w:before="80" w:line="300"/>
        <w:jc w:val="both"/>
      </w:pPr>
      <w:r>
        <w:t xml:space="preserve">ADRs complement TOGAF governance at multiple points:</w:t>
      </w:r>
    </w:p>
    <w:p>
      <w:pPr>
        <w:pStyle w:val="ListParagraph"/>
        <w:numPr>
          <w:ilvl w:val="0"/>
          <w:numId w:val="2"/>
        </w:numPr>
        <w:spacing w:after="40" w:before="40" w:line="280"/>
      </w:pPr>
      <w:r>
        <w:rPr>
          <w:b/>
          <w:bCs/>
        </w:rPr>
        <w:t xml:space="preserve">In the Architecture Repository: </w:t>
      </w:r>
      <w:r>
        <w:t xml:space="preserve">ADRs live in the Governance Log class of content, with stable IDs.</w:t>
      </w:r>
    </w:p>
    <w:p>
      <w:pPr>
        <w:pStyle w:val="ListParagraph"/>
        <w:numPr>
          <w:ilvl w:val="0"/>
          <w:numId w:val="2"/>
        </w:numPr>
        <w:spacing w:after="40" w:before="40" w:line="280"/>
      </w:pPr>
      <w:r>
        <w:rPr>
          <w:b/>
          <w:bCs/>
        </w:rPr>
        <w:t xml:space="preserve">In Compliance Reviews: </w:t>
      </w:r>
      <w:r>
        <w:t xml:space="preserve">reviewers examine whether decisions are recorded as ADRs and whether they conform to principles.</w:t>
      </w:r>
    </w:p>
    <w:p>
      <w:pPr>
        <w:pStyle w:val="ListParagraph"/>
        <w:numPr>
          <w:ilvl w:val="0"/>
          <w:numId w:val="2"/>
        </w:numPr>
        <w:spacing w:after="40" w:before="40" w:line="280"/>
      </w:pPr>
      <w:r>
        <w:rPr>
          <w:b/>
          <w:bCs/>
        </w:rPr>
        <w:t xml:space="preserve">In Dispensations: </w:t>
      </w:r>
      <w:r>
        <w:t xml:space="preserve">a granted dispensation should be referenced from an ADR explaining the decision to deviate.</w:t>
      </w:r>
    </w:p>
    <w:p>
      <w:pPr>
        <w:pStyle w:val="ListParagraph"/>
        <w:numPr>
          <w:ilvl w:val="0"/>
          <w:numId w:val="2"/>
        </w:numPr>
        <w:spacing w:after="40" w:before="40" w:line="280"/>
      </w:pPr>
      <w:r>
        <w:rPr>
          <w:b/>
          <w:bCs/>
        </w:rPr>
        <w:t xml:space="preserve">In Architecture Contracts: </w:t>
      </w:r>
      <w:r>
        <w:t xml:space="preserve">key design decisions underlying a contract are captured as ADRs.</w:t>
      </w:r>
    </w:p>
    <w:p>
      <w:pPr>
        <w:pStyle w:val="ListParagraph"/>
        <w:numPr>
          <w:ilvl w:val="0"/>
          <w:numId w:val="2"/>
        </w:numPr>
        <w:spacing w:after="40" w:before="40" w:line="280"/>
      </w:pPr>
      <w:r>
        <w:rPr>
          <w:b/>
          <w:bCs/>
        </w:rPr>
        <w:t xml:space="preserve">In Principles: </w:t>
      </w:r>
      <w:r>
        <w:t xml:space="preserve">principles inform ADRs; an ADR cites the principles it honors (or the dispensation allowing deviation).</w:t>
      </w:r>
    </w:p>
    <w:p>
      <w:pPr>
        <w:pStyle w:val="Heading2"/>
        <w:spacing w:after="120" w:before="260"/>
      </w:pPr>
      <w:r>
        <w:t xml:space="preserve">9.7 ADR vs. Architecture Definition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Aspect</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ADR</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Architecture Definition Document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Scope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single decision</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 full architecture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Length</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1–2 pages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Dozens of pages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Lifecycle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Immutable once accepted</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Revised through versions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Authors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Architects and senior engineers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Primary Reader</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Engineers, future-self</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Board, sponsors, auditors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Location</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Close to code (Git)</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Repository (formal)</w:t>
            </w:r>
          </w:p>
        </w:tc>
      </w:tr>
    </w:tbl>
    <w:p>
      <w:pPr>
        <w:pStyle w:val="Heading2"/>
        <w:spacing w:after="120" w:before="260"/>
      </w:pPr>
      <w:r>
        <w:t xml:space="preserve">9.8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ADR-0024 — Adopt Event-Driven Communication for Inter-Service Messaging</w:t>
            </w:r>
          </w:p>
          <w:p>
            <w:pPr>
              <w:spacing w:after="40" w:before="40" w:line="280"/>
            </w:pPr>
            <w:r>
              <w:t xml:space="preserve">Status: Accepted</w:t>
            </w:r>
          </w:p>
          <w:p>
            <w:pPr>
              <w:spacing w:after="40" w:before="40" w:line="280"/>
            </w:pPr>
            <w:r>
              <w:t xml:space="preserve">Date: 2026-02-14</w:t>
            </w:r>
          </w:p>
          <w:p>
            <w:pPr>
              <w:spacing w:after="40" w:before="40" w:line="280"/>
            </w:pPr>
            <w:r>
              <w:t xml:space="preserve">Deciders: Lead Architect (Claims), Platform Architect, CISO delegate</w:t>
            </w:r>
          </w:p>
          <w:p>
            <w:pPr>
              <w:spacing w:after="40" w:before="40" w:line="280"/>
            </w:pPr>
            <w:r>
              <w:t xml:space="preserve"/>
            </w:r>
          </w:p>
          <w:p>
            <w:pPr>
              <w:spacing w:after="40" w:before="40" w:line="280"/>
            </w:pPr>
            <w:r>
              <w:t xml:space="preserve">Context: The claims platform currently uses synchronous REST for all inter-service communication. Peak-time latencies exceed SLO; cascading failures occur when downstream services slow. Enterprise principle PRIN-APP-007 ("Loosely Coupled") applies. Kafka is the approved enterprise event backbone (Standard TECH-023).</w:t>
            </w:r>
          </w:p>
          <w:p>
            <w:pPr>
              <w:spacing w:after="40" w:before="40" w:line="280"/>
            </w:pPr>
            <w:r>
              <w:t xml:space="preserve"/>
            </w:r>
          </w:p>
          <w:p>
            <w:pPr>
              <w:spacing w:after="40" w:before="40" w:line="280"/>
            </w:pPr>
            <w:r>
              <w:t xml:space="preserve">Decision: We will use Kafka for asynchronous communication between Claims services for all non-blocking operations. Synchronous REST is retained only where a caller genuinely needs a blocking response (e.g., Adjudication API).</w:t>
            </w:r>
          </w:p>
          <w:p>
            <w:pPr>
              <w:spacing w:after="40" w:before="40" w:line="280"/>
            </w:pPr>
            <w:r>
              <w:t xml:space="preserve"/>
            </w:r>
          </w:p>
          <w:p>
            <w:pPr>
              <w:spacing w:after="40" w:before="40" w:line="280"/>
            </w:pPr>
            <w:r>
              <w:t xml:space="preserve">Alternatives Considered:</w:t>
            </w:r>
          </w:p>
          <w:p>
            <w:pPr>
              <w:spacing w:after="40" w:before="40" w:line="280"/>
            </w:pPr>
            <w:r>
              <w:t xml:space="preserve">— Stay with REST: rejected — does not resolve coupling or cascading failures.</w:t>
            </w:r>
          </w:p>
          <w:p>
            <w:pPr>
              <w:spacing w:after="40" w:before="40" w:line="280"/>
            </w:pPr>
            <w:r>
              <w:t xml:space="preserve">— RabbitMQ: rejected — not on enterprise standards; duplicates Kafka capability.</w:t>
            </w:r>
          </w:p>
          <w:p>
            <w:pPr>
              <w:spacing w:after="40" w:before="40" w:line="280"/>
            </w:pPr>
            <w:r>
              <w:t xml:space="preserve">— AWS SNS/SQS: rejected — would introduce cloud coupling inconsistent with our on-prem/cloud hybrid.</w:t>
            </w:r>
          </w:p>
          <w:p>
            <w:pPr>
              <w:spacing w:after="40" w:before="40" w:line="280"/>
            </w:pPr>
            <w:r>
              <w:t xml:space="preserve"/>
            </w:r>
          </w:p>
          <w:p>
            <w:pPr>
              <w:spacing w:after="40" w:before="40" w:line="280"/>
            </w:pPr>
            <w:r>
              <w:t xml:space="preserve">Consequences:</w:t>
            </w:r>
          </w:p>
          <w:p>
            <w:pPr>
              <w:spacing w:after="40" w:before="40" w:line="280"/>
            </w:pPr>
            <w:r>
              <w:t xml:space="preserve">— Positive: reduced coupling, higher resilience, clearer event history.</w:t>
            </w:r>
          </w:p>
          <w:p>
            <w:pPr>
              <w:spacing w:after="40" w:before="40" w:line="280"/>
            </w:pPr>
            <w:r>
              <w:t xml:space="preserve">— Negative: eventual consistency introduces new debugging complexity; schema registry required.</w:t>
            </w:r>
          </w:p>
          <w:p>
            <w:pPr>
              <w:spacing w:after="40" w:before="40" w:line="280"/>
            </w:pPr>
            <w:r>
              <w:t xml:space="preserve">— Neutral: developer training needed on Kafka patterns.</w:t>
            </w:r>
          </w:p>
          <w:p>
            <w:pPr>
              <w:spacing w:after="40" w:before="40" w:line="280"/>
            </w:pPr>
            <w:r>
              <w:t xml:space="preserve"/>
            </w:r>
          </w:p>
          <w:p>
            <w:pPr>
              <w:spacing w:after="40" w:before="40" w:line="280"/>
            </w:pPr>
            <w:r>
              <w:t xml:space="preserve">Compliance / Links: PRIN-APP-007; TECH-023; supersedes ADR-0011.</w:t>
            </w:r>
          </w:p>
        </w:tc>
      </w:tr>
    </w:tbl>
    <w:p>
      <w:pPr>
        <w:pStyle w:val="Heading2"/>
        <w:spacing w:after="120" w:before="260"/>
      </w:pPr>
      <w:r>
        <w:t xml:space="preserve">9.9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Writing ADRs after the fact — record decisions as they are made, not months later when rationale is lost.</w:t>
            </w:r>
          </w:p>
          <w:p>
            <w:pPr>
              <w:spacing w:after="40" w:before="40" w:line="280"/>
            </w:pPr>
            <w:r>
              <w:t xml:space="preserve">Editing accepted ADRs — always supersede, never revise. History must be preserved.</w:t>
            </w:r>
          </w:p>
          <w:p>
            <w:pPr>
              <w:spacing w:after="40" w:before="40" w:line="280"/>
            </w:pPr>
            <w:r>
              <w:t xml:space="preserve">ADR sprawl — a dozen ADRs for tiny decisions. ADRs are for significant decisions only.</w:t>
            </w:r>
          </w:p>
          <w:p>
            <w:pPr>
              <w:spacing w:after="40" w:before="40" w:line="280"/>
            </w:pPr>
            <w:r>
              <w:t xml:space="preserve">Skipping alternatives — "We chose X" without "instead of Y" loses the reasoning future engineers need.</w:t>
            </w:r>
          </w:p>
          <w:p>
            <w:pPr>
              <w:spacing w:after="40" w:before="40" w:line="280"/>
            </w:pPr>
            <w:r>
              <w:t xml:space="preserve">Treating ADRs as optional — without a culture that writes and reads them, they rot.</w:t>
            </w:r>
          </w:p>
        </w:tc>
      </w:tr>
    </w:tbl>
    <w:p>
      <w:pPr>
        <w:pStyle w:val="Heading1"/>
        <w:pageBreakBefore/>
        <w:spacing w:after="180" w:before="360"/>
      </w:pPr>
      <w:r>
        <w:t xml:space="preserve">10. Architecture Contracts</w:t>
      </w:r>
    </w:p>
    <w:p>
      <w:pPr>
        <w:pStyle w:val="Heading2"/>
        <w:spacing w:after="120" w:before="260"/>
      </w:pPr>
      <w:r>
        <w:t xml:space="preserve">10.1 Definition</w:t>
      </w:r>
    </w:p>
    <w:p>
      <w:pPr>
        <w:spacing w:after="80" w:before="80" w:line="300"/>
        <w:jc w:val="both"/>
      </w:pPr>
      <w:r>
        <w:t xml:space="preserve">An Architecture Contract is the joint agreement between development partners and sponsors on the deliverables, quality, and fitness-for-purpose of an architecture. Contracts formalize the relationship between those who define the architecture and those who implement it, making mutual obligations explicit and enforceable.</w:t>
      </w:r>
    </w:p>
    <w:p>
      <w:pPr>
        <w:spacing w:after="80" w:before="80" w:line="300"/>
        <w:jc w:val="both"/>
      </w:pPr>
      <w:r>
        <w:t xml:space="preserve">Architecture Contracts operate primarily in Phase G (Implementation Governance) of the ADM but are prepared throughout the cycle. They are the mechanism that turns architecture from "advice" into "commitment."</w:t>
      </w:r>
    </w:p>
    <w:p>
      <w:pPr>
        <w:pStyle w:val="Heading2"/>
        <w:spacing w:after="120" w:before="260"/>
      </w:pPr>
      <w:r>
        <w:t xml:space="preserve">10.2 Purposes of Architecture Contracts</w:t>
      </w:r>
    </w:p>
    <w:p>
      <w:pPr>
        <w:pStyle w:val="ListParagraph"/>
        <w:numPr>
          <w:ilvl w:val="0"/>
          <w:numId w:val="3"/>
        </w:numPr>
        <w:spacing w:after="40" w:before="40" w:line="280"/>
      </w:pPr>
      <w:r>
        <w:t xml:space="preserve">Provide a joint agreement on deliverables between partners.</w:t>
      </w:r>
    </w:p>
    <w:p>
      <w:pPr>
        <w:pStyle w:val="ListParagraph"/>
        <w:numPr>
          <w:ilvl w:val="0"/>
          <w:numId w:val="3"/>
        </w:numPr>
        <w:spacing w:after="40" w:before="40" w:line="280"/>
      </w:pPr>
      <w:r>
        <w:t xml:space="preserve">Provide an effective vehicle for the control of conformance with the enterprise architecture.</w:t>
      </w:r>
    </w:p>
    <w:p>
      <w:pPr>
        <w:pStyle w:val="ListParagraph"/>
        <w:numPr>
          <w:ilvl w:val="0"/>
          <w:numId w:val="3"/>
        </w:numPr>
        <w:spacing w:after="40" w:before="40" w:line="280"/>
      </w:pPr>
      <w:r>
        <w:t xml:space="preserve">Ensure the capability to govern what happens in practice, not just what was planned.</w:t>
      </w:r>
    </w:p>
    <w:p>
      <w:pPr>
        <w:pStyle w:val="ListParagraph"/>
        <w:numPr>
          <w:ilvl w:val="0"/>
          <w:numId w:val="3"/>
        </w:numPr>
        <w:spacing w:after="40" w:before="40" w:line="280"/>
      </w:pPr>
      <w:r>
        <w:t xml:space="preserve">Create a clear escalation path when conformance is at risk.</w:t>
      </w:r>
    </w:p>
    <w:p>
      <w:pPr>
        <w:pStyle w:val="ListParagraph"/>
        <w:numPr>
          <w:ilvl w:val="0"/>
          <w:numId w:val="3"/>
        </w:numPr>
        <w:spacing w:after="40" w:before="40" w:line="280"/>
      </w:pPr>
      <w:r>
        <w:t xml:space="preserve">Preserve institutional knowledge — contracts capture what was agreed even when people leave.</w:t>
      </w:r>
    </w:p>
    <w:p>
      <w:pPr>
        <w:pStyle w:val="Heading2"/>
        <w:spacing w:after="120" w:before="260"/>
      </w:pPr>
      <w:r>
        <w:t xml:space="preserve">10.3 The Three Types of Architecture Contracts</w:t>
      </w:r>
    </w:p>
    <w:p>
      <w:pPr>
        <w:spacing w:after="80" w:before="80" w:line="300"/>
        <w:jc w:val="both"/>
      </w:pPr>
      <w:r>
        <w:t xml:space="preserve">TOGAF identifies three distinct contracts, each operating between different parties. Know these three — expect an exam question asking you to identify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Contract</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Parties</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Phase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Statement of Architecture Work</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Sponsors &amp; Architecture Team</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A (established); throughout (referenced)</w:t>
            </w:r>
          </w:p>
        </w:tc>
      </w:tr>
      <w:tr>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Contract between Architecture Design and Development Partners</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Team &amp; Implementation Teams</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G</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Contract between Architecting Function and Business Users</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Function &amp; Business Consumers</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Ongoing (continuous service)</w:t>
            </w:r>
          </w:p>
        </w:tc>
      </w:tr>
    </w:tbl>
    <w:p>
      <w:pPr>
        <w:pStyle w:val="Heading2"/>
        <w:spacing w:after="120" w:before="260"/>
      </w:pPr>
      <w:r>
        <w:t xml:space="preserve">10.4 Contract 1 — Statement of Architecture Work</w:t>
      </w:r>
    </w:p>
    <w:p>
      <w:pPr>
        <w:spacing w:after="80" w:before="80" w:line="300"/>
        <w:jc w:val="both"/>
      </w:pPr>
      <w:r>
        <w:t xml:space="preserve">Established in Phase A, this is the contract between the architecture team and the project sponsor. It defines what will be architected, by whom, by when, to what standards, and at what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Statement of Architecture Work — Content</w:t>
            </w:r>
          </w:p>
          <w:p>
            <w:pPr>
              <w:spacing w:after="40" w:before="40" w:line="280"/>
            </w:pPr>
            <w:r>
              <w:t xml:space="preserve">— Request for Architecture Work reference</w:t>
            </w:r>
          </w:p>
          <w:p>
            <w:pPr>
              <w:spacing w:after="40" w:before="40" w:line="280"/>
            </w:pPr>
            <w:r>
              <w:t xml:space="preserve">— Project description and scope (business, geographic, architectural domains)</w:t>
            </w:r>
          </w:p>
          <w:p>
            <w:pPr>
              <w:spacing w:after="40" w:before="40" w:line="280"/>
            </w:pPr>
            <w:r>
              <w:t xml:space="preserve">— Overview of Architecture Vision</w:t>
            </w:r>
          </w:p>
          <w:p>
            <w:pPr>
              <w:spacing w:after="40" w:before="40" w:line="280"/>
            </w:pPr>
            <w:r>
              <w:t xml:space="preserve">— Specific change of scope procedures</w:t>
            </w:r>
          </w:p>
          <w:p>
            <w:pPr>
              <w:spacing w:after="40" w:before="40" w:line="280"/>
            </w:pPr>
            <w:r>
              <w:t xml:space="preserve">— Roles, responsibilities, deliverables</w:t>
            </w:r>
          </w:p>
          <w:p>
            <w:pPr>
              <w:spacing w:after="40" w:before="40" w:line="280"/>
            </w:pPr>
            <w:r>
              <w:t xml:space="preserve">— Acceptance criteria and procedures</w:t>
            </w:r>
          </w:p>
          <w:p>
            <w:pPr>
              <w:spacing w:after="40" w:before="40" w:line="280"/>
            </w:pPr>
            <w:r>
              <w:t xml:space="preserve">— Project plan and schedule</w:t>
            </w:r>
          </w:p>
          <w:p>
            <w:pPr>
              <w:spacing w:after="40" w:before="40" w:line="280"/>
            </w:pPr>
            <w:r>
              <w:t xml:space="preserve">— Approvals (sponsor signature)</w:t>
            </w:r>
          </w:p>
        </w:tc>
      </w:tr>
    </w:tbl>
    <w:p>
      <w:pPr>
        <w:pStyle w:val="Heading2"/>
        <w:spacing w:after="120" w:before="260"/>
      </w:pPr>
      <w:r>
        <w:t xml:space="preserve">10.5 Contract 2 — Between Architecture &amp; Development</w:t>
      </w:r>
    </w:p>
    <w:p>
      <w:pPr>
        <w:spacing w:after="80" w:before="80" w:line="300"/>
        <w:jc w:val="both"/>
      </w:pPr>
      <w:r>
        <w:t xml:space="preserve">Established in Phase G, this is the operational heart of implementation governance. It binds implementation teams to deliver in accordance with the approved architecture, and binds the architecture function to support, review, and govern fairly.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Architecture–Development Contract — Content</w:t>
            </w:r>
          </w:p>
          <w:p>
            <w:pPr>
              <w:spacing w:after="40" w:before="40" w:line="280"/>
            </w:pPr>
            <w:r>
              <w:t xml:space="preserve">— Introduction and background</w:t>
            </w:r>
          </w:p>
          <w:p>
            <w:pPr>
              <w:spacing w:after="40" w:before="40" w:line="280"/>
            </w:pPr>
            <w:r>
              <w:t xml:space="preserve">— Nature of the agreement</w:t>
            </w:r>
          </w:p>
          <w:p>
            <w:pPr>
              <w:spacing w:after="40" w:before="40" w:line="280"/>
            </w:pPr>
            <w:r>
              <w:t xml:space="preserve">— Scope</w:t>
            </w:r>
          </w:p>
          <w:p>
            <w:pPr>
              <w:spacing w:after="40" w:before="40" w:line="280"/>
            </w:pPr>
            <w:r>
              <w:t xml:space="preserve">— Architecture and strategic principles and requirements</w:t>
            </w:r>
          </w:p>
          <w:p>
            <w:pPr>
              <w:spacing w:after="40" w:before="40" w:line="280"/>
            </w:pPr>
            <w:r>
              <w:t xml:space="preserve">— Conformance requirements — explicit list of compliance criteria</w:t>
            </w:r>
          </w:p>
          <w:p>
            <w:pPr>
              <w:spacing w:after="40" w:before="40" w:line="280"/>
            </w:pPr>
            <w:r>
              <w:t xml:space="preserve">— Architecture development and management process and roles</w:t>
            </w:r>
          </w:p>
          <w:p>
            <w:pPr>
              <w:spacing w:after="40" w:before="40" w:line="280"/>
            </w:pPr>
            <w:r>
              <w:t xml:space="preserve">— Target architecture measures — KPIs, quality attributes, SLOs</w:t>
            </w:r>
          </w:p>
          <w:p>
            <w:pPr>
              <w:spacing w:after="40" w:before="40" w:line="280"/>
            </w:pPr>
            <w:r>
              <w:t xml:space="preserve">— Defined phases of deliverables</w:t>
            </w:r>
          </w:p>
          <w:p>
            <w:pPr>
              <w:spacing w:after="40" w:before="40" w:line="280"/>
            </w:pPr>
            <w:r>
              <w:t xml:space="preserve">— Prioritized joint workplan</w:t>
            </w:r>
          </w:p>
          <w:p>
            <w:pPr>
              <w:spacing w:after="40" w:before="40" w:line="280"/>
            </w:pPr>
            <w:r>
              <w:t xml:space="preserve">— Time window(s)</w:t>
            </w:r>
          </w:p>
          <w:p>
            <w:pPr>
              <w:spacing w:after="40" w:before="40" w:line="280"/>
            </w:pPr>
            <w:r>
              <w:t xml:space="preserve">— Architecture delivery and business metrics</w:t>
            </w:r>
          </w:p>
        </w:tc>
      </w:tr>
    </w:tbl>
    <w:p>
      <w:pPr>
        <w:pStyle w:val="Heading2"/>
        <w:spacing w:after="120" w:before="260"/>
      </w:pPr>
      <w:r>
        <w:t xml:space="preserve">10.6 Contract 3 — Between Architecture &amp; Business Users</w:t>
      </w:r>
    </w:p>
    <w:p>
      <w:pPr>
        <w:spacing w:after="80" w:before="80" w:line="300"/>
        <w:jc w:val="both"/>
      </w:pPr>
      <w:r>
        <w:t xml:space="preserve">This contract governs the ongoing relationship between the EA function and business users as consumers of architecture services. It is effectively an internal service agreement for the EA function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Architecture–Business Users Contract — Content</w:t>
            </w:r>
          </w:p>
          <w:p>
            <w:pPr>
              <w:spacing w:after="40" w:before="40" w:line="280"/>
            </w:pPr>
            <w:r>
              <w:t xml:space="preserve">— Introduction and background</w:t>
            </w:r>
          </w:p>
          <w:p>
            <w:pPr>
              <w:spacing w:after="40" w:before="40" w:line="280"/>
            </w:pPr>
            <w:r>
              <w:t xml:space="preserve">— Nature of the agreement</w:t>
            </w:r>
          </w:p>
          <w:p>
            <w:pPr>
              <w:spacing w:after="40" w:before="40" w:line="280"/>
            </w:pPr>
            <w:r>
              <w:t xml:space="preserve">— Scope</w:t>
            </w:r>
          </w:p>
          <w:p>
            <w:pPr>
              <w:spacing w:after="40" w:before="40" w:line="280"/>
            </w:pPr>
            <w:r>
              <w:t xml:space="preserve">— Architecture and strategic principles and requirements</w:t>
            </w:r>
          </w:p>
          <w:p>
            <w:pPr>
              <w:spacing w:after="40" w:before="40" w:line="280"/>
            </w:pPr>
            <w:r>
              <w:t xml:space="preserve">— Conformance requirements</w:t>
            </w:r>
          </w:p>
          <w:p>
            <w:pPr>
              <w:spacing w:after="40" w:before="40" w:line="280"/>
            </w:pPr>
            <w:r>
              <w:t xml:space="preserve">— Architecture development and management process and roles</w:t>
            </w:r>
          </w:p>
          <w:p>
            <w:pPr>
              <w:spacing w:after="40" w:before="40" w:line="280"/>
            </w:pPr>
            <w:r>
              <w:t xml:space="preserve">— Target architecture measures</w:t>
            </w:r>
          </w:p>
          <w:p>
            <w:pPr>
              <w:spacing w:after="40" w:before="40" w:line="280"/>
            </w:pPr>
            <w:r>
              <w:t xml:space="preserve">— Defined phases of deliverables</w:t>
            </w:r>
          </w:p>
          <w:p>
            <w:pPr>
              <w:spacing w:after="40" w:before="40" w:line="280"/>
            </w:pPr>
            <w:r>
              <w:t xml:space="preserve">— Prioritized joint workplan</w:t>
            </w:r>
          </w:p>
          <w:p>
            <w:pPr>
              <w:spacing w:after="40" w:before="40" w:line="280"/>
            </w:pPr>
            <w:r>
              <w:t xml:space="preserve">— Time window(s)</w:t>
            </w:r>
          </w:p>
          <w:p>
            <w:pPr>
              <w:spacing w:after="40" w:before="40" w:line="280"/>
            </w:pPr>
            <w:r>
              <w:t xml:space="preserve">— Architecture delivery and business metrics</w:t>
            </w:r>
          </w:p>
        </w:tc>
      </w:tr>
    </w:tbl>
    <w:p>
      <w:pPr>
        <w:pStyle w:val="Heading2"/>
        <w:spacing w:after="120" w:before="260"/>
      </w:pPr>
      <w:r>
        <w:t xml:space="preserve">10.7 Contract Governance</w:t>
      </w:r>
    </w:p>
    <w:p>
      <w:pPr>
        <w:pStyle w:val="ListParagraph"/>
        <w:numPr>
          <w:ilvl w:val="0"/>
          <w:numId w:val="2"/>
        </w:numPr>
        <w:spacing w:after="40" w:before="40" w:line="280"/>
      </w:pPr>
      <w:r>
        <w:rPr>
          <w:b/>
          <w:bCs/>
        </w:rPr>
        <w:t xml:space="preserve">Authorship: </w:t>
      </w:r>
      <w:r>
        <w:t xml:space="preserve">drafted by the architecture team; reviewed by implementation partners and legal where applicable; approved by the Architecture Board.</w:t>
      </w:r>
    </w:p>
    <w:p>
      <w:pPr>
        <w:pStyle w:val="ListParagraph"/>
        <w:numPr>
          <w:ilvl w:val="0"/>
          <w:numId w:val="2"/>
        </w:numPr>
        <w:spacing w:after="40" w:before="40" w:line="280"/>
      </w:pPr>
      <w:r>
        <w:rPr>
          <w:b/>
          <w:bCs/>
        </w:rPr>
        <w:t xml:space="preserve">Approval: </w:t>
      </w:r>
      <w:r>
        <w:t xml:space="preserve">signatures from both parties (or their named senior representatives) make the contract binding.</w:t>
      </w:r>
    </w:p>
    <w:p>
      <w:pPr>
        <w:pStyle w:val="ListParagraph"/>
        <w:numPr>
          <w:ilvl w:val="0"/>
          <w:numId w:val="2"/>
        </w:numPr>
        <w:spacing w:after="40" w:before="40" w:line="280"/>
      </w:pPr>
      <w:r>
        <w:rPr>
          <w:b/>
          <w:bCs/>
        </w:rPr>
        <w:t xml:space="preserve">Monitoring: </w:t>
      </w:r>
      <w:r>
        <w:t xml:space="preserve">periodic compliance reviews test adherence; deviation triggers dispensations or remediation.</w:t>
      </w:r>
    </w:p>
    <w:p>
      <w:pPr>
        <w:pStyle w:val="ListParagraph"/>
        <w:numPr>
          <w:ilvl w:val="0"/>
          <w:numId w:val="2"/>
        </w:numPr>
        <w:spacing w:after="40" w:before="40" w:line="280"/>
      </w:pPr>
      <w:r>
        <w:rPr>
          <w:b/>
          <w:bCs/>
        </w:rPr>
        <w:t xml:space="preserve">Change control: </w:t>
      </w:r>
      <w:r>
        <w:t xml:space="preserve">contracts are amended formally — informal scope creep is not permitted.</w:t>
      </w:r>
    </w:p>
    <w:p>
      <w:pPr>
        <w:pStyle w:val="ListParagraph"/>
        <w:numPr>
          <w:ilvl w:val="0"/>
          <w:numId w:val="2"/>
        </w:numPr>
        <w:spacing w:after="40" w:before="40" w:line="280"/>
      </w:pPr>
      <w:r>
        <w:rPr>
          <w:b/>
          <w:bCs/>
        </w:rPr>
        <w:t xml:space="preserve">Closure: </w:t>
      </w:r>
      <w:r>
        <w:t xml:space="preserve">at delivery, a final review verifies all contract commitments were met.</w:t>
      </w:r>
    </w:p>
    <w:p>
      <w:pPr>
        <w:pStyle w:val="Heading2"/>
        <w:spacing w:after="120" w:before="260"/>
      </w:pPr>
      <w:r>
        <w:t xml:space="preserve">10.8 Contracts and Other Governance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Artifact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Relationship to Architecture Contracts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Principles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Contracts explicitly reference and bind to principles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Information Base</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Contracts bind to the standards current at signing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Review Reports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Measure contract adherence in practice</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Dispensations</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Recorded as contract-level exceptions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ADRs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Capture the decisions that underpin contract clauses</w:t>
            </w:r>
          </w:p>
        </w:tc>
      </w:tr>
      <w:tr>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Definition Document</w:t>
            </w:r>
          </w:p>
        </w:tc>
        <w:tc>
          <w:tcPr>
            <w:tcW w:type="dxa" w:w="6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Often incorporated by reference into the contract</w:t>
            </w:r>
          </w:p>
        </w:tc>
      </w:tr>
    </w:tbl>
    <w:p>
      <w:pPr>
        <w:pStyle w:val="Heading2"/>
        <w:spacing w:after="120" w:before="260"/>
      </w:pPr>
      <w:r>
        <w:t xml:space="preserve">10.9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Phase G Architecture Contract for the Claims Adjudication Service:</w:t>
            </w:r>
          </w:p>
          <w:p>
            <w:pPr>
              <w:spacing w:after="40" w:before="40" w:line="280"/>
            </w:pPr>
            <w:r>
              <w:t xml:space="preserve">Parties: Chief Architect (EA function) and Head of Delivery, Claims Platform Team.</w:t>
            </w:r>
          </w:p>
          <w:p>
            <w:pPr>
              <w:spacing w:after="40" w:before="40" w:line="280"/>
            </w:pPr>
            <w:r>
              <w:t xml:space="preserve">Scope: build, test, deploy, and operate the Adjudication Service for 18 months.</w:t>
            </w:r>
          </w:p>
          <w:p>
            <w:pPr>
              <w:spacing w:after="40" w:before="40" w:line="280"/>
            </w:pPr>
            <w:r>
              <w:t xml:space="preserve">Principles bound: PRIN-DATA-001 (Data as Asset), PRIN-APP-007 (Loosely Coupled), PRIN-SEC-003 (Secure by Design), PRIN-TECH-004 (Cloud-First).</w:t>
            </w:r>
          </w:p>
          <w:p>
            <w:pPr>
              <w:spacing w:after="40" w:before="40" w:line="280"/>
            </w:pPr>
            <w:r>
              <w:t xml:space="preserve">Conformance requirements:</w:t>
            </w:r>
          </w:p>
          <w:p>
            <w:pPr>
              <w:spacing w:after="40" w:before="40" w:line="280"/>
            </w:pPr>
            <w:r>
              <w:t xml:space="preserve">— All inter-service communication via enterprise API Gateway or Kafka.</w:t>
            </w:r>
          </w:p>
          <w:p>
            <w:pPr>
              <w:spacing w:after="40" w:before="40" w:line="280"/>
            </w:pPr>
            <w:r>
              <w:t xml:space="preserve">— Use of Party MDM for all Member references (no local copies).</w:t>
            </w:r>
          </w:p>
          <w:p>
            <w:pPr>
              <w:spacing w:after="40" w:before="40" w:line="280"/>
            </w:pPr>
            <w:r>
              <w:t xml:space="preserve">— Deployment on approved AKS cluster with standard tagging.</w:t>
            </w:r>
          </w:p>
          <w:p>
            <w:pPr>
              <w:spacing w:after="40" w:before="40" w:line="280"/>
            </w:pPr>
            <w:r>
              <w:t xml:space="preserve">— OAuth2 + mTLS for all service-to-service calls.</w:t>
            </w:r>
          </w:p>
          <w:p>
            <w:pPr>
              <w:spacing w:after="40" w:before="40" w:line="280"/>
            </w:pPr>
            <w:r>
              <w:t xml:space="preserve">— 99.95% availability SLO; RTO 4h, RPO 15m.</w:t>
            </w:r>
          </w:p>
          <w:p>
            <w:pPr>
              <w:spacing w:after="40" w:before="40" w:line="280"/>
            </w:pPr>
            <w:r>
              <w:t xml:space="preserve">— Monthly compliance review with Architecture Board.</w:t>
            </w:r>
          </w:p>
          <w:p>
            <w:pPr>
              <w:spacing w:after="40" w:before="40" w:line="280"/>
            </w:pPr>
            <w:r>
              <w:t xml:space="preserve">Deliverables by phase: API spec, data contracts, deployment runbooks, DR test report, security assessment.</w:t>
            </w:r>
          </w:p>
          <w:p>
            <w:pPr>
              <w:spacing w:after="40" w:before="40" w:line="280"/>
            </w:pPr>
            <w:r>
              <w:t xml:space="preserve">Signed 2026-02-24 by both parties; stored as AC-2026-003 in the Repository.</w:t>
            </w:r>
          </w:p>
          <w:p>
            <w:pPr>
              <w:spacing w:after="40" w:before="40" w:line="280"/>
            </w:pPr>
            <w:r>
              <w:t xml:space="preserve">Two dispensations granted during execution (DISP-2026-009, DISP-2026-017); both remediated before contract close.</w:t>
            </w:r>
          </w:p>
        </w:tc>
      </w:tr>
    </w:tbl>
    <w:p>
      <w:pPr>
        <w:pStyle w:val="Heading2"/>
        <w:spacing w:after="120" w:before="260"/>
      </w:pPr>
      <w:r>
        <w:t xml:space="preserve">10.10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Treating the SOW as optional — without a signed SOW, scope creep is inevitable.</w:t>
            </w:r>
          </w:p>
          <w:p>
            <w:pPr>
              <w:spacing w:after="40" w:before="40" w:line="280"/>
            </w:pPr>
            <w:r>
              <w:t xml:space="preserve">Writing contracts only for the project team — the contract between architecture and business users is easily forgotten.</w:t>
            </w:r>
          </w:p>
          <w:p>
            <w:pPr>
              <w:spacing w:after="40" w:before="40" w:line="280"/>
            </w:pPr>
            <w:r>
              <w:t xml:space="preserve">Vague conformance requirements — "be compliant" is not a commitment; specific, testable clauses are.</w:t>
            </w:r>
          </w:p>
          <w:p>
            <w:pPr>
              <w:spacing w:after="40" w:before="40" w:line="280"/>
            </w:pPr>
            <w:r>
              <w:t xml:space="preserve">Failing to align contracts with principles — a contract that contradicts a principle is effectively an unnoticed dispensation.</w:t>
            </w:r>
          </w:p>
          <w:p>
            <w:pPr>
              <w:spacing w:after="40" w:before="40" w:line="280"/>
            </w:pPr>
            <w:r>
              <w:t xml:space="preserve">Signed and filed, never monitored — contracts without compliance review become paper.</w:t>
            </w:r>
          </w:p>
        </w:tc>
      </w:tr>
    </w:tbl>
    <w:p>
      <w:pPr>
        <w:pStyle w:val="Heading1"/>
        <w:pageBreakBefore/>
        <w:spacing w:after="180" w:before="360"/>
      </w:pPr>
      <w:r>
        <w:t xml:space="preserve">Quick-Reference Summary</w:t>
      </w:r>
    </w:p>
    <w:p>
      <w:pPr>
        <w:pStyle w:val="Heading2"/>
        <w:spacing w:after="120" w:before="260"/>
      </w:pPr>
      <w:r>
        <w:t xml:space="preserve">Governance Topics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Topic</w:t>
            </w:r>
          </w:p>
        </w:tc>
        <w:tc>
          <w:tcPr>
            <w:tcW w:type="dxa" w:w="4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Core Idea</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Artifact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 Overview</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Discipline, Transparency, Independence, Accountability, Responsibility, Fairness</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Governance Framework</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Board</w:t>
            </w:r>
          </w:p>
        </w:tc>
        <w:tc>
          <w:tcPr>
            <w:tcW w:type="dxa" w:w="4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Cross-functional body empowered to govern architecture</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Board charter, decision log</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Reviews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 levels: Irrelevant → Consistent → Compliant → Conformant → Fully Conformant; Non-conformant</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Review Report</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Dispensations</w:t>
            </w:r>
          </w:p>
        </w:tc>
        <w:tc>
          <w:tcPr>
            <w:tcW w:type="dxa" w:w="4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Time-bound permission to deviate, with remediation plan</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Dispensation Record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Principles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Enduring rules; Name/Statement/Rationale/Implications</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Principle Catalog</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Repository</w:t>
            </w:r>
          </w:p>
        </w:tc>
        <w:tc>
          <w:tcPr>
            <w:tcW w:type="dxa" w:w="4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Structured store of metamodel, capability, landscape, SIB, reference, governance log, requirements, solutions</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Repository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Maturity (ACMM)</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 levels (0 None → 5 Measured), 9 characteristics</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Maturity Assessment Report</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Framework Integration</w:t>
            </w:r>
          </w:p>
        </w:tc>
        <w:tc>
          <w:tcPr>
            <w:tcW w:type="dxa" w:w="4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COBIT, ITIL, PRINCE2/PMBOK, SAFe, ISO 27001/42010</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Integrated Governance Map</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ADRs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One decision, immutable, Nygard template</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ADR (in Git or Repository)</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Contracts</w:t>
            </w:r>
          </w:p>
        </w:tc>
        <w:tc>
          <w:tcPr>
            <w:tcW w:type="dxa" w:w="4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 types: SOW; Arch–Dev; Arch–Business Users</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Contract</w:t>
            </w:r>
          </w:p>
        </w:tc>
      </w:tr>
    </w:tbl>
    <w:p>
      <w:pPr>
        <w:pStyle w:val="Heading2"/>
        <w:spacing w:after="120" w:before="260"/>
      </w:pPr>
      <w:r>
        <w:t xml:space="preserve">Memorize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Governance characteristics: Discipline, Transparency, Independence, Accountability, Responsibility, Fairness. Mnemonic: "DTIARF" — or remember it as "Six pillars."</w:t>
            </w:r>
          </w:p>
          <w:p>
            <w:pPr>
              <w:spacing w:after="40" w:before="40" w:line="280"/>
            </w:pPr>
            <w:r>
              <w:t xml:space="preserve">Compliance levels (weakest → strongest, excluding failure): Irrelevant, Consistent, Compliant, Conformant, Fully Conformant. Non-conformant is the failure state.</w:t>
            </w:r>
          </w:p>
          <w:p>
            <w:pPr>
              <w:spacing w:after="40" w:before="40" w:line="280"/>
            </w:pPr>
            <w:r>
              <w:t xml:space="preserve">Principle template: Name — Statement — Rationale — Implications. Four parts, always.</w:t>
            </w:r>
          </w:p>
          <w:p>
            <w:pPr>
              <w:spacing w:after="40" w:before="40" w:line="280"/>
            </w:pPr>
            <w:r>
              <w:t xml:space="preserve">Principle qualities: Understandable, Robust, Complete, Consistent, Stable.</w:t>
            </w:r>
          </w:p>
          <w:p>
            <w:pPr>
              <w:spacing w:after="40" w:before="40" w:line="280"/>
            </w:pPr>
            <w:r>
              <w:t xml:space="preserve">ACMM levels: 0 None, 1 Initial, 2 Under Development, 3 Defined, 4 Managed, 5 Measured (Optimizing).</w:t>
            </w:r>
          </w:p>
          <w:p>
            <w:pPr>
              <w:spacing w:after="40" w:before="40" w:line="280"/>
            </w:pPr>
            <w:r>
              <w:t xml:space="preserve">Architecture Contracts: 3 types — (1) Statement of Architecture Work, (2) Architecture–Development, (3) Architecture–Business Users.</w:t>
            </w:r>
          </w:p>
          <w:p>
            <w:pPr>
              <w:spacing w:after="40" w:before="40" w:line="280"/>
            </w:pPr>
            <w:r>
              <w:t xml:space="preserve">Repository classes: Metamodel, Capability, Landscape, Standards Information Base, Reference Library, Governance Log, Requirements Repository, Solutions Landscape.</w:t>
            </w:r>
          </w:p>
          <w:p>
            <w:pPr>
              <w:spacing w:after="40" w:before="40" w:line="280"/>
            </w:pPr>
            <w:r>
              <w:t xml:space="preserve">Landscape levels: Strategic, Segment, Capability.</w:t>
            </w:r>
          </w:p>
        </w:tc>
      </w:tr>
    </w:tbl>
    <w:p>
      <w:pPr>
        <w:pStyle w:val="Heading2"/>
        <w:spacing w:after="120" w:before="260"/>
      </w:pPr>
      <w:r>
        <w:t xml:space="preserve">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Confusing "Consistent" with "Compliant" — Consistent means the two have things in common but the implementation isn't constrained; Compliant means some features are implemented and nothing contradicts.</w:t>
            </w:r>
          </w:p>
          <w:p>
            <w:pPr>
              <w:spacing w:after="40" w:before="40" w:line="280"/>
            </w:pPr>
            <w:r>
              <w:t xml:space="preserve">Confusing "Conformant" with "Fully Conformant" — Conformant allows additional non-contradictory features; Fully Conformant is exact.</w:t>
            </w:r>
          </w:p>
          <w:p>
            <w:pPr>
              <w:spacing w:after="40" w:before="40" w:line="280"/>
            </w:pPr>
            <w:r>
              <w:t xml:space="preserve">Confusing governance with management — Governance decides WHAT; management decides HOW.</w:t>
            </w:r>
          </w:p>
          <w:p>
            <w:pPr>
              <w:spacing w:after="40" w:before="40" w:line="280"/>
            </w:pPr>
            <w:r>
              <w:t xml:space="preserve">Confusing principles with standards — principles are enduring (rarely change); standards are specific and updated regularly.</w:t>
            </w:r>
          </w:p>
          <w:p>
            <w:pPr>
              <w:spacing w:after="40" w:before="40" w:line="280"/>
            </w:pPr>
            <w:r>
              <w:t xml:space="preserve">Missing the three-contract answer — exam questions on contracts often require naming all three types.</w:t>
            </w:r>
          </w:p>
          <w:p>
            <w:pPr>
              <w:spacing w:after="40" w:before="40" w:line="280"/>
            </w:pPr>
            <w:r>
              <w:t xml:space="preserve">Forgetting the Enterprise Continuum has two sub-continua — Architecture and Solutions, each with four levels.</w:t>
            </w:r>
          </w:p>
          <w:p>
            <w:pPr>
              <w:spacing w:after="40" w:before="40" w:line="280"/>
            </w:pPr>
            <w:r>
              <w:t xml:space="preserve">Mixing up TRM and III-RM — TRM is Technology; III-RM is Application / Information infrastructure.</w:t>
            </w:r>
          </w:p>
        </w:tc>
      </w:tr>
    </w:tbl>
    <w:p>
      <w:pPr>
        <w:pStyle w:val="Heading2"/>
        <w:spacing w:after="120" w:before="260"/>
      </w:pPr>
      <w:r>
        <w:t xml:space="preserve">Practice Questions</w:t>
      </w:r>
    </w:p>
    <w:p>
      <w:pPr>
        <w:pStyle w:val="Heading3"/>
        <w:spacing w:after="100" w:before="200"/>
      </w:pPr>
      <w:r>
        <w:t xml:space="preserve">Q1</w:t>
      </w:r>
    </w:p>
    <w:p>
      <w:pPr>
        <w:spacing w:after="80" w:before="80" w:line="300"/>
        <w:jc w:val="both"/>
      </w:pPr>
      <w:r>
        <w:t xml:space="preserve">Which TOGAF compliance level indicates that all features of the architecture are implemented, but additional features have been added that do not contradict the architecture?</w:t>
      </w:r>
    </w:p>
    <w:p>
      <w:pPr>
        <w:pStyle w:val="ListParagraph"/>
        <w:numPr>
          <w:ilvl w:val="0"/>
          <w:numId w:val="2"/>
        </w:numPr>
        <w:spacing w:after="40" w:before="40" w:line="280"/>
      </w:pPr>
      <w:r>
        <w:t xml:space="preserve">A. Compliant</w:t>
      </w:r>
    </w:p>
    <w:p>
      <w:pPr>
        <w:pStyle w:val="ListParagraph"/>
        <w:numPr>
          <w:ilvl w:val="0"/>
          <w:numId w:val="2"/>
        </w:numPr>
        <w:spacing w:after="40" w:before="40" w:line="280"/>
      </w:pPr>
      <w:r>
        <w:t xml:space="preserve">B. Conformant</w:t>
      </w:r>
    </w:p>
    <w:p>
      <w:pPr>
        <w:pStyle w:val="ListParagraph"/>
        <w:numPr>
          <w:ilvl w:val="0"/>
          <w:numId w:val="2"/>
        </w:numPr>
        <w:spacing w:after="40" w:before="40" w:line="280"/>
      </w:pPr>
      <w:r>
        <w:t xml:space="preserve">C. Fully Conformant</w:t>
      </w:r>
    </w:p>
    <w:p>
      <w:pPr>
        <w:pStyle w:val="ListParagraph"/>
        <w:numPr>
          <w:ilvl w:val="0"/>
          <w:numId w:val="2"/>
        </w:numPr>
        <w:spacing w:after="40" w:before="40" w:line="280"/>
      </w:pPr>
      <w:r>
        <w:t xml:space="preserve">D. Consistent</w:t>
      </w:r>
    </w:p>
    <w:p>
      <w:pPr>
        <w:spacing w:after="80" w:before="80" w:line="300"/>
        <w:jc w:val="both"/>
      </w:pPr>
      <w:r>
        <w:t xml:space="preserve">Answer: B (Conformant).</w:t>
      </w:r>
    </w:p>
    <w:p>
      <w:pPr>
        <w:pStyle w:val="Heading3"/>
        <w:spacing w:after="100" w:before="200"/>
      </w:pPr>
      <w:r>
        <w:t xml:space="preserve">Q2</w:t>
      </w:r>
    </w:p>
    <w:p>
      <w:pPr>
        <w:spacing w:after="80" w:before="80" w:line="300"/>
        <w:jc w:val="both"/>
      </w:pPr>
      <w:r>
        <w:t xml:space="preserve">Which of the following is NOT one of the six characteristics of effective architecture governance?</w:t>
      </w:r>
    </w:p>
    <w:p>
      <w:pPr>
        <w:pStyle w:val="ListParagraph"/>
        <w:numPr>
          <w:ilvl w:val="0"/>
          <w:numId w:val="2"/>
        </w:numPr>
        <w:spacing w:after="40" w:before="40" w:line="280"/>
      </w:pPr>
      <w:r>
        <w:t xml:space="preserve">A. Discipline</w:t>
      </w:r>
    </w:p>
    <w:p>
      <w:pPr>
        <w:pStyle w:val="ListParagraph"/>
        <w:numPr>
          <w:ilvl w:val="0"/>
          <w:numId w:val="2"/>
        </w:numPr>
        <w:spacing w:after="40" w:before="40" w:line="280"/>
      </w:pPr>
      <w:r>
        <w:t xml:space="preserve">B. Transparency</w:t>
      </w:r>
    </w:p>
    <w:p>
      <w:pPr>
        <w:pStyle w:val="ListParagraph"/>
        <w:numPr>
          <w:ilvl w:val="0"/>
          <w:numId w:val="2"/>
        </w:numPr>
        <w:spacing w:after="40" w:before="40" w:line="280"/>
      </w:pPr>
      <w:r>
        <w:t xml:space="preserve">C. Profitability</w:t>
      </w:r>
    </w:p>
    <w:p>
      <w:pPr>
        <w:pStyle w:val="ListParagraph"/>
        <w:numPr>
          <w:ilvl w:val="0"/>
          <w:numId w:val="2"/>
        </w:numPr>
        <w:spacing w:after="40" w:before="40" w:line="280"/>
      </w:pPr>
      <w:r>
        <w:t xml:space="preserve">D. Accountability</w:t>
      </w:r>
    </w:p>
    <w:p>
      <w:pPr>
        <w:spacing w:after="80" w:before="80" w:line="300"/>
        <w:jc w:val="both"/>
      </w:pPr>
      <w:r>
        <w:t xml:space="preserve">Answer: C. The six are Discipline, Transparency, Independence, Accountability, Responsibility, Fairness.</w:t>
      </w:r>
    </w:p>
    <w:p>
      <w:pPr>
        <w:pStyle w:val="Heading3"/>
        <w:spacing w:after="100" w:before="200"/>
      </w:pPr>
      <w:r>
        <w:t xml:space="preserve">Q3</w:t>
      </w:r>
    </w:p>
    <w:p>
      <w:pPr>
        <w:spacing w:after="80" w:before="80" w:line="300"/>
        <w:jc w:val="both"/>
      </w:pPr>
      <w:r>
        <w:t xml:space="preserve">A project requests permission to deploy on-premises despite a Cloud-First principle. The Architecture Board grants permission with a fixed expiry and remediation plan. What is this?</w:t>
      </w:r>
    </w:p>
    <w:p>
      <w:pPr>
        <w:pStyle w:val="ListParagraph"/>
        <w:numPr>
          <w:ilvl w:val="0"/>
          <w:numId w:val="2"/>
        </w:numPr>
        <w:spacing w:after="40" w:before="40" w:line="280"/>
      </w:pPr>
      <w:r>
        <w:t xml:space="preserve">A. An Architecture Contract</w:t>
      </w:r>
    </w:p>
    <w:p>
      <w:pPr>
        <w:pStyle w:val="ListParagraph"/>
        <w:numPr>
          <w:ilvl w:val="0"/>
          <w:numId w:val="2"/>
        </w:numPr>
        <w:spacing w:after="40" w:before="40" w:line="280"/>
      </w:pPr>
      <w:r>
        <w:t xml:space="preserve">B. A Dispensation</w:t>
      </w:r>
    </w:p>
    <w:p>
      <w:pPr>
        <w:pStyle w:val="ListParagraph"/>
        <w:numPr>
          <w:ilvl w:val="0"/>
          <w:numId w:val="2"/>
        </w:numPr>
        <w:spacing w:after="40" w:before="40" w:line="280"/>
      </w:pPr>
      <w:r>
        <w:t xml:space="preserve">C. A Compliance Review</w:t>
      </w:r>
    </w:p>
    <w:p>
      <w:pPr>
        <w:pStyle w:val="ListParagraph"/>
        <w:numPr>
          <w:ilvl w:val="0"/>
          <w:numId w:val="2"/>
        </w:numPr>
        <w:spacing w:after="40" w:before="40" w:line="280"/>
      </w:pPr>
      <w:r>
        <w:t xml:space="preserve">D. A Principle Amendment</w:t>
      </w:r>
    </w:p>
    <w:p>
      <w:pPr>
        <w:spacing w:after="80" w:before="80" w:line="300"/>
        <w:jc w:val="both"/>
      </w:pPr>
      <w:r>
        <w:t xml:space="preserve">Answer: B (Dispensation).</w:t>
      </w:r>
    </w:p>
    <w:p>
      <w:pPr>
        <w:pStyle w:val="Heading3"/>
        <w:spacing w:after="100" w:before="200"/>
      </w:pPr>
      <w:r>
        <w:t xml:space="preserve">Q4</w:t>
      </w:r>
    </w:p>
    <w:p>
      <w:pPr>
        <w:spacing w:after="80" w:before="80" w:line="300"/>
        <w:jc w:val="both"/>
      </w:pPr>
      <w:r>
        <w:t xml:space="preserve">Which of the following is a class of content in the Architecture Repository?</w:t>
      </w:r>
    </w:p>
    <w:p>
      <w:pPr>
        <w:pStyle w:val="ListParagraph"/>
        <w:numPr>
          <w:ilvl w:val="0"/>
          <w:numId w:val="2"/>
        </w:numPr>
        <w:spacing w:after="40" w:before="40" w:line="280"/>
      </w:pPr>
      <w:r>
        <w:t xml:space="preserve">A. Source code repository</w:t>
      </w:r>
    </w:p>
    <w:p>
      <w:pPr>
        <w:pStyle w:val="ListParagraph"/>
        <w:numPr>
          <w:ilvl w:val="0"/>
          <w:numId w:val="2"/>
        </w:numPr>
        <w:spacing w:after="40" w:before="40" w:line="280"/>
      </w:pPr>
      <w:r>
        <w:t xml:space="preserve">B. Standards Information Base</w:t>
      </w:r>
    </w:p>
    <w:p>
      <w:pPr>
        <w:pStyle w:val="ListParagraph"/>
        <w:numPr>
          <w:ilvl w:val="0"/>
          <w:numId w:val="2"/>
        </w:numPr>
        <w:spacing w:after="40" w:before="40" w:line="280"/>
      </w:pPr>
      <w:r>
        <w:t xml:space="preserve">C. CI/CD pipeline</w:t>
      </w:r>
    </w:p>
    <w:p>
      <w:pPr>
        <w:pStyle w:val="ListParagraph"/>
        <w:numPr>
          <w:ilvl w:val="0"/>
          <w:numId w:val="2"/>
        </w:numPr>
        <w:spacing w:after="40" w:before="40" w:line="280"/>
      </w:pPr>
      <w:r>
        <w:t xml:space="preserve">D. Product backlog</w:t>
      </w:r>
    </w:p>
    <w:p>
      <w:pPr>
        <w:spacing w:after="80" w:before="80" w:line="300"/>
        <w:jc w:val="both"/>
      </w:pPr>
      <w:r>
        <w:t xml:space="preserve">Answer: B (Standards Information Base).</w:t>
      </w:r>
    </w:p>
    <w:p>
      <w:pPr>
        <w:pStyle w:val="Heading3"/>
        <w:spacing w:after="100" w:before="200"/>
      </w:pPr>
      <w:r>
        <w:t xml:space="preserve">Q5</w:t>
      </w:r>
    </w:p>
    <w:p>
      <w:pPr>
        <w:spacing w:after="80" w:before="80" w:line="300"/>
        <w:jc w:val="both"/>
      </w:pPr>
      <w:r>
        <w:t xml:space="preserve">What is the correct order of ACMM maturity levels from lowest to highest?</w:t>
      </w:r>
    </w:p>
    <w:p>
      <w:pPr>
        <w:pStyle w:val="ListParagraph"/>
        <w:numPr>
          <w:ilvl w:val="0"/>
          <w:numId w:val="2"/>
        </w:numPr>
        <w:spacing w:after="40" w:before="40" w:line="280"/>
      </w:pPr>
      <w:r>
        <w:t xml:space="preserve">A. Initial, Under Development, Defined, Managed, Measured</w:t>
      </w:r>
    </w:p>
    <w:p>
      <w:pPr>
        <w:pStyle w:val="ListParagraph"/>
        <w:numPr>
          <w:ilvl w:val="0"/>
          <w:numId w:val="2"/>
        </w:numPr>
        <w:spacing w:after="40" w:before="40" w:line="280"/>
      </w:pPr>
      <w:r>
        <w:t xml:space="preserve">B. None, Initial, Under Development, Defined, Managed, Measured</w:t>
      </w:r>
    </w:p>
    <w:p>
      <w:pPr>
        <w:pStyle w:val="ListParagraph"/>
        <w:numPr>
          <w:ilvl w:val="0"/>
          <w:numId w:val="2"/>
        </w:numPr>
        <w:spacing w:after="40" w:before="40" w:line="280"/>
      </w:pPr>
      <w:r>
        <w:t xml:space="preserve">C. None, Under Development, Initial, Managed, Defined, Measured</w:t>
      </w:r>
    </w:p>
    <w:p>
      <w:pPr>
        <w:pStyle w:val="ListParagraph"/>
        <w:numPr>
          <w:ilvl w:val="0"/>
          <w:numId w:val="2"/>
        </w:numPr>
        <w:spacing w:after="40" w:before="40" w:line="280"/>
      </w:pPr>
      <w:r>
        <w:t xml:space="preserve">D. Initial, Defined, Managed, Measured, Optimized</w:t>
      </w:r>
    </w:p>
    <w:p>
      <w:pPr>
        <w:spacing w:after="80" w:before="80" w:line="300"/>
        <w:jc w:val="both"/>
      </w:pPr>
      <w:r>
        <w:t xml:space="preserve">Answer: B. Levels 0–5 are None, Initial, Under Development, Defined, Managed, Measured (Optimizing).</w:t>
      </w:r>
    </w:p>
    <w:p>
      <w:pPr>
        <w:pStyle w:val="Heading3"/>
        <w:spacing w:after="100" w:before="200"/>
      </w:pPr>
      <w:r>
        <w:t xml:space="preserve">Q6</w:t>
      </w:r>
    </w:p>
    <w:p>
      <w:pPr>
        <w:spacing w:after="80" w:before="80" w:line="300"/>
        <w:jc w:val="both"/>
      </w:pPr>
      <w:r>
        <w:t xml:space="preserve">How many Architecture Contracts does TOGAF identify, and between whom?</w:t>
      </w:r>
    </w:p>
    <w:p>
      <w:pPr>
        <w:pStyle w:val="ListParagraph"/>
        <w:numPr>
          <w:ilvl w:val="0"/>
          <w:numId w:val="2"/>
        </w:numPr>
        <w:spacing w:after="40" w:before="40" w:line="280"/>
      </w:pPr>
      <w:r>
        <w:t xml:space="preserve">A. 1 — between Architect and Business</w:t>
      </w:r>
    </w:p>
    <w:p>
      <w:pPr>
        <w:pStyle w:val="ListParagraph"/>
        <w:numPr>
          <w:ilvl w:val="0"/>
          <w:numId w:val="2"/>
        </w:numPr>
        <w:spacing w:after="40" w:before="40" w:line="280"/>
      </w:pPr>
      <w:r>
        <w:t xml:space="preserve">B. 2 — SOW and Architecture–Development</w:t>
      </w:r>
    </w:p>
    <w:p>
      <w:pPr>
        <w:pStyle w:val="ListParagraph"/>
        <w:numPr>
          <w:ilvl w:val="0"/>
          <w:numId w:val="2"/>
        </w:numPr>
        <w:spacing w:after="40" w:before="40" w:line="280"/>
      </w:pPr>
      <w:r>
        <w:t xml:space="preserve">C. 3 — SOW, Architecture–Development, Architecture–Business Users</w:t>
      </w:r>
    </w:p>
    <w:p>
      <w:pPr>
        <w:pStyle w:val="ListParagraph"/>
        <w:numPr>
          <w:ilvl w:val="0"/>
          <w:numId w:val="2"/>
        </w:numPr>
        <w:spacing w:after="40" w:before="40" w:line="280"/>
      </w:pPr>
      <w:r>
        <w:t xml:space="preserve">D. 4 — one per ADM phase in Phase G</w:t>
      </w:r>
    </w:p>
    <w:p>
      <w:pPr>
        <w:spacing w:after="80" w:before="80" w:line="300"/>
        <w:jc w:val="both"/>
      </w:pPr>
      <w:r>
        <w:t xml:space="preserve">Answer: C (three contracts).</w:t>
      </w:r>
    </w:p>
    <w:p>
      <w:pPr>
        <w:pStyle w:val="Heading3"/>
        <w:spacing w:after="100" w:before="200"/>
      </w:pPr>
      <w:r>
        <w:t xml:space="preserve">Q7</w:t>
      </w:r>
    </w:p>
    <w:p>
      <w:pPr>
        <w:spacing w:after="80" w:before="80" w:line="300"/>
        <w:jc w:val="both"/>
      </w:pPr>
      <w:r>
        <w:t xml:space="preserve">Which of these is the best definition of an Architecture Principle?</w:t>
      </w:r>
    </w:p>
    <w:p>
      <w:pPr>
        <w:pStyle w:val="ListParagraph"/>
        <w:numPr>
          <w:ilvl w:val="0"/>
          <w:numId w:val="2"/>
        </w:numPr>
        <w:spacing w:after="40" w:before="40" w:line="280"/>
      </w:pPr>
      <w:r>
        <w:t xml:space="preserve">A. A product selection for an infrastructure layer</w:t>
      </w:r>
    </w:p>
    <w:p>
      <w:pPr>
        <w:pStyle w:val="ListParagraph"/>
        <w:numPr>
          <w:ilvl w:val="0"/>
          <w:numId w:val="2"/>
        </w:numPr>
        <w:spacing w:after="40" w:before="40" w:line="280"/>
      </w:pPr>
      <w:r>
        <w:t xml:space="preserve">B. A general rule or guideline, intended to be enduring and seldom amended, that informs the way the enterprise fulfills its mission</w:t>
      </w:r>
    </w:p>
    <w:p>
      <w:pPr>
        <w:pStyle w:val="ListParagraph"/>
        <w:numPr>
          <w:ilvl w:val="0"/>
          <w:numId w:val="2"/>
        </w:numPr>
        <w:spacing w:after="40" w:before="40" w:line="280"/>
      </w:pPr>
      <w:r>
        <w:t xml:space="preserve">C. A detailed design pattern for a specific application</w:t>
      </w:r>
    </w:p>
    <w:p>
      <w:pPr>
        <w:pStyle w:val="ListParagraph"/>
        <w:numPr>
          <w:ilvl w:val="0"/>
          <w:numId w:val="2"/>
        </w:numPr>
        <w:spacing w:after="40" w:before="40" w:line="280"/>
      </w:pPr>
      <w:r>
        <w:t xml:space="preserve">D. A regulatory obligation imposed by law</w:t>
      </w:r>
    </w:p>
    <w:p>
      <w:pPr>
        <w:spacing w:after="80" w:before="80" w:line="300"/>
        <w:jc w:val="both"/>
      </w:pPr>
      <w:r>
        <w:t xml:space="preserve">Answer: B.</w:t>
      </w:r>
    </w:p>
    <w:p>
      <w:pPr>
        <w:pStyle w:val="Heading3"/>
        <w:spacing w:after="100" w:before="200"/>
      </w:pPr>
      <w:r>
        <w:t xml:space="preserve">Q8</w:t>
      </w:r>
    </w:p>
    <w:p>
      <w:pPr>
        <w:spacing w:after="80" w:before="80" w:line="300"/>
        <w:jc w:val="both"/>
      </w:pPr>
      <w:r>
        <w:t xml:space="preserve">An ADR has been accepted and is now out of date. What should be done?</w:t>
      </w:r>
    </w:p>
    <w:p>
      <w:pPr>
        <w:pStyle w:val="ListParagraph"/>
        <w:numPr>
          <w:ilvl w:val="0"/>
          <w:numId w:val="2"/>
        </w:numPr>
        <w:spacing w:after="40" w:before="40" w:line="280"/>
      </w:pPr>
      <w:r>
        <w:t xml:space="preserve">A. Edit the ADR to reflect the new reality</w:t>
      </w:r>
    </w:p>
    <w:p>
      <w:pPr>
        <w:pStyle w:val="ListParagraph"/>
        <w:numPr>
          <w:ilvl w:val="0"/>
          <w:numId w:val="2"/>
        </w:numPr>
        <w:spacing w:after="40" w:before="40" w:line="280"/>
      </w:pPr>
      <w:r>
        <w:t xml:space="preserve">B. Delete the ADR</w:t>
      </w:r>
    </w:p>
    <w:p>
      <w:pPr>
        <w:pStyle w:val="ListParagraph"/>
        <w:numPr>
          <w:ilvl w:val="0"/>
          <w:numId w:val="2"/>
        </w:numPr>
        <w:spacing w:after="40" w:before="40" w:line="280"/>
      </w:pPr>
      <w:r>
        <w:t xml:space="preserve">C. Write a new ADR with status "Accepted" and mark the old one "Superseded by ADR-NNNN"</w:t>
      </w:r>
    </w:p>
    <w:p>
      <w:pPr>
        <w:pStyle w:val="ListParagraph"/>
        <w:numPr>
          <w:ilvl w:val="0"/>
          <w:numId w:val="2"/>
        </w:numPr>
        <w:spacing w:after="40" w:before="40" w:line="280"/>
      </w:pPr>
      <w:r>
        <w:t xml:space="preserve">D. Mark the old ADR as "Proposed" again</w:t>
      </w:r>
    </w:p>
    <w:p>
      <w:pPr>
        <w:spacing w:after="80" w:before="80" w:line="300"/>
        <w:jc w:val="both"/>
      </w:pPr>
      <w:r>
        <w:t xml:space="preserve">Answer: C. Never edit an accepted ADR; always supersede.</w:t>
      </w:r>
    </w:p>
    <w:p>
      <w:pPr>
        <w:pStyle w:val="Heading3"/>
        <w:spacing w:after="100" w:before="200"/>
      </w:pPr>
      <w:r>
        <w:t xml:space="preserve">Q9</w:t>
      </w:r>
    </w:p>
    <w:p>
      <w:pPr>
        <w:spacing w:after="80" w:before="80" w:line="300"/>
        <w:jc w:val="both"/>
      </w:pPr>
      <w:r>
        <w:t xml:space="preserve">Which element is NOT part of the standard four-part principle template?</w:t>
      </w:r>
    </w:p>
    <w:p>
      <w:pPr>
        <w:pStyle w:val="ListParagraph"/>
        <w:numPr>
          <w:ilvl w:val="0"/>
          <w:numId w:val="2"/>
        </w:numPr>
        <w:spacing w:after="40" w:before="40" w:line="280"/>
      </w:pPr>
      <w:r>
        <w:t xml:space="preserve">A. Name</w:t>
      </w:r>
    </w:p>
    <w:p>
      <w:pPr>
        <w:pStyle w:val="ListParagraph"/>
        <w:numPr>
          <w:ilvl w:val="0"/>
          <w:numId w:val="2"/>
        </w:numPr>
        <w:spacing w:after="40" w:before="40" w:line="280"/>
      </w:pPr>
      <w:r>
        <w:t xml:space="preserve">B. Statement</w:t>
      </w:r>
    </w:p>
    <w:p>
      <w:pPr>
        <w:pStyle w:val="ListParagraph"/>
        <w:numPr>
          <w:ilvl w:val="0"/>
          <w:numId w:val="2"/>
        </w:numPr>
        <w:spacing w:after="40" w:before="40" w:line="280"/>
      </w:pPr>
      <w:r>
        <w:t xml:space="preserve">C. Rationale</w:t>
      </w:r>
    </w:p>
    <w:p>
      <w:pPr>
        <w:pStyle w:val="ListParagraph"/>
        <w:numPr>
          <w:ilvl w:val="0"/>
          <w:numId w:val="2"/>
        </w:numPr>
        <w:spacing w:after="40" w:before="40" w:line="280"/>
      </w:pPr>
      <w:r>
        <w:t xml:space="preserve">D. Responsibility Assignment</w:t>
      </w:r>
    </w:p>
    <w:p>
      <w:pPr>
        <w:spacing w:after="80" w:before="80" w:line="300"/>
        <w:jc w:val="both"/>
      </w:pPr>
      <w:r>
        <w:t xml:space="preserve">Answer: D. The four parts are Name, Statement, Rationale, Implications.</w:t>
      </w:r>
    </w:p>
    <w:p>
      <w:pPr>
        <w:pStyle w:val="Heading3"/>
        <w:spacing w:after="100" w:before="200"/>
      </w:pPr>
      <w:r>
        <w:t xml:space="preserve">Q10</w:t>
      </w:r>
    </w:p>
    <w:p>
      <w:pPr>
        <w:spacing w:after="80" w:before="80" w:line="300"/>
        <w:jc w:val="both"/>
      </w:pPr>
      <w:r>
        <w:t xml:space="preserve">What is the primary difference between an Architecture Building Block (ABB) and a Solution Building Block (SBB)?</w:t>
      </w:r>
    </w:p>
    <w:p>
      <w:pPr>
        <w:pStyle w:val="ListParagraph"/>
        <w:numPr>
          <w:ilvl w:val="0"/>
          <w:numId w:val="2"/>
        </w:numPr>
        <w:spacing w:after="40" w:before="40" w:line="280"/>
      </w:pPr>
      <w:r>
        <w:t xml:space="preserve">A. ABBs are owned by vendors; SBBs are owned by the enterprise</w:t>
      </w:r>
    </w:p>
    <w:p>
      <w:pPr>
        <w:pStyle w:val="ListParagraph"/>
        <w:numPr>
          <w:ilvl w:val="0"/>
          <w:numId w:val="2"/>
        </w:numPr>
        <w:spacing w:after="40" w:before="40" w:line="280"/>
      </w:pPr>
      <w:r>
        <w:t xml:space="preserve">B. ABBs describe required capability (logical); SBBs realize that capability (physical / product)</w:t>
      </w:r>
    </w:p>
    <w:p>
      <w:pPr>
        <w:pStyle w:val="ListParagraph"/>
        <w:numPr>
          <w:ilvl w:val="0"/>
          <w:numId w:val="2"/>
        </w:numPr>
        <w:spacing w:after="40" w:before="40" w:line="280"/>
      </w:pPr>
      <w:r>
        <w:t xml:space="preserve">C. ABBs are for Business Architecture; SBBs are for Technology</w:t>
      </w:r>
    </w:p>
    <w:p>
      <w:pPr>
        <w:pStyle w:val="ListParagraph"/>
        <w:numPr>
          <w:ilvl w:val="0"/>
          <w:numId w:val="2"/>
        </w:numPr>
        <w:spacing w:after="40" w:before="40" w:line="280"/>
      </w:pPr>
      <w:r>
        <w:t xml:space="preserve">D. They are synonyms</w:t>
      </w:r>
    </w:p>
    <w:p>
      <w:pPr>
        <w:spacing w:after="80" w:before="80" w:line="300"/>
        <w:jc w:val="both"/>
      </w:pPr>
      <w:r>
        <w:t xml:space="preserve">Answer: B.</w:t>
      </w:r>
    </w:p>
    <w:p>
      <w:pPr>
        <w:pStyle w:val="Heading2"/>
        <w:spacing w:after="120" w:before="260"/>
      </w:pPr>
      <w:r>
        <w:t xml:space="preserve">The One-Paragraph Summary</w:t>
      </w:r>
    </w:p>
    <w:p>
      <w:pPr>
        <w:spacing w:after="80" w:before="80" w:line="300"/>
        <w:jc w:val="both"/>
      </w:pPr>
      <w:r>
        <w:t xml:space="preserve">Architecture Governance is the control system of Enterprise Architecture: the Architecture Board approves and enforces; Principles provide enduring direction; the Standards Information Base supplies enforceable criteria; Compliance Reviews test conformance at known checkpoints with six defined levels; Dispensations permit controlled, time-bound deviation; Architecture Decision Records capture the rationale of significant choices; Architecture Contracts bind parties to deliver as agreed; the Repository preserves everything in structured, versioned, findable form; and the Maturity Model measures progress and points the direction of next investment — all integrated with corporate, IT, risk, security, service, and project governance so that the enterprise is governed once, not many times.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Architecture Governance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Architecture Governance Study Guide</dc:title>
  <dc:creator>Claude</dc:creator>
  <dc:description>A comprehensive study guide covering Architecture Governance in TOGAF 10.</dc:description>
  <cp:lastModifiedBy>Un-named</cp:lastModifiedBy>
  <cp:revision>1</cp:revision>
  <dcterms:created xsi:type="dcterms:W3CDTF">2026-04-20T10:12:09.868Z</dcterms:created>
  <dcterms:modified xsi:type="dcterms:W3CDTF">2026-04-20T10:12:09.869Z</dcterms:modified>
</cp:coreProperties>
</file>

<file path=docProps/custom.xml><?xml version="1.0" encoding="utf-8"?>
<Properties xmlns="http://schemas.openxmlformats.org/officeDocument/2006/custom-properties" xmlns:vt="http://schemas.openxmlformats.org/officeDocument/2006/docPropsVTypes"/>
</file>