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4"/>
          <w:szCs w:val="44"/>
        </w:rPr>
        <w:t xml:space="preserve">The Enterprise Continuum</w:t>
      </w:r>
    </w:p>
    <w:p>
      <w:pPr>
        <w:spacing w:after="120" w:before="120"/>
        <w:jc w:val="center"/>
      </w:pPr>
      <w:r>
        <w:rPr>
          <w:i/>
          <w:iCs/>
          <w:color w:val="555555"/>
          <w:sz w:val="26"/>
          <w:szCs w:val="26"/>
        </w:rPr>
        <w:t xml:space="preserve">From Generic Foundation to Organization-Specific Implementation</w:t>
      </w:r>
    </w:p>
    <w:p>
      <w:pPr>
        <w:spacing w:after="600" w:before="480"/>
        <w:jc w:val="center"/>
      </w:pPr>
      <w:r>
        <w:rPr>
          <w:i/>
          <w:iCs/>
          <w:color w:val="555555"/>
          <w:sz w:val="32"/>
          <w:szCs w:val="32"/>
        </w:rPr>
        <w:t xml:space="preserve">Comprehensive Study Guide</w:t>
      </w:r>
    </w:p>
    <w:p>
      <w:pPr>
        <w:spacing w:after="120" w:before="2400"/>
        <w:jc w:val="center"/>
      </w:pPr>
      <w:r>
        <w:rPr>
          <w:i/>
          <w:iCs/>
          <w:color w:val="555555"/>
          <w:sz w:val="22"/>
          <w:szCs w:val="22"/>
        </w:rPr>
        <w:t xml:space="preserve">A deep-dive into the Architecture Continuum, the Solutions Continuum, Building Blocks, the Repository, and how reuse drives enterprise value.</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1. Enterprise Continuum — Overview</w:t>
      </w:r>
    </w:p>
    <w:p>
      <w:pPr>
        <w:pStyle w:val="Heading2"/>
        <w:spacing w:after="120" w:before="260"/>
      </w:pPr>
      <w:r>
        <w:t xml:space="preserve">1.1 What Is the Enterprise Continuum?</w:t>
      </w:r>
    </w:p>
    <w:p>
      <w:pPr>
        <w:spacing w:after="80" w:before="80" w:line="300"/>
        <w:jc w:val="both"/>
      </w:pPr>
      <w:r>
        <w:t xml:space="preserve">The Enterprise Continuum is TOGAF's classification mechanism for organizing and relating architecture and solution artifacts. It provides architects with a shared model for describing how any given artifact — a principle, a reference architecture, a building block, a deployed system — relates to every other artifact in terms of how specific or generic it is, how widely applicable it is, and how much of it is reusable across contexts.</w:t>
      </w:r>
    </w:p>
    <w:p>
      <w:pPr>
        <w:spacing w:after="80" w:before="80" w:line="300"/>
        <w:jc w:val="both"/>
      </w:pPr>
      <w:r>
        <w:t xml:space="preserve">The Continuum is not itself a repository or a tool — it is a conceptual taxonomy. However, it provides the intellectual backbone for the physical Architecture Repository, defining how content should be classified, where it fits in the generic-to-specific spectrum, and how it can be moved between contexts through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Enterprise Continuum is not a single linear model — it is composed of TWO parallel continuums that mirror each other:</w:t>
            </w:r>
          </w:p>
          <w:p>
            <w:pPr>
              <w:spacing w:after="40" w:before="40" w:line="280"/>
            </w:pPr>
            <w:r>
              <w:t xml:space="preserve">• The ARCHITECTURE Continuum — abstract descriptions of capability and structure.</w:t>
            </w:r>
          </w:p>
          <w:p>
            <w:pPr>
              <w:spacing w:after="40" w:before="40" w:line="280"/>
            </w:pPr>
            <w:r>
              <w:t xml:space="preserve">• The SOLUTIONS Continuum — concrete implementations that realize those architectures.</w:t>
            </w:r>
          </w:p>
          <w:p>
            <w:pPr>
              <w:spacing w:after="40" w:before="40" w:line="280"/>
            </w:pPr>
            <w:r>
              <w:t xml:space="preserve">The two continuums run side by side, from fully GENERIC (applicable to any enterprise) to fully ORGANIZATION-SPECIFIC (unique to this enterprise).</w:t>
            </w:r>
          </w:p>
        </w:tc>
      </w:tr>
    </w:tbl>
    <w:p>
      <w:pPr>
        <w:pStyle w:val="Heading2"/>
        <w:spacing w:after="120" w:before="260"/>
      </w:pPr>
      <w:r>
        <w:t xml:space="preserve">1.2 Why the Continuum Matters</w:t>
      </w:r>
    </w:p>
    <w:p>
      <w:pPr>
        <w:spacing w:after="80" w:before="80" w:line="300"/>
        <w:jc w:val="both"/>
      </w:pPr>
      <w:r>
        <w:t xml:space="preserve">Enterprise architects face a recurring problem: should we design this from scratch, reuse something from another part of the organization, adopt an industry standard, or buy a commercial product? The Enterprise Continuum gives architects a structured way to answer that question. By classifying every asset on the continuum, architects can:</w:t>
      </w:r>
    </w:p>
    <w:p>
      <w:pPr>
        <w:pStyle w:val="ListParagraph"/>
        <w:numPr>
          <w:ilvl w:val="0"/>
          <w:numId w:val="2"/>
        </w:numPr>
        <w:spacing w:after="40" w:before="40" w:line="280"/>
      </w:pPr>
      <w:r>
        <w:rPr>
          <w:b/>
          <w:bCs/>
        </w:rPr>
        <w:t xml:space="preserve">Maximize reuse: </w:t>
      </w:r>
      <w:r>
        <w:t xml:space="preserve">if a generic asset already meets the need, adopt and adapt rather than build new.</w:t>
      </w:r>
    </w:p>
    <w:p>
      <w:pPr>
        <w:pStyle w:val="ListParagraph"/>
        <w:numPr>
          <w:ilvl w:val="0"/>
          <w:numId w:val="2"/>
        </w:numPr>
        <w:spacing w:after="40" w:before="40" w:line="280"/>
      </w:pPr>
      <w:r>
        <w:rPr>
          <w:b/>
          <w:bCs/>
        </w:rPr>
        <w:t xml:space="preserve">Understand trade-offs: </w:t>
      </w:r>
      <w:r>
        <w:t xml:space="preserve">generic means reusable but less tailored; specific means perfectly fitted but harder to share.</w:t>
      </w:r>
    </w:p>
    <w:p>
      <w:pPr>
        <w:pStyle w:val="ListParagraph"/>
        <w:numPr>
          <w:ilvl w:val="0"/>
          <w:numId w:val="2"/>
        </w:numPr>
        <w:spacing w:after="40" w:before="40" w:line="280"/>
      </w:pPr>
      <w:r>
        <w:rPr>
          <w:b/>
          <w:bCs/>
        </w:rPr>
        <w:t xml:space="preserve">Manage architectural debt: </w:t>
      </w:r>
      <w:r>
        <w:t xml:space="preserve">over time, organization-specific artifacts should ideally migrate back toward the generic end as they become standardized.</w:t>
      </w:r>
    </w:p>
    <w:p>
      <w:pPr>
        <w:pStyle w:val="ListParagraph"/>
        <w:numPr>
          <w:ilvl w:val="0"/>
          <w:numId w:val="2"/>
        </w:numPr>
        <w:spacing w:after="40" w:before="40" w:line="280"/>
      </w:pPr>
      <w:r>
        <w:rPr>
          <w:b/>
          <w:bCs/>
        </w:rPr>
        <w:t xml:space="preserve">Support procurement decisions: </w:t>
      </w:r>
      <w:r>
        <w:t xml:space="preserve">classifying vendor offerings on the continuum clarifies what you're buying and where customization begins.</w:t>
      </w:r>
    </w:p>
    <w:p>
      <w:pPr>
        <w:pStyle w:val="ListParagraph"/>
        <w:numPr>
          <w:ilvl w:val="0"/>
          <w:numId w:val="2"/>
        </w:numPr>
        <w:spacing w:after="40" w:before="40" w:line="280"/>
      </w:pPr>
      <w:r>
        <w:rPr>
          <w:b/>
          <w:bCs/>
        </w:rPr>
        <w:t xml:space="preserve">Structure the Repository: </w:t>
      </w:r>
      <w:r>
        <w:t xml:space="preserve">content is stored by its position on the continuum, making reuse discoverable.</w:t>
      </w:r>
    </w:p>
    <w:p>
      <w:pPr>
        <w:pStyle w:val="ListParagraph"/>
        <w:numPr>
          <w:ilvl w:val="0"/>
          <w:numId w:val="2"/>
        </w:numPr>
        <w:spacing w:after="40" w:before="40" w:line="280"/>
      </w:pPr>
      <w:r>
        <w:rPr>
          <w:b/>
          <w:bCs/>
        </w:rPr>
        <w:t xml:space="preserve">Enable the Standards Information Base: </w:t>
      </w:r>
      <w:r>
        <w:t xml:space="preserve">standards arise from the generic end and propagate down to implementations.</w:t>
      </w:r>
    </w:p>
    <w:p>
      <w:pPr>
        <w:pStyle w:val="Heading2"/>
        <w:spacing w:after="120" w:before="260"/>
      </w:pPr>
      <w:r>
        <w:t xml:space="preserve">1.3 Context Within TOGAF</w:t>
      </w:r>
    </w:p>
    <w:p>
      <w:pPr>
        <w:spacing w:after="80" w:before="80" w:line="300"/>
        <w:jc w:val="both"/>
      </w:pPr>
      <w:r>
        <w:t xml:space="preserve">The Enterprise Continuum is used throughout the ADM, but most visibly in:</w:t>
      </w:r>
    </w:p>
    <w:p>
      <w:pPr>
        <w:pStyle w:val="ListParagraph"/>
        <w:numPr>
          <w:ilvl w:val="0"/>
          <w:numId w:val="2"/>
        </w:numPr>
        <w:spacing w:after="40" w:before="40" w:line="280"/>
      </w:pPr>
      <w:r>
        <w:t xml:space="preserve">Preliminary Phase — when selecting reference models and populating the initial Repository</w:t>
      </w:r>
    </w:p>
    <w:p>
      <w:pPr>
        <w:pStyle w:val="ListParagraph"/>
        <w:numPr>
          <w:ilvl w:val="0"/>
          <w:numId w:val="2"/>
        </w:numPr>
        <w:spacing w:after="40" w:before="40" w:line="280"/>
      </w:pPr>
      <w:r>
        <w:t xml:space="preserve">Phase A — choosing applicable reference architectures for the Vision</w:t>
      </w:r>
    </w:p>
    <w:p>
      <w:pPr>
        <w:pStyle w:val="ListParagraph"/>
        <w:numPr>
          <w:ilvl w:val="0"/>
          <w:numId w:val="2"/>
        </w:numPr>
        <w:spacing w:after="40" w:before="40" w:line="280"/>
      </w:pPr>
      <w:r>
        <w:t xml:space="preserve">Phases B, C, D — selecting and adapting Architecture Building Blocks (ABBs)</w:t>
      </w:r>
    </w:p>
    <w:p>
      <w:pPr>
        <w:pStyle w:val="ListParagraph"/>
        <w:numPr>
          <w:ilvl w:val="0"/>
          <w:numId w:val="2"/>
        </w:numPr>
        <w:spacing w:after="40" w:before="40" w:line="280"/>
      </w:pPr>
      <w:r>
        <w:t xml:space="preserve">Phase E — identifying candidate Solution Building Blocks (SBBs)</w:t>
      </w:r>
    </w:p>
    <w:p>
      <w:pPr>
        <w:pStyle w:val="ListParagraph"/>
        <w:numPr>
          <w:ilvl w:val="0"/>
          <w:numId w:val="2"/>
        </w:numPr>
        <w:spacing w:after="40" w:before="40" w:line="280"/>
      </w:pPr>
      <w:r>
        <w:t xml:space="preserve">Phase F — finalizing solutions for implementation</w:t>
      </w:r>
    </w:p>
    <w:p>
      <w:pPr>
        <w:pStyle w:val="ListParagraph"/>
        <w:numPr>
          <w:ilvl w:val="0"/>
          <w:numId w:val="2"/>
        </w:numPr>
        <w:spacing w:after="40" w:before="40" w:line="280"/>
      </w:pPr>
      <w:r>
        <w:t xml:space="preserve">Phase G — implementing and governing Solution Building Blocks</w:t>
      </w:r>
    </w:p>
    <w:p>
      <w:pPr>
        <w:pStyle w:val="Heading2"/>
        <w:spacing w:after="120" w:before="260"/>
      </w:pPr>
      <w:r>
        <w:t xml:space="preserve">1.4 The Big Picture</w:t>
      </w:r>
    </w:p>
    <w:p>
      <w:pPr>
        <w:spacing w:after="80" w:before="80" w:line="300"/>
        <w:jc w:val="both"/>
      </w:pPr>
      <w:r>
        <w:t xml:space="preserve">Imagine two horizontal bands running side by side across the page. The top band is the Architecture Continuum — blueprints, patterns, reference models. The bottom band is the Solutions Continuum — actual software products, deployed systems, running services. Both bands are divided vertically into four zones, reading left-to-right from most generic to most specific: Foundation, Common Systems, Industry, and Organization-Specific. Arrows flow downward between bands (an architecture is realized by a solution) and rightward within each band (generic assets are refined into organization-specific ones). This is the Enterprise Continuum.</w:t>
      </w:r>
    </w:p>
    <w:p>
      <w:pPr>
        <w:pStyle w:val="Heading1"/>
        <w:pageBreakBefore/>
        <w:spacing w:after="180" w:before="360"/>
      </w:pPr>
      <w:r>
        <w:t xml:space="preserve">2. The Two Parallel Continuums</w:t>
      </w:r>
    </w:p>
    <w:p>
      <w:pPr>
        <w:pStyle w:val="Heading2"/>
        <w:spacing w:after="120" w:before="260"/>
      </w:pPr>
      <w:r>
        <w:t xml:space="preserve">2.1 Why Two Continuums?</w:t>
      </w:r>
    </w:p>
    <w:p>
      <w:pPr>
        <w:spacing w:after="80" w:before="80" w:line="300"/>
        <w:jc w:val="both"/>
      </w:pPr>
      <w:r>
        <w:t xml:space="preserve">Architecture answers the question "what should the system do and how should it be structured?" Solutions answer "what physical implementation will we use to do it?" These are distinct concerns that evolve on different timescales and are owned by different stakeholders. Separating them into two parallel continuums avoids conflating architectural intent with product choice.</w:t>
      </w:r>
    </w:p>
    <w:p>
      <w:pPr>
        <w:pStyle w:val="Heading2"/>
        <w:spacing w:after="120" w:before="260"/>
      </w:pPr>
      <w:r>
        <w:t xml:space="preserve">2.2 The Architecture Continuum</w:t>
      </w:r>
    </w:p>
    <w:p>
      <w:pPr>
        <w:pStyle w:val="Heading3"/>
        <w:spacing w:after="100" w:before="200"/>
      </w:pPr>
      <w:r>
        <w:t xml:space="preserve">2.2.1 Definition</w:t>
      </w:r>
    </w:p>
    <w:p>
      <w:pPr>
        <w:spacing w:after="80" w:before="80" w:line="300"/>
        <w:jc w:val="both"/>
      </w:pPr>
      <w:r>
        <w:t xml:space="preserve">The Architecture Continuum offers a consistent way to define, understand, and apply generic rules, representations, and relationships in an architecture. It contains architectural elements — not products — that evolve from generic to organization-specific through successive refinement.</w:t>
      </w:r>
    </w:p>
    <w:p>
      <w:pPr>
        <w:pStyle w:val="Heading3"/>
        <w:spacing w:after="100" w:before="200"/>
      </w:pPr>
      <w:r>
        <w:t xml:space="preserve">2.2.2 What it Contains</w:t>
      </w:r>
    </w:p>
    <w:p>
      <w:pPr>
        <w:pStyle w:val="ListParagraph"/>
        <w:numPr>
          <w:ilvl w:val="0"/>
          <w:numId w:val="2"/>
        </w:numPr>
        <w:spacing w:after="40" w:before="40" w:line="280"/>
      </w:pPr>
      <w:r>
        <w:t xml:space="preserve">Reference architectures (TOGAF TRM, III-RM, industry reference architectures)</w:t>
      </w:r>
    </w:p>
    <w:p>
      <w:pPr>
        <w:pStyle w:val="ListParagraph"/>
        <w:numPr>
          <w:ilvl w:val="0"/>
          <w:numId w:val="2"/>
        </w:numPr>
        <w:spacing w:after="40" w:before="40" w:line="280"/>
      </w:pPr>
      <w:r>
        <w:t xml:space="preserve">Architecture patterns and models</w:t>
      </w:r>
    </w:p>
    <w:p>
      <w:pPr>
        <w:pStyle w:val="ListParagraph"/>
        <w:numPr>
          <w:ilvl w:val="0"/>
          <w:numId w:val="2"/>
        </w:numPr>
        <w:spacing w:after="40" w:before="40" w:line="280"/>
      </w:pPr>
      <w:r>
        <w:t xml:space="preserve">Architecture Building Blocks (ABBs)</w:t>
      </w:r>
    </w:p>
    <w:p>
      <w:pPr>
        <w:pStyle w:val="ListParagraph"/>
        <w:numPr>
          <w:ilvl w:val="0"/>
          <w:numId w:val="2"/>
        </w:numPr>
        <w:spacing w:after="40" w:before="40" w:line="280"/>
      </w:pPr>
      <w:r>
        <w:t xml:space="preserve">Architecture principles and standards (at each continuum level)</w:t>
      </w:r>
    </w:p>
    <w:p>
      <w:pPr>
        <w:pStyle w:val="ListParagraph"/>
        <w:numPr>
          <w:ilvl w:val="0"/>
          <w:numId w:val="2"/>
        </w:numPr>
        <w:spacing w:after="40" w:before="40" w:line="280"/>
      </w:pPr>
      <w:r>
        <w:t xml:space="preserve">Viewpoint libraries and modeling conventions</w:t>
      </w:r>
    </w:p>
    <w:p>
      <w:pPr>
        <w:pStyle w:val="ListParagraph"/>
        <w:numPr>
          <w:ilvl w:val="0"/>
          <w:numId w:val="2"/>
        </w:numPr>
        <w:spacing w:after="40" w:before="40" w:line="280"/>
      </w:pPr>
      <w:r>
        <w:t xml:space="preserve">Reference data models and business capability maps (generic or industry-specific)</w:t>
      </w:r>
    </w:p>
    <w:p>
      <w:pPr>
        <w:pStyle w:val="Heading3"/>
        <w:spacing w:after="100" w:before="200"/>
      </w:pPr>
      <w:r>
        <w:t xml:space="preserve">2.2.3 Direction of Refinement</w:t>
      </w:r>
    </w:p>
    <w:p>
      <w:pPr>
        <w:spacing w:after="80" w:before="80" w:line="300"/>
        <w:jc w:val="both"/>
      </w:pPr>
      <w:r>
        <w:t xml:space="preserve">Architecture content moves from left to right — from the most generic (applicable to any enterprise) toward the most specific (unique to a particular organization). At each step, content is adapted, enriched, and specialized. Good architecture practice pushes content leftward too — generalizing organization-specific patterns that prove reusable, so they can be shared across the enterprise and beyond.</w:t>
      </w:r>
    </w:p>
    <w:p>
      <w:pPr>
        <w:pStyle w:val="Heading2"/>
        <w:spacing w:after="120" w:before="260"/>
      </w:pPr>
      <w:r>
        <w:t xml:space="preserve">2.3 The Solutions Continuum</w:t>
      </w:r>
    </w:p>
    <w:p>
      <w:pPr>
        <w:pStyle w:val="Heading3"/>
        <w:spacing w:after="100" w:before="200"/>
      </w:pPr>
      <w:r>
        <w:t xml:space="preserve">2.3.1 Definition</w:t>
      </w:r>
    </w:p>
    <w:p>
      <w:pPr>
        <w:spacing w:after="80" w:before="80" w:line="300"/>
        <w:jc w:val="both"/>
      </w:pPr>
      <w:r>
        <w:t xml:space="preserve">The Solutions Continuum provides a consistent way to describe and understand the implementation of assets defined in the Architecture Continuum. It represents the population of the architecture with specific products, systems, and services that realize architectural intent.</w:t>
      </w:r>
    </w:p>
    <w:p>
      <w:pPr>
        <w:pStyle w:val="Heading3"/>
        <w:spacing w:after="100" w:before="200"/>
      </w:pPr>
      <w:r>
        <w:t xml:space="preserve">2.3.2 What it Contains</w:t>
      </w:r>
    </w:p>
    <w:p>
      <w:pPr>
        <w:pStyle w:val="ListParagraph"/>
        <w:numPr>
          <w:ilvl w:val="0"/>
          <w:numId w:val="2"/>
        </w:numPr>
        <w:spacing w:after="40" w:before="40" w:line="280"/>
      </w:pPr>
      <w:r>
        <w:t xml:space="preserve">Reference solutions (generic deployment patterns)</w:t>
      </w:r>
    </w:p>
    <w:p>
      <w:pPr>
        <w:pStyle w:val="ListParagraph"/>
        <w:numPr>
          <w:ilvl w:val="0"/>
          <w:numId w:val="2"/>
        </w:numPr>
        <w:spacing w:after="40" w:before="40" w:line="280"/>
      </w:pPr>
      <w:r>
        <w:t xml:space="preserve">Products and services (middleware, databases, platforms, SaaS tenants)</w:t>
      </w:r>
    </w:p>
    <w:p>
      <w:pPr>
        <w:pStyle w:val="ListParagraph"/>
        <w:numPr>
          <w:ilvl w:val="0"/>
          <w:numId w:val="2"/>
        </w:numPr>
        <w:spacing w:after="40" w:before="40" w:line="280"/>
      </w:pPr>
      <w:r>
        <w:t xml:space="preserve">Solution Building Blocks (SBBs)</w:t>
      </w:r>
    </w:p>
    <w:p>
      <w:pPr>
        <w:pStyle w:val="ListParagraph"/>
        <w:numPr>
          <w:ilvl w:val="0"/>
          <w:numId w:val="2"/>
        </w:numPr>
        <w:spacing w:after="40" w:before="40" w:line="280"/>
      </w:pPr>
      <w:r>
        <w:t xml:space="preserve">Industry-specific solutions (commercial packages like Guidewire, Temenos, SAP modules)</w:t>
      </w:r>
    </w:p>
    <w:p>
      <w:pPr>
        <w:pStyle w:val="ListParagraph"/>
        <w:numPr>
          <w:ilvl w:val="0"/>
          <w:numId w:val="2"/>
        </w:numPr>
        <w:spacing w:after="40" w:before="40" w:line="280"/>
      </w:pPr>
      <w:r>
        <w:t xml:space="preserve">Organization-specific implementations — actual running systems</w:t>
      </w:r>
    </w:p>
    <w:p>
      <w:pPr>
        <w:pStyle w:val="Heading3"/>
        <w:spacing w:after="100" w:before="200"/>
      </w:pPr>
      <w:r>
        <w:t xml:space="preserve">2.3.3 Direction of Refinement</w:t>
      </w:r>
    </w:p>
    <w:p>
      <w:pPr>
        <w:spacing w:after="80" w:before="80" w:line="300"/>
        <w:jc w:val="both"/>
      </w:pPr>
      <w:r>
        <w:t xml:space="preserve">Solutions content likewise moves from generic to organization-specific: a generic database engine is specialized into a commercial product, then into a deployed and configured instance in your organization. The two continuums move in step — as an architecture is refined, so is its realization.</w:t>
      </w:r>
    </w:p>
    <w:p>
      <w:pPr>
        <w:pStyle w:val="Heading2"/>
        <w:spacing w:after="120" w:before="260"/>
      </w:pPr>
      <w:r>
        <w:t xml:space="preserve">2.4 How the Two Continuums Relate</w:t>
      </w:r>
    </w:p>
    <w:p>
      <w:pPr>
        <w:spacing w:after="80" w:before="80" w:line="300"/>
        <w:jc w:val="both"/>
      </w:pPr>
      <w:r>
        <w:t xml:space="preserve">For every point on the Architecture Continuum there is a corresponding point on the Solutions Continuum. An Architecture Building Block at the Common Systems level (for example, a logical "Identity Service") is realized by Solution Building Blocks at the same level (for example, LDAP servers or cloud-native IAM services). At the Organization-Specific level, the architecture describes your enterprise's bespoke identity flows, and the solution is your actual deployed Okta tenant or your custom-built SSO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Direction</w:t>
            </w:r>
          </w:p>
        </w:tc>
        <w:tc>
          <w:tcPr>
            <w:tcW w:type="dxa" w:w="35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Architecture Continuum</w:t>
            </w:r>
          </w:p>
        </w:tc>
        <w:tc>
          <w:tcPr>
            <w:tcW w:type="dxa" w:w="35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Solutions Continuum</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it describes</w:t>
            </w:r>
          </w:p>
        </w:tc>
        <w:tc>
          <w:tcPr>
            <w:tcW w:type="dxa" w:w="35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Structures, patterns, requirements</w:t>
            </w:r>
          </w:p>
        </w:tc>
        <w:tc>
          <w:tcPr>
            <w:tcW w:type="dxa" w:w="35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Implementations, products, deployments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Level of abstraction</w:t>
            </w:r>
          </w:p>
        </w:tc>
        <w:tc>
          <w:tcPr>
            <w:tcW w:type="dxa" w:w="35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Logical — technology-independent</w:t>
            </w:r>
          </w:p>
        </w:tc>
        <w:tc>
          <w:tcPr>
            <w:tcW w:type="dxa" w:w="35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Physical — product- and context-specific</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Primary audience</w:t>
            </w:r>
          </w:p>
        </w:tc>
        <w:tc>
          <w:tcPr>
            <w:tcW w:type="dxa" w:w="35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Architects, strategists</w:t>
            </w:r>
          </w:p>
        </w:tc>
        <w:tc>
          <w:tcPr>
            <w:tcW w:type="dxa" w:w="35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Engineers, operations, vendors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it evolves</w:t>
            </w:r>
          </w:p>
        </w:tc>
        <w:tc>
          <w:tcPr>
            <w:tcW w:type="dxa" w:w="35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Through architectural refinement and generalization</w:t>
            </w:r>
          </w:p>
        </w:tc>
        <w:tc>
          <w:tcPr>
            <w:tcW w:type="dxa" w:w="35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Through procurement, customization, deployment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Relationship</w:t>
            </w:r>
          </w:p>
        </w:tc>
        <w:tc>
          <w:tcPr>
            <w:tcW w:type="dxa" w:w="35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Drives, constrains, and guides solutions</w:t>
            </w:r>
          </w:p>
        </w:tc>
        <w:tc>
          <w:tcPr>
            <w:tcW w:type="dxa" w:w="35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Realizes and instantiates architectures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Logical "Customer Identity Service" on the Architecture Continuum:</w:t>
            </w:r>
          </w:p>
          <w:p>
            <w:pPr>
              <w:spacing w:after="40" w:before="40" w:line="280"/>
            </w:pPr>
            <w:r>
              <w:t xml:space="preserve">— Foundation: "an identity-management capability providing authentication, authorization, and audit."</w:t>
            </w:r>
          </w:p>
          <w:p>
            <w:pPr>
              <w:spacing w:after="40" w:before="40" w:line="280"/>
            </w:pPr>
            <w:r>
              <w:t xml:space="preserve">— Common Systems: "an LDAP-compatible directory plus OAuth2/OIDC authorization."</w:t>
            </w:r>
          </w:p>
          <w:p>
            <w:pPr>
              <w:spacing w:after="40" w:before="40" w:line="280"/>
            </w:pPr>
            <w:r>
              <w:t xml:space="preserve">— Industry (Retail): "a customer identity service supporting 2-factor authentication and loyalty-program tokens."</w:t>
            </w:r>
          </w:p>
          <w:p>
            <w:pPr>
              <w:spacing w:after="40" w:before="40" w:line="280"/>
            </w:pPr>
            <w:r>
              <w:t xml:space="preserve">— Organization-Specific: "our customer identity service with promo-engine integration and Asia-Pacific data residency rules."</w:t>
            </w:r>
          </w:p>
          <w:p>
            <w:pPr>
              <w:spacing w:after="40" w:before="40" w:line="280"/>
            </w:pPr>
            <w:r>
              <w:t xml:space="preserve"/>
            </w:r>
          </w:p>
          <w:p>
            <w:pPr>
              <w:spacing w:after="40" w:before="40" w:line="280"/>
            </w:pPr>
            <w:r>
              <w:t xml:space="preserve">Corresponding points on the Solutions Continuum:</w:t>
            </w:r>
          </w:p>
          <w:p>
            <w:pPr>
              <w:spacing w:after="40" w:before="40" w:line="280"/>
            </w:pPr>
            <w:r>
              <w:t xml:space="preserve">— Foundation: a generic IAM reference architecture diagram (no product named).</w:t>
            </w:r>
          </w:p>
          <w:p>
            <w:pPr>
              <w:spacing w:after="40" w:before="40" w:line="280"/>
            </w:pPr>
            <w:r>
              <w:t xml:space="preserve">— Common Systems: OpenLDAP or Keycloak as candidate products.</w:t>
            </w:r>
          </w:p>
          <w:p>
            <w:pPr>
              <w:spacing w:after="40" w:before="40" w:line="280"/>
            </w:pPr>
            <w:r>
              <w:t xml:space="preserve">— Industry: Okta Customer Identity, Auth0 B2C.</w:t>
            </w:r>
          </w:p>
          <w:p>
            <w:pPr>
              <w:spacing w:after="40" w:before="40" w:line="280"/>
            </w:pPr>
            <w:r>
              <w:t xml:space="preserve">— Organization-Specific: "our Okta tenant #73391 configured with MFA for &gt;$500 orders, deployed in eu-central-1 and ap-southeast-2."</w:t>
            </w:r>
          </w:p>
        </w:tc>
      </w:tr>
    </w:tbl>
    <w:p>
      <w:pPr>
        <w:pStyle w:val="Heading1"/>
        <w:pageBreakBefore/>
        <w:spacing w:after="180" w:before="360"/>
      </w:pPr>
      <w:r>
        <w:t xml:space="preserve">3. The Four Levels of Each Continuum</w:t>
      </w:r>
    </w:p>
    <w:p>
      <w:pPr>
        <w:pStyle w:val="Heading2"/>
        <w:spacing w:after="120" w:before="260"/>
      </w:pPr>
      <w:r>
        <w:t xml:space="preserve">3.1 Overview of the Four Levels</w:t>
      </w:r>
    </w:p>
    <w:p>
      <w:pPr>
        <w:spacing w:after="80" w:before="80" w:line="300"/>
        <w:jc w:val="both"/>
      </w:pPr>
      <w:r>
        <w:t xml:space="preserve">Both the Architecture and Solutions continuums are stratified into the same four levels. The levels represent increasing specificity and decreasing reusability. Every artifact in the Repository sits at one of these four levels on one of the two continuums.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2000"/>
        <w:gridCol w:w="2260"/>
      </w:tblGrid>
      <w:tr>
        <w:trPr>
          <w:tblHeader/>
        </w:trPr>
        <w:tc>
          <w:tcPr>
            <w:tcW w:type="dxa" w:w="17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19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Specificity</w:t>
            </w:r>
          </w:p>
        </w:tc>
        <w:tc>
          <w:tcPr>
            <w:tcW w:type="dxa" w:w="1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Reusability</w:t>
            </w:r>
          </w:p>
        </w:tc>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Examples (Arch)</w:t>
            </w:r>
          </w:p>
        </w:tc>
        <w:tc>
          <w:tcPr>
            <w:tcW w:type="dxa" w:w="22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Examples (Solutions)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Foundation</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Most generic</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Highest</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TOGAF TRM, III-RM</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Generic reference deployments</w:t>
            </w:r>
          </w:p>
        </w:tc>
      </w:tr>
      <w:tr>
        <w:tc>
          <w:tcPr>
            <w:tcW w:type="dxa" w:w="17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Common Systems</w:t>
            </w:r>
          </w:p>
        </w:tc>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Generic cross-industry capability</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High</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Security, network, management patterns</w:t>
            </w:r>
          </w:p>
        </w:tc>
        <w:tc>
          <w:tcPr>
            <w:tcW w:type="dxa" w:w="22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LDAP, Kafka, Kubernetes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Industry</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Specific to one industry</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Medium</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BIAN (banking), eTOM (telecom), ARTS (retail)</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Guidewire, Murex, Temenos</w:t>
            </w:r>
          </w:p>
        </w:tc>
      </w:tr>
      <w:tr>
        <w:tc>
          <w:tcPr>
            <w:tcW w:type="dxa" w:w="17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Organization-Specific</w:t>
            </w:r>
          </w:p>
        </w:tc>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Unique to the enterprise</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Lowest</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Your bespoke capability models</w:t>
            </w:r>
          </w:p>
        </w:tc>
        <w:tc>
          <w:tcPr>
            <w:tcW w:type="dxa" w:w="22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Your deployed production systems</w:t>
            </w:r>
          </w:p>
        </w:tc>
      </w:tr>
    </w:tbl>
    <w:p>
      <w:pPr>
        <w:pStyle w:val="Heading2"/>
        <w:spacing w:after="120" w:before="260"/>
      </w:pPr>
      <w:r>
        <w:t xml:space="preserve">3.2 Level 1 — Foundation Architectures / Foundation Solutions</w:t>
      </w:r>
    </w:p>
    <w:p>
      <w:pPr>
        <w:pStyle w:val="Heading3"/>
        <w:spacing w:after="100" w:before="200"/>
      </w:pPr>
      <w:r>
        <w:t xml:space="preserve">3.2.1 Foundation Architectures</w:t>
      </w:r>
    </w:p>
    <w:p>
      <w:pPr>
        <w:spacing w:after="80" w:before="80" w:line="300"/>
        <w:jc w:val="both"/>
      </w:pPr>
      <w:r>
        <w:t xml:space="preserve">Foundation Architectures are the most generic — they describe architectural patterns, concepts, and services that are applicable to any enterprise regardless of industry or geography. They are the "laws of physics" of enterprise architecture.</w:t>
      </w:r>
    </w:p>
    <w:p>
      <w:pPr>
        <w:spacing w:after="80" w:before="80" w:line="300"/>
        <w:jc w:val="both"/>
      </w:pPr>
      <w:r>
        <w:t xml:space="preserve">Examples of Foundation Architectures:</w:t>
      </w:r>
    </w:p>
    <w:p>
      <w:pPr>
        <w:pStyle w:val="ListParagraph"/>
        <w:numPr>
          <w:ilvl w:val="0"/>
          <w:numId w:val="2"/>
        </w:numPr>
        <w:spacing w:after="40" w:before="40" w:line="280"/>
      </w:pPr>
      <w:r>
        <w:t xml:space="preserve">The TOGAF Technical Reference Model (TRM) — describing a platform of services that support applications</w:t>
      </w:r>
    </w:p>
    <w:p>
      <w:pPr>
        <w:pStyle w:val="ListParagraph"/>
        <w:numPr>
          <w:ilvl w:val="0"/>
          <w:numId w:val="2"/>
        </w:numPr>
        <w:spacing w:after="40" w:before="40" w:line="280"/>
      </w:pPr>
      <w:r>
        <w:t xml:space="preserve">The TOGAF Integrated Information Infrastructure Reference Model (III-RM)</w:t>
      </w:r>
    </w:p>
    <w:p>
      <w:pPr>
        <w:pStyle w:val="ListParagraph"/>
        <w:numPr>
          <w:ilvl w:val="0"/>
          <w:numId w:val="2"/>
        </w:numPr>
        <w:spacing w:after="40" w:before="40" w:line="280"/>
      </w:pPr>
      <w:r>
        <w:t xml:space="preserve">Generic security reference architectures (NIST SP 800-207 Zero Trust Architecture)</w:t>
      </w:r>
    </w:p>
    <w:p>
      <w:pPr>
        <w:pStyle w:val="ListParagraph"/>
        <w:numPr>
          <w:ilvl w:val="0"/>
          <w:numId w:val="2"/>
        </w:numPr>
        <w:spacing w:after="40" w:before="40" w:line="280"/>
      </w:pPr>
      <w:r>
        <w:t xml:space="preserve">Generic cloud reference architectures (NIST Cloud Computing Reference Architecture)</w:t>
      </w:r>
    </w:p>
    <w:p>
      <w:pPr>
        <w:pStyle w:val="ListParagraph"/>
        <w:numPr>
          <w:ilvl w:val="0"/>
          <w:numId w:val="2"/>
        </w:numPr>
        <w:spacing w:after="40" w:before="40" w:line="280"/>
      </w:pPr>
      <w:r>
        <w:t xml:space="preserve">The SABSA enterprise security architecture framework at its generic layer</w:t>
      </w:r>
    </w:p>
    <w:p>
      <w:pPr>
        <w:pStyle w:val="Heading3"/>
        <w:spacing w:after="100" w:before="200"/>
      </w:pPr>
      <w:r>
        <w:t xml:space="preserve">3.2.2 Foundation Solutions</w:t>
      </w:r>
    </w:p>
    <w:p>
      <w:pPr>
        <w:spacing w:after="80" w:before="80" w:line="300"/>
        <w:jc w:val="both"/>
      </w:pPr>
      <w:r>
        <w:t xml:space="preserve">Foundation Solutions are generic, reference-level implementations that correspond to Foundation Architectures. They demonstrate what a solution looks like at the highest level of abstraction, without naming specific products. Examples: a block diagram showing a generic three-tier web deployment; a reference topology for a Kubernetes cluster; an idealized event-driven integration pattern.</w:t>
      </w:r>
    </w:p>
    <w:p>
      <w:pPr>
        <w:pStyle w:val="Heading3"/>
        <w:spacing w:after="100" w:before="200"/>
      </w:pPr>
      <w:r>
        <w:t xml:space="preserve">3.2.3 Characteristics</w:t>
      </w:r>
    </w:p>
    <w:p>
      <w:pPr>
        <w:pStyle w:val="ListParagraph"/>
        <w:numPr>
          <w:ilvl w:val="0"/>
          <w:numId w:val="2"/>
        </w:numPr>
        <w:spacing w:after="40" w:before="40" w:line="280"/>
      </w:pPr>
      <w:r>
        <w:t xml:space="preserve">Widest applicability — usable by any enterprise</w:t>
      </w:r>
    </w:p>
    <w:p>
      <w:pPr>
        <w:pStyle w:val="ListParagraph"/>
        <w:numPr>
          <w:ilvl w:val="0"/>
          <w:numId w:val="2"/>
        </w:numPr>
        <w:spacing w:after="40" w:before="40" w:line="280"/>
      </w:pPr>
      <w:r>
        <w:t xml:space="preserve">Least detailed — stops at the level where industry differentiation begins</w:t>
      </w:r>
    </w:p>
    <w:p>
      <w:pPr>
        <w:pStyle w:val="ListParagraph"/>
        <w:numPr>
          <w:ilvl w:val="0"/>
          <w:numId w:val="2"/>
        </w:numPr>
        <w:spacing w:after="40" w:before="40" w:line="280"/>
      </w:pPr>
      <w:r>
        <w:t xml:space="preserve">Most stable — changes only as fundamental technology paradigms shift</w:t>
      </w:r>
    </w:p>
    <w:p>
      <w:pPr>
        <w:pStyle w:val="ListParagraph"/>
        <w:numPr>
          <w:ilvl w:val="0"/>
          <w:numId w:val="2"/>
        </w:numPr>
        <w:spacing w:after="40" w:before="40" w:line="280"/>
      </w:pPr>
      <w:r>
        <w:t xml:space="preserve">Primary source: standards bodies (Open Group, NIST, ISO, IEEE)</w:t>
      </w:r>
    </w:p>
    <w:p>
      <w:pPr>
        <w:pStyle w:val="Heading2"/>
        <w:spacing w:after="120" w:before="260"/>
      </w:pPr>
      <w:r>
        <w:t xml:space="preserve">3.3 Level 2 — Common Systems Architectures / Common Systems Solutions</w:t>
      </w:r>
    </w:p>
    <w:p>
      <w:pPr>
        <w:pStyle w:val="Heading3"/>
        <w:spacing w:after="100" w:before="200"/>
      </w:pPr>
      <w:r>
        <w:t xml:space="preserve">3.3.1 Common Systems Architectures</w:t>
      </w:r>
    </w:p>
    <w:p>
      <w:pPr>
        <w:spacing w:after="80" w:before="80" w:line="300"/>
        <w:jc w:val="both"/>
      </w:pPr>
      <w:r>
        <w:t xml:space="preserve">Common Systems Architectures describe capabilities that are common across industries but not embedded in every enterprise by default. They cover cross-cutting systems: security, management, networking, collaboration. They are based on Foundation patterns but are more concrete — they name capability types and standard behaviors.</w:t>
      </w:r>
    </w:p>
    <w:p>
      <w:pPr>
        <w:spacing w:after="80" w:before="80" w:line="300"/>
        <w:jc w:val="both"/>
      </w:pPr>
      <w:r>
        <w:t xml:space="preserve">Examples:</w:t>
      </w:r>
    </w:p>
    <w:p>
      <w:pPr>
        <w:pStyle w:val="ListParagraph"/>
        <w:numPr>
          <w:ilvl w:val="0"/>
          <w:numId w:val="2"/>
        </w:numPr>
        <w:spacing w:after="40" w:before="40" w:line="280"/>
      </w:pPr>
      <w:r>
        <w:t xml:space="preserve">Security architecture reference models (identity management, PKI, secrets management)</w:t>
      </w:r>
    </w:p>
    <w:p>
      <w:pPr>
        <w:pStyle w:val="ListParagraph"/>
        <w:numPr>
          <w:ilvl w:val="0"/>
          <w:numId w:val="2"/>
        </w:numPr>
        <w:spacing w:after="40" w:before="40" w:line="280"/>
      </w:pPr>
      <w:r>
        <w:t xml:space="preserve">Network architecture reference models (SDN, mesh, zero trust network)</w:t>
      </w:r>
    </w:p>
    <w:p>
      <w:pPr>
        <w:pStyle w:val="ListParagraph"/>
        <w:numPr>
          <w:ilvl w:val="0"/>
          <w:numId w:val="2"/>
        </w:numPr>
        <w:spacing w:after="40" w:before="40" w:line="280"/>
      </w:pPr>
      <w:r>
        <w:t xml:space="preserve">Collaboration architecture (document management, video conferencing, real-time messaging)</w:t>
      </w:r>
    </w:p>
    <w:p>
      <w:pPr>
        <w:pStyle w:val="ListParagraph"/>
        <w:numPr>
          <w:ilvl w:val="0"/>
          <w:numId w:val="2"/>
        </w:numPr>
        <w:spacing w:after="40" w:before="40" w:line="280"/>
      </w:pPr>
      <w:r>
        <w:t xml:space="preserve">Enterprise integration patterns (message broker, API gateway, service mesh)</w:t>
      </w:r>
    </w:p>
    <w:p>
      <w:pPr>
        <w:pStyle w:val="ListParagraph"/>
        <w:numPr>
          <w:ilvl w:val="0"/>
          <w:numId w:val="2"/>
        </w:numPr>
        <w:spacing w:after="40" w:before="40" w:line="280"/>
      </w:pPr>
      <w:r>
        <w:t xml:space="preserve">Observability reference architectures (the three pillars: logs, metrics, traces)</w:t>
      </w:r>
    </w:p>
    <w:p>
      <w:pPr>
        <w:pStyle w:val="Heading3"/>
        <w:spacing w:after="100" w:before="200"/>
      </w:pPr>
      <w:r>
        <w:t xml:space="preserve">3.3.2 Common Systems Solutions</w:t>
      </w:r>
    </w:p>
    <w:p>
      <w:pPr>
        <w:spacing w:after="80" w:before="80" w:line="300"/>
        <w:jc w:val="both"/>
      </w:pPr>
      <w:r>
        <w:t xml:space="preserve">Common Systems Solutions are commercial or open-source products and components that realize Common Systems Architectures. They are widely applicable commodity technologies — the middleware and platform building blocks that most enterprises use.</w:t>
      </w:r>
    </w:p>
    <w:p>
      <w:pPr>
        <w:spacing w:after="80" w:before="80" w:line="300"/>
        <w:jc w:val="both"/>
      </w:pPr>
      <w:r>
        <w:t xml:space="preserve">Examples:</w:t>
      </w:r>
    </w:p>
    <w:p>
      <w:pPr>
        <w:pStyle w:val="ListParagraph"/>
        <w:numPr>
          <w:ilvl w:val="0"/>
          <w:numId w:val="2"/>
        </w:numPr>
        <w:spacing w:after="40" w:before="40" w:line="280"/>
      </w:pPr>
      <w:r>
        <w:t xml:space="preserve">Databases — PostgreSQL, MySQL, MongoDB, Oracle Database, Microsoft SQL Server</w:t>
      </w:r>
    </w:p>
    <w:p>
      <w:pPr>
        <w:pStyle w:val="ListParagraph"/>
        <w:numPr>
          <w:ilvl w:val="0"/>
          <w:numId w:val="2"/>
        </w:numPr>
        <w:spacing w:after="40" w:before="40" w:line="280"/>
      </w:pPr>
      <w:r>
        <w:t xml:space="preserve">Directory services — Active Directory, OpenLDAP</w:t>
      </w:r>
    </w:p>
    <w:p>
      <w:pPr>
        <w:pStyle w:val="ListParagraph"/>
        <w:numPr>
          <w:ilvl w:val="0"/>
          <w:numId w:val="2"/>
        </w:numPr>
        <w:spacing w:after="40" w:before="40" w:line="280"/>
      </w:pPr>
      <w:r>
        <w:t xml:space="preserve">Message brokers — Apache Kafka, RabbitMQ, Amazon SQS</w:t>
      </w:r>
    </w:p>
    <w:p>
      <w:pPr>
        <w:pStyle w:val="ListParagraph"/>
        <w:numPr>
          <w:ilvl w:val="0"/>
          <w:numId w:val="2"/>
        </w:numPr>
        <w:spacing w:after="40" w:before="40" w:line="280"/>
      </w:pPr>
      <w:r>
        <w:t xml:space="preserve">Orchestration — Kubernetes, Nomad</w:t>
      </w:r>
    </w:p>
    <w:p>
      <w:pPr>
        <w:pStyle w:val="ListParagraph"/>
        <w:numPr>
          <w:ilvl w:val="0"/>
          <w:numId w:val="2"/>
        </w:numPr>
        <w:spacing w:after="40" w:before="40" w:line="280"/>
      </w:pPr>
      <w:r>
        <w:t xml:space="preserve">Identity platforms — Keycloak, Okta, Entra ID</w:t>
      </w:r>
    </w:p>
    <w:p>
      <w:pPr>
        <w:pStyle w:val="ListParagraph"/>
        <w:numPr>
          <w:ilvl w:val="0"/>
          <w:numId w:val="2"/>
        </w:numPr>
        <w:spacing w:after="40" w:before="40" w:line="280"/>
      </w:pPr>
      <w:r>
        <w:t xml:space="preserve">Observability — Prometheus, Grafana, Datadog, Splunk</w:t>
      </w:r>
    </w:p>
    <w:p>
      <w:pPr>
        <w:pStyle w:val="Heading3"/>
        <w:spacing w:after="100" w:before="200"/>
      </w:pPr>
      <w:r>
        <w:t xml:space="preserve">3.3.3 Characteristics</w:t>
      </w:r>
    </w:p>
    <w:p>
      <w:pPr>
        <w:pStyle w:val="ListParagraph"/>
        <w:numPr>
          <w:ilvl w:val="0"/>
          <w:numId w:val="2"/>
        </w:numPr>
        <w:spacing w:after="40" w:before="40" w:line="280"/>
      </w:pPr>
      <w:r>
        <w:t xml:space="preserve">Broad applicability across industries</w:t>
      </w:r>
    </w:p>
    <w:p>
      <w:pPr>
        <w:pStyle w:val="ListParagraph"/>
        <w:numPr>
          <w:ilvl w:val="0"/>
          <w:numId w:val="2"/>
        </w:numPr>
        <w:spacing w:after="40" w:before="40" w:line="280"/>
      </w:pPr>
      <w:r>
        <w:t xml:space="preserve">Stable over years — though products evolve, the capability pattern persists</w:t>
      </w:r>
    </w:p>
    <w:p>
      <w:pPr>
        <w:pStyle w:val="ListParagraph"/>
        <w:numPr>
          <w:ilvl w:val="0"/>
          <w:numId w:val="2"/>
        </w:numPr>
        <w:spacing w:after="40" w:before="40" w:line="280"/>
      </w:pPr>
      <w:r>
        <w:t xml:space="preserve">Foundation of the Standards Information Base</w:t>
      </w:r>
    </w:p>
    <w:p>
      <w:pPr>
        <w:pStyle w:val="ListParagraph"/>
        <w:numPr>
          <w:ilvl w:val="0"/>
          <w:numId w:val="2"/>
        </w:numPr>
        <w:spacing w:after="40" w:before="40" w:line="280"/>
      </w:pPr>
      <w:r>
        <w:t xml:space="preserve">High potential for enterprise-wide reuse</w:t>
      </w:r>
    </w:p>
    <w:p>
      <w:pPr>
        <w:pStyle w:val="Heading2"/>
        <w:spacing w:after="120" w:before="260"/>
      </w:pPr>
      <w:r>
        <w:t xml:space="preserve">3.4 Level 3 — Industry Architectures / Industry Solutions</w:t>
      </w:r>
    </w:p>
    <w:p>
      <w:pPr>
        <w:pStyle w:val="Heading3"/>
        <w:spacing w:after="100" w:before="200"/>
      </w:pPr>
      <w:r>
        <w:t xml:space="preserve">3.4.1 Industry Architectures</w:t>
      </w:r>
    </w:p>
    <w:p>
      <w:pPr>
        <w:spacing w:after="80" w:before="80" w:line="300"/>
        <w:jc w:val="both"/>
      </w:pPr>
      <w:r>
        <w:t xml:space="preserve">Industry Architectures are reference architectures tailored to a specific industry. They incorporate domain-specific terminology, regulatory constraints, process patterns, and capability models. Most mature industries have at least one widely-adopted reference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Industry</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Reference Architecture</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Provides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Banking</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BIAN (Banking Industry Architecture Network)</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Service Landscape, business capabilities, service operations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Telecommunications</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eTOM / Frameworx (TM Forum)</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Process map, information framework, application framework</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Retail</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ARTS ORDM</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Operational data model, messaging standards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Healthcare</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HL7 FHIR, Da Vinci</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Clinical data exchange, care coordination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Insurance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ACORD Framework</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models, messaging, capability maps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Manufacturing</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ISA-95, RAMI 4.0</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Production control hierarchy, industrial reference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Energy &amp; Utilities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IEC CIM (61968/61970)</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Common information model for utility data</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Government</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FEAF, NAF</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Federal Enterprise Architecture, NATO Architecture Framework</w:t>
            </w:r>
          </w:p>
        </w:tc>
      </w:tr>
    </w:tbl>
    <w:p>
      <w:pPr>
        <w:pStyle w:val="Heading3"/>
        <w:spacing w:after="100" w:before="200"/>
      </w:pPr>
      <w:r>
        <w:t xml:space="preserve">3.4.2 Industry Solutions</w:t>
      </w:r>
    </w:p>
    <w:p>
      <w:pPr>
        <w:spacing w:after="80" w:before="80" w:line="300"/>
        <w:jc w:val="both"/>
      </w:pPr>
      <w:r>
        <w:t xml:space="preserve">Industry Solutions are products and packages specifically designed for a particular industry. These are typically commercial off-the-shelf (COTS) applications with deep domain functionality, often expensive, and usually replacing multiple Common Systems components.</w:t>
      </w:r>
    </w:p>
    <w:p>
      <w:pPr>
        <w:spacing w:after="80" w:before="80" w:line="300"/>
        <w:jc w:val="both"/>
      </w:pPr>
      <w:r>
        <w:t xml:space="preserve">Examples:</w:t>
      </w:r>
    </w:p>
    <w:p>
      <w:pPr>
        <w:pStyle w:val="ListParagraph"/>
        <w:numPr>
          <w:ilvl w:val="0"/>
          <w:numId w:val="2"/>
        </w:numPr>
        <w:spacing w:after="40" w:before="40" w:line="280"/>
      </w:pPr>
      <w:r>
        <w:t xml:space="preserve">Banking — Temenos, Finacle, Mambu, FIS</w:t>
      </w:r>
    </w:p>
    <w:p>
      <w:pPr>
        <w:pStyle w:val="ListParagraph"/>
        <w:numPr>
          <w:ilvl w:val="0"/>
          <w:numId w:val="2"/>
        </w:numPr>
        <w:spacing w:after="40" w:before="40" w:line="280"/>
      </w:pPr>
      <w:r>
        <w:t xml:space="preserve">Insurance — Guidewire, Duck Creek, Insurity</w:t>
      </w:r>
    </w:p>
    <w:p>
      <w:pPr>
        <w:pStyle w:val="ListParagraph"/>
        <w:numPr>
          <w:ilvl w:val="0"/>
          <w:numId w:val="2"/>
        </w:numPr>
        <w:spacing w:after="40" w:before="40" w:line="280"/>
      </w:pPr>
      <w:r>
        <w:t xml:space="preserve">Telecom — Amdocs, Netcracker, Ericsson BSS/OSS</w:t>
      </w:r>
    </w:p>
    <w:p>
      <w:pPr>
        <w:pStyle w:val="ListParagraph"/>
        <w:numPr>
          <w:ilvl w:val="0"/>
          <w:numId w:val="2"/>
        </w:numPr>
        <w:spacing w:after="40" w:before="40" w:line="280"/>
      </w:pPr>
      <w:r>
        <w:t xml:space="preserve">Retail — Oracle Retail, SAP Retail, Manhattan Associates</w:t>
      </w:r>
    </w:p>
    <w:p>
      <w:pPr>
        <w:pStyle w:val="ListParagraph"/>
        <w:numPr>
          <w:ilvl w:val="0"/>
          <w:numId w:val="2"/>
        </w:numPr>
        <w:spacing w:after="40" w:before="40" w:line="280"/>
      </w:pPr>
      <w:r>
        <w:t xml:space="preserve">Healthcare — Epic, Cerner, Meditech</w:t>
      </w:r>
    </w:p>
    <w:p>
      <w:pPr>
        <w:pStyle w:val="ListParagraph"/>
        <w:numPr>
          <w:ilvl w:val="0"/>
          <w:numId w:val="2"/>
        </w:numPr>
        <w:spacing w:after="40" w:before="40" w:line="280"/>
      </w:pPr>
      <w:r>
        <w:t xml:space="preserve">Manufacturing — SAP S/4HANA (with industry modules), Siemens Opcenter</w:t>
      </w:r>
    </w:p>
    <w:p>
      <w:pPr>
        <w:pStyle w:val="ListParagraph"/>
        <w:numPr>
          <w:ilvl w:val="0"/>
          <w:numId w:val="2"/>
        </w:numPr>
        <w:spacing w:after="40" w:before="40" w:line="280"/>
      </w:pPr>
      <w:r>
        <w:t xml:space="preserve">Capital Markets — Murex, Calypso, Finastra</w:t>
      </w:r>
    </w:p>
    <w:p>
      <w:pPr>
        <w:pStyle w:val="Heading3"/>
        <w:spacing w:after="100" w:before="200"/>
      </w:pPr>
      <w:r>
        <w:t xml:space="preserve">3.4.3 Characteristics</w:t>
      </w:r>
    </w:p>
    <w:p>
      <w:pPr>
        <w:pStyle w:val="ListParagraph"/>
        <w:numPr>
          <w:ilvl w:val="0"/>
          <w:numId w:val="2"/>
        </w:numPr>
        <w:spacing w:after="40" w:before="40" w:line="280"/>
      </w:pPr>
      <w:r>
        <w:t xml:space="preserve">Narrow applicability — relevant only to one industry</w:t>
      </w:r>
    </w:p>
    <w:p>
      <w:pPr>
        <w:pStyle w:val="ListParagraph"/>
        <w:numPr>
          <w:ilvl w:val="0"/>
          <w:numId w:val="2"/>
        </w:numPr>
        <w:spacing w:after="40" w:before="40" w:line="280"/>
      </w:pPr>
      <w:r>
        <w:t xml:space="preserve">Higher domain fidelity — model industry nuance accurately</w:t>
      </w:r>
    </w:p>
    <w:p>
      <w:pPr>
        <w:pStyle w:val="ListParagraph"/>
        <w:numPr>
          <w:ilvl w:val="0"/>
          <w:numId w:val="2"/>
        </w:numPr>
        <w:spacing w:after="40" w:before="40" w:line="280"/>
      </w:pPr>
      <w:r>
        <w:t xml:space="preserve">Often regulation-aware (Basel, HIPAA, Solvency II, PCI-DSS)</w:t>
      </w:r>
    </w:p>
    <w:p>
      <w:pPr>
        <w:pStyle w:val="ListParagraph"/>
        <w:numPr>
          <w:ilvl w:val="0"/>
          <w:numId w:val="2"/>
        </w:numPr>
        <w:spacing w:after="40" w:before="40" w:line="280"/>
      </w:pPr>
      <w:r>
        <w:t xml:space="preserve">Typically require industry-specific implementation expertise</w:t>
      </w:r>
    </w:p>
    <w:p>
      <w:pPr>
        <w:pStyle w:val="Heading2"/>
        <w:spacing w:after="120" w:before="260"/>
      </w:pPr>
      <w:r>
        <w:t xml:space="preserve">3.5 Level 4 — Organization-Specific Architectures / Organization-Specific Solutions</w:t>
      </w:r>
    </w:p>
    <w:p>
      <w:pPr>
        <w:pStyle w:val="Heading3"/>
        <w:spacing w:after="100" w:before="200"/>
      </w:pPr>
      <w:r>
        <w:t xml:space="preserve">3.5.1 Organization-Specific Architectures</w:t>
      </w:r>
    </w:p>
    <w:p>
      <w:pPr>
        <w:spacing w:after="80" w:before="80" w:line="300"/>
        <w:jc w:val="both"/>
      </w:pPr>
      <w:r>
        <w:t xml:space="preserve">Organization-Specific Architectures describe the enterprise's unique operating model, capability configuration, and strategic differentiation. They are derived by adapting Industry (and below) architectures to the specific context, principles, and strategy of the enterprise. They are typically the most valuable architectural assets in the Repository because they encode the enterprise's unique way of doing things.</w:t>
      </w:r>
    </w:p>
    <w:p>
      <w:pPr>
        <w:spacing w:after="80" w:before="80" w:line="300"/>
        <w:jc w:val="both"/>
      </w:pPr>
      <w:r>
        <w:t xml:space="preserve">Examples:</w:t>
      </w:r>
    </w:p>
    <w:p>
      <w:pPr>
        <w:pStyle w:val="ListParagraph"/>
        <w:numPr>
          <w:ilvl w:val="0"/>
          <w:numId w:val="2"/>
        </w:numPr>
        <w:spacing w:after="40" w:before="40" w:line="280"/>
      </w:pPr>
      <w:r>
        <w:t xml:space="preserve">Your enterprise's bespoke business capability map</w:t>
      </w:r>
    </w:p>
    <w:p>
      <w:pPr>
        <w:pStyle w:val="ListParagraph"/>
        <w:numPr>
          <w:ilvl w:val="0"/>
          <w:numId w:val="2"/>
        </w:numPr>
        <w:spacing w:after="40" w:before="40" w:line="280"/>
      </w:pPr>
      <w:r>
        <w:t xml:space="preserve">Your target operating model architecture</w:t>
      </w:r>
    </w:p>
    <w:p>
      <w:pPr>
        <w:pStyle w:val="ListParagraph"/>
        <w:numPr>
          <w:ilvl w:val="0"/>
          <w:numId w:val="2"/>
        </w:numPr>
        <w:spacing w:after="40" w:before="40" w:line="280"/>
      </w:pPr>
      <w:r>
        <w:t xml:space="preserve">Your data-sharing architecture tailored to your subsidiary structure</w:t>
      </w:r>
    </w:p>
    <w:p>
      <w:pPr>
        <w:pStyle w:val="ListParagraph"/>
        <w:numPr>
          <w:ilvl w:val="0"/>
          <w:numId w:val="2"/>
        </w:numPr>
        <w:spacing w:after="40" w:before="40" w:line="280"/>
      </w:pPr>
      <w:r>
        <w:t xml:space="preserve">Your integration architecture bridging legacy and modern systems</w:t>
      </w:r>
    </w:p>
    <w:p>
      <w:pPr>
        <w:pStyle w:val="ListParagraph"/>
        <w:numPr>
          <w:ilvl w:val="0"/>
          <w:numId w:val="2"/>
        </w:numPr>
        <w:spacing w:after="40" w:before="40" w:line="280"/>
      </w:pPr>
      <w:r>
        <w:t xml:space="preserve">Your organization-specific principles and standards</w:t>
      </w:r>
    </w:p>
    <w:p>
      <w:pPr>
        <w:pStyle w:val="Heading3"/>
        <w:spacing w:after="100" w:before="200"/>
      </w:pPr>
      <w:r>
        <w:t xml:space="preserve">3.5.2 Organization-Specific Solutions</w:t>
      </w:r>
    </w:p>
    <w:p>
      <w:pPr>
        <w:spacing w:after="80" w:before="80" w:line="300"/>
        <w:jc w:val="both"/>
      </w:pPr>
      <w:r>
        <w:t xml:space="preserve">Organization-Specific Solutions are the actual deployed, running systems in your enterprise — the "here and now." They are the populated Configuration Management Database; they are what Operations runs, Security audits, Finance pays for, and users log into. They include bespoke applications, customized COTS deployments, specific SaaS tenants with specific configurations, and internal platform services.</w:t>
      </w:r>
    </w:p>
    <w:p>
      <w:pPr>
        <w:pStyle w:val="Heading3"/>
        <w:spacing w:after="100" w:before="200"/>
      </w:pPr>
      <w:r>
        <w:t xml:space="preserve">3.5.3 Characteristics</w:t>
      </w:r>
    </w:p>
    <w:p>
      <w:pPr>
        <w:pStyle w:val="ListParagraph"/>
        <w:numPr>
          <w:ilvl w:val="0"/>
          <w:numId w:val="2"/>
        </w:numPr>
        <w:spacing w:after="40" w:before="40" w:line="280"/>
      </w:pPr>
      <w:r>
        <w:t xml:space="preserve">Unique to the enterprise — least reusable externally</w:t>
      </w:r>
    </w:p>
    <w:p>
      <w:pPr>
        <w:pStyle w:val="ListParagraph"/>
        <w:numPr>
          <w:ilvl w:val="0"/>
          <w:numId w:val="2"/>
        </w:numPr>
        <w:spacing w:after="40" w:before="40" w:line="280"/>
      </w:pPr>
      <w:r>
        <w:t xml:space="preserve">Most detailed — includes configurations, credentials, SLAs, runbooks</w:t>
      </w:r>
    </w:p>
    <w:p>
      <w:pPr>
        <w:pStyle w:val="ListParagraph"/>
        <w:numPr>
          <w:ilvl w:val="0"/>
          <w:numId w:val="2"/>
        </w:numPr>
        <w:spacing w:after="40" w:before="40" w:line="280"/>
      </w:pPr>
      <w:r>
        <w:t xml:space="preserve">Most volatile — changes with every release and deployment</w:t>
      </w:r>
    </w:p>
    <w:p>
      <w:pPr>
        <w:pStyle w:val="ListParagraph"/>
        <w:numPr>
          <w:ilvl w:val="0"/>
          <w:numId w:val="2"/>
        </w:numPr>
        <w:spacing w:after="40" w:before="40" w:line="280"/>
      </w:pPr>
      <w:r>
        <w:t xml:space="preserve">Highest business value when aligned to strategy — competitive differentiation lives here</w:t>
      </w:r>
    </w:p>
    <w:p>
      <w:pPr>
        <w:pStyle w:val="ListParagraph"/>
        <w:numPr>
          <w:ilvl w:val="0"/>
          <w:numId w:val="2"/>
        </w:numPr>
        <w:spacing w:after="40" w:before="40" w:line="280"/>
      </w:pPr>
      <w:r>
        <w:t xml:space="preserve">Highest risk when misaligned — bespoke deviations from standards become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four levels are not rigid boxes. An artifact can migrate between levels over time. A pattern that starts as Organization-Specific may, if generalized and shared, become a contribution to an Industry reference — some open-source projects originated this way. Conversely, an Industry solution customized heavily becomes effectively Organization-Specific and loses its reuse leverage.</w:t>
            </w:r>
          </w:p>
        </w:tc>
      </w:tr>
    </w:tbl>
    <w:p>
      <w:pPr>
        <w:pStyle w:val="Heading1"/>
        <w:pageBreakBefore/>
        <w:spacing w:after="180" w:before="360"/>
      </w:pPr>
      <w:r>
        <w:t xml:space="preserve">4. Building Blocks — ABBs and SBBs</w:t>
      </w:r>
    </w:p>
    <w:p>
      <w:pPr>
        <w:pStyle w:val="Heading2"/>
        <w:spacing w:after="120" w:before="260"/>
      </w:pPr>
      <w:r>
        <w:t xml:space="preserve">4.1 The Concept of a Building Block</w:t>
      </w:r>
    </w:p>
    <w:p>
      <w:pPr>
        <w:spacing w:after="80" w:before="80" w:line="300"/>
        <w:jc w:val="both"/>
      </w:pPr>
      <w:r>
        <w:t xml:space="preserve">A Building Block is a package of functionality defined to meet the business needs across an organization. Building Blocks are the fundamental units of architecture — they encapsulate capability so that it can be named, reasoned about, reused, and governed. The Enterprise Continuum is populated largely by Building Blocks.</w:t>
      </w:r>
    </w:p>
    <w:p>
      <w:pPr>
        <w:spacing w:after="80" w:before="80" w:line="300"/>
        <w:jc w:val="both"/>
      </w:pPr>
      <w:r>
        <w:t xml:space="preserve">TOGAF distinguishes two kinds of Building Block, corresponding to the two continuums:</w:t>
      </w:r>
    </w:p>
    <w:p>
      <w:pPr>
        <w:pStyle w:val="ListParagraph"/>
        <w:numPr>
          <w:ilvl w:val="0"/>
          <w:numId w:val="2"/>
        </w:numPr>
        <w:spacing w:after="40" w:before="40" w:line="280"/>
      </w:pPr>
      <w:r>
        <w:rPr>
          <w:b/>
          <w:bCs/>
        </w:rPr>
        <w:t xml:space="preserve">Architecture Building Block (ABB): </w:t>
      </w:r>
      <w:r>
        <w:t xml:space="preserve">describes required capability and shapes the specification of Solution Building Blocks. Lives on the Architecture Continuum.</w:t>
      </w:r>
    </w:p>
    <w:p>
      <w:pPr>
        <w:pStyle w:val="ListParagraph"/>
        <w:numPr>
          <w:ilvl w:val="0"/>
          <w:numId w:val="2"/>
        </w:numPr>
        <w:spacing w:after="40" w:before="40" w:line="280"/>
      </w:pPr>
      <w:r>
        <w:rPr>
          <w:b/>
          <w:bCs/>
        </w:rPr>
        <w:t xml:space="preserve">Solution Building Block (SBB): </w:t>
      </w:r>
      <w:r>
        <w:t xml:space="preserve">realizes a Building Block with concrete implementation. Lives on the Solutions Continuum.</w:t>
      </w:r>
    </w:p>
    <w:p>
      <w:pPr>
        <w:pStyle w:val="Heading2"/>
        <w:spacing w:after="120" w:before="260"/>
      </w:pPr>
      <w:r>
        <w:t xml:space="preserve">4.2 Characteristics of a Good Building Block</w:t>
      </w:r>
    </w:p>
    <w:p>
      <w:pPr>
        <w:spacing w:after="80" w:before="80" w:line="300"/>
        <w:jc w:val="both"/>
      </w:pPr>
      <w:r>
        <w:t xml:space="preserve">TOGAF lists specific qualities every Building Block should exhibit. These are examinable:</w:t>
      </w:r>
    </w:p>
    <w:p>
      <w:pPr>
        <w:pStyle w:val="ListParagraph"/>
        <w:numPr>
          <w:ilvl w:val="0"/>
          <w:numId w:val="2"/>
        </w:numPr>
        <w:spacing w:after="40" w:before="40" w:line="280"/>
      </w:pPr>
      <w:r>
        <w:t xml:space="preserve">A Building Block has a type that corresponds to the TOGAF content metamodel (for example, Actor, Business Service, Application Component, Data Entity)</w:t>
      </w:r>
    </w:p>
    <w:p>
      <w:pPr>
        <w:pStyle w:val="ListParagraph"/>
        <w:numPr>
          <w:ilvl w:val="0"/>
          <w:numId w:val="2"/>
        </w:numPr>
        <w:spacing w:after="40" w:before="40" w:line="280"/>
      </w:pPr>
      <w:r>
        <w:t xml:space="preserve">Considers implementation and usage</w:t>
      </w:r>
    </w:p>
    <w:p>
      <w:pPr>
        <w:pStyle w:val="ListParagraph"/>
        <w:numPr>
          <w:ilvl w:val="0"/>
          <w:numId w:val="2"/>
        </w:numPr>
        <w:spacing w:after="40" w:before="40" w:line="280"/>
      </w:pPr>
      <w:r>
        <w:t xml:space="preserve">Evolves to exploit technology and standards</w:t>
      </w:r>
    </w:p>
    <w:p>
      <w:pPr>
        <w:pStyle w:val="ListParagraph"/>
        <w:numPr>
          <w:ilvl w:val="0"/>
          <w:numId w:val="2"/>
        </w:numPr>
        <w:spacing w:after="40" w:before="40" w:line="280"/>
      </w:pPr>
      <w:r>
        <w:t xml:space="preserve">May be assembled from other Building Blocks</w:t>
      </w:r>
    </w:p>
    <w:p>
      <w:pPr>
        <w:pStyle w:val="ListParagraph"/>
        <w:numPr>
          <w:ilvl w:val="0"/>
          <w:numId w:val="2"/>
        </w:numPr>
        <w:spacing w:after="40" w:before="40" w:line="280"/>
      </w:pPr>
      <w:r>
        <w:t xml:space="preserve">May be a subassembly of other Building Blocks</w:t>
      </w:r>
    </w:p>
    <w:p>
      <w:pPr>
        <w:pStyle w:val="ListParagraph"/>
        <w:numPr>
          <w:ilvl w:val="0"/>
          <w:numId w:val="2"/>
        </w:numPr>
        <w:spacing w:after="40" w:before="40" w:line="280"/>
      </w:pPr>
      <w:r>
        <w:t xml:space="preserve">Ideally re-usable, replaceable, and well specified</w:t>
      </w:r>
    </w:p>
    <w:p>
      <w:pPr>
        <w:pStyle w:val="ListParagraph"/>
        <w:numPr>
          <w:ilvl w:val="0"/>
          <w:numId w:val="2"/>
        </w:numPr>
        <w:spacing w:after="40" w:before="40" w:line="280"/>
      </w:pPr>
      <w:r>
        <w:t xml:space="preserve">Must have a stable published interface so dependencies can be managed</w:t>
      </w:r>
    </w:p>
    <w:p>
      <w:pPr>
        <w:pStyle w:val="Heading2"/>
        <w:spacing w:after="120" w:before="260"/>
      </w:pPr>
      <w:r>
        <w:t xml:space="preserve">4.3 Architecture Building Blocks (ABBs)</w:t>
      </w:r>
    </w:p>
    <w:p>
      <w:pPr>
        <w:pStyle w:val="Heading3"/>
        <w:spacing w:after="100" w:before="200"/>
      </w:pPr>
      <w:r>
        <w:t xml:space="preserve">4.3.1 Purpose</w:t>
      </w:r>
    </w:p>
    <w:p>
      <w:pPr>
        <w:spacing w:after="80" w:before="80" w:line="300"/>
        <w:jc w:val="both"/>
      </w:pPr>
      <w:r>
        <w:t xml:space="preserve">ABBs describe what functionality is required and the logical structure to deliver it — independent of any specific product or vendor. They specify behavior, interfaces, non-functional attributes (performance, availability, security), and dependencies. ABBs are typically developed in Phases A through D of the ADM, and are the primary inputs to Phase E where SBBs are selected.</w:t>
      </w:r>
    </w:p>
    <w:p>
      <w:pPr>
        <w:pStyle w:val="Heading3"/>
        <w:spacing w:after="100" w:before="200"/>
      </w:pPr>
      <w:r>
        <w:t xml:space="preserve">4.3.2 Typical Content of an ABB Specification</w:t>
      </w:r>
    </w:p>
    <w:p>
      <w:pPr>
        <w:pStyle w:val="ListParagraph"/>
        <w:numPr>
          <w:ilvl w:val="0"/>
          <w:numId w:val="2"/>
        </w:numPr>
        <w:spacing w:after="40" w:before="40" w:line="280"/>
      </w:pPr>
      <w:r>
        <w:t xml:space="preserve">Fundamental functionality and attributes — semantic, unambiguous, including security</w:t>
      </w:r>
    </w:p>
    <w:p>
      <w:pPr>
        <w:pStyle w:val="ListParagraph"/>
        <w:numPr>
          <w:ilvl w:val="0"/>
          <w:numId w:val="2"/>
        </w:numPr>
        <w:spacing w:after="40" w:before="40" w:line="280"/>
      </w:pPr>
      <w:r>
        <w:t xml:space="preserve">Interfaces — chosen set, identified but not specified in detail</w:t>
      </w:r>
    </w:p>
    <w:p>
      <w:pPr>
        <w:pStyle w:val="ListParagraph"/>
        <w:numPr>
          <w:ilvl w:val="0"/>
          <w:numId w:val="2"/>
        </w:numPr>
        <w:spacing w:after="40" w:before="40" w:line="280"/>
      </w:pPr>
      <w:r>
        <w:t xml:space="preserve">Interoperability and relationships with other building blocks</w:t>
      </w:r>
    </w:p>
    <w:p>
      <w:pPr>
        <w:pStyle w:val="ListParagraph"/>
        <w:numPr>
          <w:ilvl w:val="0"/>
          <w:numId w:val="2"/>
        </w:numPr>
        <w:spacing w:after="40" w:before="40" w:line="280"/>
      </w:pPr>
      <w:r>
        <w:t xml:space="preserve">Dependent building blocks with required functionality and named user interfaces</w:t>
      </w:r>
    </w:p>
    <w:p>
      <w:pPr>
        <w:pStyle w:val="ListParagraph"/>
        <w:numPr>
          <w:ilvl w:val="0"/>
          <w:numId w:val="2"/>
        </w:numPr>
        <w:spacing w:after="40" w:before="40" w:line="280"/>
      </w:pPr>
      <w:r>
        <w:t xml:space="preserve">Map to business/organizational entities and policies</w:t>
      </w:r>
    </w:p>
    <w:p>
      <w:pPr>
        <w:pStyle w:val="ListParagraph"/>
        <w:numPr>
          <w:ilvl w:val="0"/>
          <w:numId w:val="2"/>
        </w:numPr>
        <w:spacing w:after="40" w:before="40" w:line="280"/>
      </w:pPr>
      <w:r>
        <w:t xml:space="preserve">Performance, scalability, and availability characteristics</w:t>
      </w:r>
    </w:p>
    <w:p>
      <w:pPr>
        <w:pStyle w:val="ListParagraph"/>
        <w:numPr>
          <w:ilvl w:val="0"/>
          <w:numId w:val="2"/>
        </w:numPr>
        <w:spacing w:after="40" w:before="40" w:line="280"/>
      </w:pPr>
      <w:r>
        <w:t xml:space="preserve">Drivers — functional, non-functional, and strategic requirements it addresses</w:t>
      </w:r>
    </w:p>
    <w:p>
      <w:pPr>
        <w:pStyle w:val="Heading3"/>
        <w:spacing w:after="100" w:before="200"/>
      </w:pPr>
      <w:r>
        <w:t xml:space="preserve">4.3.3 Examples of ABBs</w:t>
      </w:r>
    </w:p>
    <w:p>
      <w:pPr>
        <w:pStyle w:val="ListParagraph"/>
        <w:numPr>
          <w:ilvl w:val="0"/>
          <w:numId w:val="2"/>
        </w:numPr>
        <w:spacing w:after="40" w:before="40" w:line="280"/>
      </w:pPr>
      <w:r>
        <w:t xml:space="preserve">"Customer Identity Service" (logical) — supports authentication, authorization, audit</w:t>
      </w:r>
    </w:p>
    <w:p>
      <w:pPr>
        <w:pStyle w:val="ListParagraph"/>
        <w:numPr>
          <w:ilvl w:val="0"/>
          <w:numId w:val="2"/>
        </w:numPr>
        <w:spacing w:after="40" w:before="40" w:line="280"/>
      </w:pPr>
      <w:r>
        <w:t xml:space="preserve">"Event Streaming Platform" (logical) — supports durable, ordered, replayable event distribution</w:t>
      </w:r>
    </w:p>
    <w:p>
      <w:pPr>
        <w:pStyle w:val="ListParagraph"/>
        <w:numPr>
          <w:ilvl w:val="0"/>
          <w:numId w:val="2"/>
        </w:numPr>
        <w:spacing w:after="40" w:before="40" w:line="280"/>
      </w:pPr>
      <w:r>
        <w:t xml:space="preserve">"Master Data Management Hub" (logical) — single authoritative source for master entities</w:t>
      </w:r>
    </w:p>
    <w:p>
      <w:pPr>
        <w:pStyle w:val="ListParagraph"/>
        <w:numPr>
          <w:ilvl w:val="0"/>
          <w:numId w:val="2"/>
        </w:numPr>
        <w:spacing w:after="40" w:before="40" w:line="280"/>
      </w:pPr>
      <w:r>
        <w:t xml:space="preserve">"API Gateway" (logical) — edge enforcement of authentication, rate-limiting, versioning</w:t>
      </w:r>
    </w:p>
    <w:p>
      <w:pPr>
        <w:pStyle w:val="Heading2"/>
        <w:spacing w:after="120" w:before="260"/>
      </w:pPr>
      <w:r>
        <w:t xml:space="preserve">4.4 Solution Building Blocks (SBBs)</w:t>
      </w:r>
    </w:p>
    <w:p>
      <w:pPr>
        <w:pStyle w:val="Heading3"/>
        <w:spacing w:after="100" w:before="200"/>
      </w:pPr>
      <w:r>
        <w:t xml:space="preserve">4.4.1 Purpose</w:t>
      </w:r>
    </w:p>
    <w:p>
      <w:pPr>
        <w:spacing w:after="80" w:before="80" w:line="300"/>
        <w:jc w:val="both"/>
      </w:pPr>
      <w:r>
        <w:t xml:space="preserve">SBBs realize ABBs — they are the actual or selected products, components, or services that implement the required capability. SBBs are primarily dealt with during Phases E, F, and G of the ADM, where logical architecture is translated into concrete delivery.</w:t>
      </w:r>
    </w:p>
    <w:p>
      <w:pPr>
        <w:pStyle w:val="Heading3"/>
        <w:spacing w:after="100" w:before="200"/>
      </w:pPr>
      <w:r>
        <w:t xml:space="preserve">4.4.2 Typical Content of an SBB Specification</w:t>
      </w:r>
    </w:p>
    <w:p>
      <w:pPr>
        <w:pStyle w:val="ListParagraph"/>
        <w:numPr>
          <w:ilvl w:val="0"/>
          <w:numId w:val="2"/>
        </w:numPr>
        <w:spacing w:after="40" w:before="40" w:line="280"/>
      </w:pPr>
      <w:r>
        <w:t xml:space="preserve">Specific functionality and attributes</w:t>
      </w:r>
    </w:p>
    <w:p>
      <w:pPr>
        <w:pStyle w:val="ListParagraph"/>
        <w:numPr>
          <w:ilvl w:val="0"/>
          <w:numId w:val="2"/>
        </w:numPr>
        <w:spacing w:after="40" w:before="40" w:line="280"/>
      </w:pPr>
      <w:r>
        <w:t xml:space="preserve">Interfaces — the implemented set</w:t>
      </w:r>
    </w:p>
    <w:p>
      <w:pPr>
        <w:pStyle w:val="ListParagraph"/>
        <w:numPr>
          <w:ilvl w:val="0"/>
          <w:numId w:val="2"/>
        </w:numPr>
        <w:spacing w:after="40" w:before="40" w:line="280"/>
      </w:pPr>
      <w:r>
        <w:t xml:space="preserve">Required Solution Building Blocks used with defined functionality and named interfaces</w:t>
      </w:r>
    </w:p>
    <w:p>
      <w:pPr>
        <w:pStyle w:val="ListParagraph"/>
        <w:numPr>
          <w:ilvl w:val="0"/>
          <w:numId w:val="2"/>
        </w:numPr>
        <w:spacing w:after="40" w:before="40" w:line="280"/>
      </w:pPr>
      <w:r>
        <w:t xml:space="preserve">Mapping to business/organizational entities</w:t>
      </w:r>
    </w:p>
    <w:p>
      <w:pPr>
        <w:pStyle w:val="ListParagraph"/>
        <w:numPr>
          <w:ilvl w:val="0"/>
          <w:numId w:val="2"/>
        </w:numPr>
        <w:spacing w:after="40" w:before="40" w:line="280"/>
      </w:pPr>
      <w:r>
        <w:t xml:space="preserve">Implementation details (product, vendor, version, licensing)</w:t>
      </w:r>
    </w:p>
    <w:p>
      <w:pPr>
        <w:pStyle w:val="ListParagraph"/>
        <w:numPr>
          <w:ilvl w:val="0"/>
          <w:numId w:val="2"/>
        </w:numPr>
        <w:spacing w:after="40" w:before="40" w:line="280"/>
      </w:pPr>
      <w:r>
        <w:t xml:space="preserve">Operational characteristics (deployment model, capacity, support)</w:t>
      </w:r>
    </w:p>
    <w:p>
      <w:pPr>
        <w:pStyle w:val="Heading3"/>
        <w:spacing w:after="100" w:before="200"/>
      </w:pPr>
      <w:r>
        <w:t xml:space="preserve">4.4.3 Examples of SBBs</w:t>
      </w:r>
    </w:p>
    <w:p>
      <w:pPr>
        <w:pStyle w:val="ListParagraph"/>
        <w:numPr>
          <w:ilvl w:val="0"/>
          <w:numId w:val="2"/>
        </w:numPr>
        <w:spacing w:after="40" w:before="40" w:line="280"/>
      </w:pPr>
      <w:r>
        <w:t xml:space="preserve">"Okta Customer Identity Cloud tenant #47921" realizing the Customer Identity Service ABB</w:t>
      </w:r>
    </w:p>
    <w:p>
      <w:pPr>
        <w:pStyle w:val="ListParagraph"/>
        <w:numPr>
          <w:ilvl w:val="0"/>
          <w:numId w:val="2"/>
        </w:numPr>
        <w:spacing w:after="40" w:before="40" w:line="280"/>
      </w:pPr>
      <w:r>
        <w:t xml:space="preserve">"Confluent Cloud Kafka cluster claims-prod-01" realizing the Event Streaming Platform ABB</w:t>
      </w:r>
    </w:p>
    <w:p>
      <w:pPr>
        <w:pStyle w:val="ListParagraph"/>
        <w:numPr>
          <w:ilvl w:val="0"/>
          <w:numId w:val="2"/>
        </w:numPr>
        <w:spacing w:after="40" w:before="40" w:line="280"/>
      </w:pPr>
      <w:r>
        <w:t xml:space="preserve">"Informatica MDM 10.5 deployment" realizing the MDM Hub ABB</w:t>
      </w:r>
    </w:p>
    <w:p>
      <w:pPr>
        <w:pStyle w:val="ListParagraph"/>
        <w:numPr>
          <w:ilvl w:val="0"/>
          <w:numId w:val="2"/>
        </w:numPr>
        <w:spacing w:after="40" w:before="40" w:line="280"/>
      </w:pPr>
      <w:r>
        <w:t xml:space="preserve">"Apigee X API Gateway across EU/US regions" realizing the API Gateway ABB</w:t>
      </w:r>
    </w:p>
    <w:p>
      <w:pPr>
        <w:pStyle w:val="Heading2"/>
        <w:spacing w:after="120" w:before="260"/>
      </w:pPr>
      <w:r>
        <w:t xml:space="preserve">4.5 ABB vs. SBB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Dimension</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Architecture Building Block (ABB)</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Solution Building Block (SBB)</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Purpose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Describes required capability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Realizes the capability</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Level</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Logical / conceptual</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Physical / actual</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Technology-independent</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Product- and version-specific</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Developed by</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Architects</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Solution architects, engineers, vendors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ADM Phases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B, C, D — architecture development</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 F, G — opportunities, migration, governance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Primary consumers</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Other architects, Architecture Board</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Engineers, operations, procurement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Lifecycle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Changes slowly; reviewed as strategy changes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Changes frequently; tracks vendor releases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Example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"Identity Service"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"Okta tenant configured for EU/US"</w:t>
            </w:r>
          </w:p>
        </w:tc>
      </w:tr>
    </w:tbl>
    <w:p>
      <w:pPr>
        <w:pStyle w:val="Heading2"/>
        <w:spacing w:after="120" w:before="260"/>
      </w:pPr>
      <w:r>
        <w:t xml:space="preserve">4.6 How Building Blocks Evolve Along the Continuum</w:t>
      </w:r>
    </w:p>
    <w:p>
      <w:pPr>
        <w:spacing w:after="80" w:before="80" w:line="300"/>
        <w:jc w:val="both"/>
      </w:pPr>
      <w:r>
        <w:t xml:space="preserve">Building Blocks do not exist in isolation at a single continuum level — they evolve across levels as they are refined for specific contexts. A Common Systems ABB (like a generic "Identity Service") gets refined into an Industry-level ABB (a "B2C Identity Service" suited to retail), and then into an Organization-Specific ABB ("Our retail customer identity service with loyalty-program hooks"). Each step narrows applicability but increases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Track the "Order Management" capability across both continuums:</w:t>
            </w:r>
          </w:p>
          <w:p>
            <w:pPr>
              <w:spacing w:after="40" w:before="40" w:line="280"/>
            </w:pPr>
            <w:r>
              <w:t xml:space="preserve">ARCHITECTURE CONTINUUM:</w:t>
            </w:r>
          </w:p>
          <w:p>
            <w:pPr>
              <w:spacing w:after="40" w:before="40" w:line="280"/>
            </w:pPr>
            <w:r>
              <w:t xml:space="preserve">— Foundation: generic "Transactional Processing" service in TOGAF TRM.</w:t>
            </w:r>
          </w:p>
          <w:p>
            <w:pPr>
              <w:spacing w:after="40" w:before="40" w:line="280"/>
            </w:pPr>
            <w:r>
              <w:t xml:space="preserve">— Common Systems: "Order Management" logical pattern — receive, validate, route, fulfill.</w:t>
            </w:r>
          </w:p>
          <w:p>
            <w:pPr>
              <w:spacing w:after="40" w:before="40" w:line="280"/>
            </w:pPr>
            <w:r>
              <w:t xml:space="preserve">— Industry (Retail): ARTS-aligned order domain including omnichannel order capture, BOPIS (buy-online-pickup-in-store), returns.</w:t>
            </w:r>
          </w:p>
          <w:p>
            <w:pPr>
              <w:spacing w:after="40" w:before="40" w:line="280"/>
            </w:pPr>
            <w:r>
              <w:t xml:space="preserve">— Organization-Specific: your retailer's unique "Endless Aisle + Subscription" order model.</w:t>
            </w:r>
          </w:p>
          <w:p>
            <w:pPr>
              <w:spacing w:after="40" w:before="40" w:line="280"/>
            </w:pPr>
            <w:r>
              <w:t xml:space="preserve">SOLUTIONS CONTINUUM:</w:t>
            </w:r>
          </w:p>
          <w:p>
            <w:pPr>
              <w:spacing w:after="40" w:before="40" w:line="280"/>
            </w:pPr>
            <w:r>
              <w:t xml:space="preserve">— Foundation: reference diagram showing inputs, processing, outputs with no product.</w:t>
            </w:r>
          </w:p>
          <w:p>
            <w:pPr>
              <w:spacing w:after="40" w:before="40" w:line="280"/>
            </w:pPr>
            <w:r>
              <w:t xml:space="preserve">— Common Systems: generic OMS with durable queue and state machine.</w:t>
            </w:r>
          </w:p>
          <w:p>
            <w:pPr>
              <w:spacing w:after="40" w:before="40" w:line="280"/>
            </w:pPr>
            <w:r>
              <w:t xml:space="preserve">— Industry: Manhattan Active Omni, Oracle Retail OMS, IBM Sterling OMS.</w:t>
            </w:r>
          </w:p>
          <w:p>
            <w:pPr>
              <w:spacing w:after="40" w:before="40" w:line="280"/>
            </w:pPr>
            <w:r>
              <w:t xml:space="preserve">— Organization-Specific: "our Manhattan OMS instance with custom returns workflow and regional promo engine integration."</w:t>
            </w:r>
          </w:p>
        </w:tc>
      </w:tr>
    </w:tbl>
    <w:p>
      <w:pPr>
        <w:pStyle w:val="Heading1"/>
        <w:pageBreakBefore/>
        <w:spacing w:after="180" w:before="360"/>
      </w:pPr>
      <w:r>
        <w:t xml:space="preserve">5. The Continuum and the Architecture Repository</w:t>
      </w:r>
    </w:p>
    <w:p>
      <w:pPr>
        <w:pStyle w:val="Heading2"/>
        <w:spacing w:after="120" w:before="260"/>
      </w:pPr>
      <w:r>
        <w:t xml:space="preserve">5.1 Continuum vs. Repository — Relationship</w:t>
      </w:r>
    </w:p>
    <w:p>
      <w:pPr>
        <w:spacing w:after="80" w:before="80" w:line="300"/>
        <w:jc w:val="both"/>
      </w:pPr>
      <w:r>
        <w:t xml:space="preserve">A frequent point of confusion: what is the difference between the Enterprise Continuum and the Architecture Repository? The Continuum is a conceptual classification scheme — a way of thinking about how content relates. The Repository is the physical, organized, queryable store where that content actually lives. The Continuum tells you how to organize; the Repository is where you put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Aspect</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Enterprise Continuum</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Architecture Repository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Nature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Conceptual taxonomy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Physical store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Purpose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Classify artifacts from generic → specific</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Persist, version, and share artifacts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Tangibility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Abstract — a way of thinking</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Concrete — tools, folders, models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Scope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Universal — spans across organizations</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Enterprise-specific — your content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Tool implementation</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None directly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EA tooling, wikis, model repos</w:t>
            </w:r>
          </w:p>
        </w:tc>
      </w:tr>
    </w:tbl>
    <w:p>
      <w:pPr>
        <w:pStyle w:val="Heading2"/>
        <w:spacing w:after="120" w:before="260"/>
      </w:pPr>
      <w:r>
        <w:t xml:space="preserve">5.2 How the Repository Uses the Continuum</w:t>
      </w:r>
    </w:p>
    <w:p>
      <w:pPr>
        <w:spacing w:after="80" w:before="80" w:line="300"/>
        <w:jc w:val="both"/>
      </w:pPr>
      <w:r>
        <w:t xml:space="preserve">Within the Architecture Repository, content is organized using the Continuum as a classification backbone. The Reference Library class of content inside the Repository explicitly stratifies reference material by Continuum level. The Solutions Landscape class catalogs the Organization-Specific deployed solutions. Each artifact in the Repository carries metadata indicating its Continuum position (Architecture vs. Solutions; Foundation, Common, Industry, or Organization-Specific).</w:t>
      </w:r>
    </w:p>
    <w:p>
      <w:pPr>
        <w:pStyle w:val="Heading2"/>
        <w:spacing w:after="120" w:before="260"/>
      </w:pPr>
      <w:r>
        <w:t xml:space="preserve">5.3 The Reference Library</w:t>
      </w:r>
    </w:p>
    <w:p>
      <w:pPr>
        <w:spacing w:after="80" w:before="80" w:line="300"/>
        <w:jc w:val="both"/>
      </w:pPr>
      <w:r>
        <w:t xml:space="preserve">The Reference Library is a dedicated class of content within the Architecture Repository where reusable Continuum assets live. It typically organizes content by domain (Business, Data, Application, Technology) and by Continuum level. Architects browse it before starting new work to find adoptable reference material.</w:t>
      </w:r>
    </w:p>
    <w:p>
      <w:pPr>
        <w:pStyle w:val="Heading2"/>
        <w:spacing w:after="120" w:before="260"/>
      </w:pPr>
      <w:r>
        <w:t xml:space="preserve">5.4 The Standards Information Base (SIB)</w:t>
      </w:r>
    </w:p>
    <w:p>
      <w:pPr>
        <w:spacing w:after="80" w:before="80" w:line="300"/>
        <w:jc w:val="both"/>
      </w:pPr>
      <w:r>
        <w:t xml:space="preserve">The Standards Information Base holds the standards — external (ISO, W3C, NIST, industry consortia) and internal (organization-specific). Each standard is implicitly classified by Continuum level: an ISO standard sits at Foundation or Common Systems; an industry-consortium standard sits at Industry; an internal bespoke standard sits at Organization-Specific. Enterprises typically adopt external standards wherever possible and create bespoke ones only when genuinely needed.</w:t>
      </w:r>
    </w:p>
    <w:p>
      <w:pPr>
        <w:pStyle w:val="Heading2"/>
        <w:spacing w:after="120" w:before="260"/>
      </w:pPr>
      <w:r>
        <w:t xml:space="preserve">5.5 The Governance Log and the Continuum</w:t>
      </w:r>
    </w:p>
    <w:p>
      <w:pPr>
        <w:spacing w:after="80" w:before="80" w:line="300"/>
        <w:jc w:val="both"/>
      </w:pPr>
      <w:r>
        <w:t xml:space="preserve">The Governance Log records decisions made by the Architecture Board — including decisions about which Continuum-level assets to adopt, when to promote an Organization-Specific asset up into a shared Common asset, and when to deprecate an adopted asset. These decisions are captured as ADRs and referenced in the Repository.</w:t>
      </w:r>
    </w:p>
    <w:p>
      <w:pPr>
        <w:pStyle w:val="Heading2"/>
        <w:spacing w:after="120" w:before="260"/>
      </w:pPr>
      <w:r>
        <w:t xml:space="preserve">5.6 The Solutions Landscape</w:t>
      </w:r>
    </w:p>
    <w:p>
      <w:pPr>
        <w:spacing w:after="80" w:before="80" w:line="300"/>
        <w:jc w:val="both"/>
      </w:pPr>
      <w:r>
        <w:t xml:space="preserve">The Solutions Landscape holds the Organization-Specific Solutions — the actual portfolio of running systems. It is typically integrated with the CMDB (Configuration Management Database) or a dedicated EA tool. Each entry records the SBB realizing each ABB, the lifecycle state (plan, build, run, retire), and linkage back to Architecture Continuum assets that it realizes.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consumer electronics retailer organizes its Architecture Repository around the Continuum:</w:t>
            </w:r>
          </w:p>
          <w:p>
            <w:pPr>
              <w:spacing w:after="40" w:before="40" w:line="280"/>
            </w:pPr>
            <w:r>
              <w:t xml:space="preserve">Reference Library — structured with sections: Foundation (TRM, III-RM, NIST Zero Trust), Common Systems (identity, integration, observability), Industry (ARTS operational model, NRF data standards), Organization-Specific (our omni-channel reference).</w:t>
            </w:r>
          </w:p>
          <w:p>
            <w:pPr>
              <w:spacing w:after="40" w:before="40" w:line="280"/>
            </w:pPr>
            <w:r>
              <w:t xml:space="preserve">Standards Information Base — ISO 20022, W3C standards at Common level; PCI-DSS at Industry/Regulatory; internal "RST-STD-0043 API Versioning Standard" at Organization-Specific.</w:t>
            </w:r>
          </w:p>
          <w:p>
            <w:pPr>
              <w:spacing w:after="40" w:before="40" w:line="280"/>
            </w:pPr>
            <w:r>
              <w:t xml:space="preserve">Solutions Landscape — 142 applications, each tagged with its corresponding ABB ID, its Continuum level, and lifecycle state.</w:t>
            </w:r>
          </w:p>
          <w:p>
            <w:pPr>
              <w:spacing w:after="40" w:before="40" w:line="280"/>
            </w:pPr>
            <w:r>
              <w:t xml:space="preserve">Governance Log — 68 ADRs in 2025, including ADR-0121 "Promote our Product MDM pattern to Common Systems, document as reusable".</w:t>
            </w:r>
          </w:p>
        </w:tc>
      </w:tr>
    </w:tbl>
    <w:p>
      <w:pPr>
        <w:pStyle w:val="Heading1"/>
        <w:pageBreakBefore/>
        <w:spacing w:after="180" w:before="360"/>
      </w:pPr>
      <w:r>
        <w:t xml:space="preserve">6. The Continuum in the ADM</w:t>
      </w:r>
    </w:p>
    <w:p>
      <w:pPr>
        <w:pStyle w:val="Heading2"/>
        <w:spacing w:after="120" w:before="260"/>
      </w:pPr>
      <w:r>
        <w:t xml:space="preserve">6.1 Continuum Use at Each Phase</w:t>
      </w:r>
    </w:p>
    <w:p>
      <w:pPr>
        <w:spacing w:after="80" w:before="80" w:line="300"/>
        <w:jc w:val="both"/>
      </w:pPr>
      <w:r>
        <w:t xml:space="preserve">The Enterprise Continuum is used actively throughout the ADM. Understanding where and how is crucial for both practice and exam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Phase</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Continuum Use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Preliminary</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Populate the Repository with initial Foundation and Common reference architectures; decide which Industry architectures apply; establish tailoring</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A — Vision</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Reference existing Organization-Specific and Industry architectures to shape the Vision; identify reusable Continuum assets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B — Business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Adopt Industry business capability maps and value stream models; adapt to Organization-Specific</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C — Data</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Adopt Industry reference data models (ACORD, FHIR, BIAN); adapt; identify Data ABBs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C — Application</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Use III-RM to organize Application ABBs; adapt Industry patterns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D — Technology</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Use TRM as foundation; adopt Common Systems patterns; specify Technology ABBs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E — Opportunities &amp; Solutions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Identify SBBs that realize the ABBs; use Solutions Continuum for product evaluation; assemble Transition Architectures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F — Migration Planning</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Confirm SBBs and finalize migration path; update Repository with finalized Continuum assets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G — Implementation Governance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 SBB deployment; ensure conformance to approved ABBs; capture Organization-Specific learnings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H — Change Management</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Monitor drift between intended and actual Continuum position; initiate re-architecture when needed</w:t>
            </w:r>
          </w:p>
        </w:tc>
      </w:tr>
    </w:tbl>
    <w:p>
      <w:pPr>
        <w:pStyle w:val="Heading2"/>
        <w:spacing w:after="120" w:before="260"/>
      </w:pPr>
      <w:r>
        <w:t xml:space="preserve">6.2 How the Continuum Supports Reuse</w:t>
      </w:r>
    </w:p>
    <w:p>
      <w:pPr>
        <w:spacing w:after="80" w:before="80" w:line="300"/>
        <w:jc w:val="both"/>
      </w:pPr>
      <w:r>
        <w:t xml:space="preserve">The central value of the Enterprise Continuum is enabling reuse. Concretely, it supports reuse through four mechanisms:</w:t>
      </w:r>
    </w:p>
    <w:p>
      <w:pPr>
        <w:pStyle w:val="ListParagraph"/>
        <w:numPr>
          <w:ilvl w:val="0"/>
          <w:numId w:val="2"/>
        </w:numPr>
        <w:spacing w:after="40" w:before="40" w:line="280"/>
      </w:pPr>
      <w:r>
        <w:rPr>
          <w:b/>
          <w:bCs/>
        </w:rPr>
        <w:t xml:space="preserve">Discoverability: </w:t>
      </w:r>
      <w:r>
        <w:t xml:space="preserve">because artifacts are classified, architects can find existing assets rather than reinventing them.</w:t>
      </w:r>
    </w:p>
    <w:p>
      <w:pPr>
        <w:pStyle w:val="ListParagraph"/>
        <w:numPr>
          <w:ilvl w:val="0"/>
          <w:numId w:val="2"/>
        </w:numPr>
        <w:spacing w:after="40" w:before="40" w:line="280"/>
      </w:pPr>
      <w:r>
        <w:rPr>
          <w:b/>
          <w:bCs/>
        </w:rPr>
        <w:t xml:space="preserve">Adaptation guidance: </w:t>
      </w:r>
      <w:r>
        <w:t xml:space="preserve">the Continuum makes explicit that assets can be adopted at one level and refined to another.</w:t>
      </w:r>
    </w:p>
    <w:p>
      <w:pPr>
        <w:pStyle w:val="ListParagraph"/>
        <w:numPr>
          <w:ilvl w:val="0"/>
          <w:numId w:val="2"/>
        </w:numPr>
        <w:spacing w:after="40" w:before="40" w:line="280"/>
      </w:pPr>
      <w:r>
        <w:rPr>
          <w:b/>
          <w:bCs/>
        </w:rPr>
        <w:t xml:space="preserve">Standardization: </w:t>
      </w:r>
      <w:r>
        <w:t xml:space="preserve">adopting Foundation and Common Systems assets enforces consistency across the enterprise.</w:t>
      </w:r>
    </w:p>
    <w:p>
      <w:pPr>
        <w:pStyle w:val="ListParagraph"/>
        <w:numPr>
          <w:ilvl w:val="0"/>
          <w:numId w:val="2"/>
        </w:numPr>
        <w:spacing w:after="40" w:before="40" w:line="280"/>
      </w:pPr>
      <w:r>
        <w:rPr>
          <w:b/>
          <w:bCs/>
        </w:rPr>
        <w:t xml:space="preserve">Vendor leverage: </w:t>
      </w:r>
      <w:r>
        <w:t xml:space="preserve">classifying vendor offerings on the Solutions Continuum clarifies what is commoditized vs. differentiating.</w:t>
      </w:r>
    </w:p>
    <w:p>
      <w:pPr>
        <w:pStyle w:val="Heading2"/>
        <w:spacing w:after="120" w:before="260"/>
      </w:pPr>
      <w:r>
        <w:t xml:space="preserve">6.3 Moving Assets Along the Continuum</w:t>
      </w:r>
    </w:p>
    <w:p>
      <w:pPr>
        <w:spacing w:after="80" w:before="80" w:line="300"/>
        <w:jc w:val="both"/>
      </w:pPr>
      <w:r>
        <w:t xml:space="preserve">Good architecture practice actively promotes assets rightward and leftward as appropriate:</w:t>
      </w:r>
    </w:p>
    <w:p>
      <w:pPr>
        <w:pStyle w:val="ListParagraph"/>
        <w:numPr>
          <w:ilvl w:val="0"/>
          <w:numId w:val="2"/>
        </w:numPr>
        <w:spacing w:after="40" w:before="40" w:line="280"/>
      </w:pPr>
      <w:r>
        <w:rPr>
          <w:b/>
          <w:bCs/>
        </w:rPr>
        <w:t xml:space="preserve">Right (adopt &amp; specialize): </w:t>
      </w:r>
      <w:r>
        <w:t xml:space="preserve">take a Foundation or Common asset, refine it for your organization. Example: adapt the TOGAF TRM for your enterprise platform.</w:t>
      </w:r>
    </w:p>
    <w:p>
      <w:pPr>
        <w:pStyle w:val="ListParagraph"/>
        <w:numPr>
          <w:ilvl w:val="0"/>
          <w:numId w:val="2"/>
        </w:numPr>
        <w:spacing w:after="40" w:before="40" w:line="280"/>
      </w:pPr>
      <w:r>
        <w:rPr>
          <w:b/>
          <w:bCs/>
        </w:rPr>
        <w:t xml:space="preserve">Left (generalize &amp; share): </w:t>
      </w:r>
      <w:r>
        <w:t xml:space="preserve">take an Organization-Specific asset that proves broadly useful, generalize it, and contribute it back — either to a shared Common Systems library internally or externally to industry bodies or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healthiest enterprises continuously move assets in both directions. They adopt from Foundation and Industry (rightward) to avoid reinvention. They generalize and contribute (leftward) to build reputation, influence standards, and reduce their own maintenance burden. Enterprises that only move rightward accumulate increasing architectural debt as Organization-Specific drift grows.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Over three years, a mid-sized insurer actively manages its Continuum:</w:t>
            </w:r>
          </w:p>
          <w:p>
            <w:pPr>
              <w:spacing w:after="40" w:before="40" w:line="280"/>
            </w:pPr>
            <w:r>
              <w:t xml:space="preserve">Rightward moves (adoption):</w:t>
            </w:r>
          </w:p>
          <w:p>
            <w:pPr>
              <w:spacing w:after="40" w:before="40" w:line="280"/>
            </w:pPr>
            <w:r>
              <w:t xml:space="preserve">— Adopts ACORD reference data model at Industry level; adapts 73% of its entities to ACORD names.</w:t>
            </w:r>
          </w:p>
          <w:p>
            <w:pPr>
              <w:spacing w:after="40" w:before="40" w:line="280"/>
            </w:pPr>
            <w:r>
              <w:t xml:space="preserve">— Adopts NIST Zero Trust architecture at Foundation level; refines to Organization-Specific ZTA implementation.</w:t>
            </w:r>
          </w:p>
          <w:p>
            <w:pPr>
              <w:spacing w:after="40" w:before="40" w:line="280"/>
            </w:pPr>
            <w:r>
              <w:t xml:space="preserve">— Adopts Kafka as Common Systems event platform; replaces 3 point-to-point integrations per quarter.</w:t>
            </w:r>
          </w:p>
          <w:p>
            <w:pPr>
              <w:spacing w:after="40" w:before="40" w:line="280"/>
            </w:pPr>
            <w:r>
              <w:t xml:space="preserve">Leftward moves (contribution):</w:t>
            </w:r>
          </w:p>
          <w:p>
            <w:pPr>
              <w:spacing w:after="40" w:before="40" w:line="280"/>
            </w:pPr>
            <w:r>
              <w:t xml:space="preserve">— Generalizes its "Policy State Machine" pattern; shares as a Common Systems reference used across 4 business units.</w:t>
            </w:r>
          </w:p>
          <w:p>
            <w:pPr>
              <w:spacing w:after="40" w:before="40" w:line="280"/>
            </w:pPr>
            <w:r>
              <w:t xml:space="preserve">— Contributes its digital-claims onboarding pattern as an ACORD working group submission.</w:t>
            </w:r>
          </w:p>
          <w:p>
            <w:pPr>
              <w:spacing w:after="40" w:before="40" w:line="280"/>
            </w:pPr>
            <w:r>
              <w:t xml:space="preserve">— Open-sources a Terraform module for regulated workloads.</w:t>
            </w:r>
          </w:p>
        </w:tc>
      </w:tr>
    </w:tbl>
    <w:p>
      <w:pPr>
        <w:pStyle w:val="Heading1"/>
        <w:pageBreakBefore/>
        <w:spacing w:after="180" w:before="360"/>
      </w:pPr>
      <w:r>
        <w:t xml:space="preserve">7. Generic-to-Specific — The Core Principle</w:t>
      </w:r>
    </w:p>
    <w:p>
      <w:pPr>
        <w:pStyle w:val="Heading2"/>
        <w:spacing w:after="120" w:before="260"/>
      </w:pPr>
      <w:r>
        <w:t xml:space="preserve">7.1 The Spectrum</w:t>
      </w:r>
    </w:p>
    <w:p>
      <w:pPr>
        <w:spacing w:after="80" w:before="80" w:line="300"/>
        <w:jc w:val="both"/>
      </w:pPr>
      <w:r>
        <w:t xml:space="preserve">The Enterprise Continuum runs as a spectrum from fully generic (applicable to any enterprise) to fully organization-specific (unique to this enterprise). Understanding the spectrum is understanding the Continuum.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Dimension</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Generic End (Foundation)</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Specific End (Organization-Specific)</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Applicability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Any enterprise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This enterprise only</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Detail</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Broad, abstract</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Granular, concrete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Stability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Changes rarely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Changes with each deployment</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Reusability</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Reusable anywhere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Reusable only internally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Authoritativeness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External (standards bodies)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Internal (this enterprise)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Investment</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External / consortia</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Internal — your budget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Competitive advantage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None — everyone has it</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Potentially significant</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Example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TOGAF TRM</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Our production Okta tenant</w:t>
            </w:r>
          </w:p>
        </w:tc>
      </w:tr>
    </w:tbl>
    <w:p>
      <w:pPr>
        <w:pStyle w:val="Heading2"/>
        <w:spacing w:after="120" w:before="260"/>
      </w:pPr>
      <w:r>
        <w:t xml:space="preserve">7.2 Trade-offs Along the Spectrum</w:t>
      </w:r>
    </w:p>
    <w:p>
      <w:pPr>
        <w:pStyle w:val="ListParagraph"/>
        <w:numPr>
          <w:ilvl w:val="0"/>
          <w:numId w:val="2"/>
        </w:numPr>
        <w:spacing w:after="40" w:before="40" w:line="280"/>
      </w:pPr>
      <w:r>
        <w:rPr>
          <w:b/>
          <w:bCs/>
        </w:rPr>
        <w:t xml:space="preserve">Generic advantages: </w:t>
      </w:r>
      <w:r>
        <w:t xml:space="preserve">high reuse, low cost, low maintenance burden, external support, proven at scale, no vendor lock-in (for open standards).</w:t>
      </w:r>
    </w:p>
    <w:p>
      <w:pPr>
        <w:pStyle w:val="ListParagraph"/>
        <w:numPr>
          <w:ilvl w:val="0"/>
          <w:numId w:val="2"/>
        </w:numPr>
        <w:spacing w:after="40" w:before="40" w:line="280"/>
      </w:pPr>
      <w:r>
        <w:rPr>
          <w:b/>
          <w:bCs/>
        </w:rPr>
        <w:t xml:space="preserve">Generic disadvantages: </w:t>
      </w:r>
      <w:r>
        <w:t xml:space="preserve">not differentiated, may not fit exactly, slower to change, requires adaptation to be useful.</w:t>
      </w:r>
    </w:p>
    <w:p>
      <w:pPr>
        <w:pStyle w:val="ListParagraph"/>
        <w:numPr>
          <w:ilvl w:val="0"/>
          <w:numId w:val="2"/>
        </w:numPr>
        <w:spacing w:after="40" w:before="40" w:line="280"/>
      </w:pPr>
      <w:r>
        <w:rPr>
          <w:b/>
          <w:bCs/>
        </w:rPr>
        <w:t xml:space="preserve">Specific advantages: </w:t>
      </w:r>
      <w:r>
        <w:t xml:space="preserve">perfect fit, potential competitive differentiation, aligned to unique strategy, encapsulates institutional knowledge.</w:t>
      </w:r>
    </w:p>
    <w:p>
      <w:pPr>
        <w:pStyle w:val="ListParagraph"/>
        <w:numPr>
          <w:ilvl w:val="0"/>
          <w:numId w:val="2"/>
        </w:numPr>
        <w:spacing w:after="40" w:before="40" w:line="280"/>
      </w:pPr>
      <w:r>
        <w:rPr>
          <w:b/>
          <w:bCs/>
        </w:rPr>
        <w:t xml:space="preserve">Specific disadvantages: </w:t>
      </w:r>
      <w:r>
        <w:t xml:space="preserve">high cost of ownership, maintenance burden, no external support, expensive to replace, can become technical debt.</w:t>
      </w:r>
    </w:p>
    <w:p>
      <w:pPr>
        <w:pStyle w:val="Heading2"/>
        <w:spacing w:after="120" w:before="260"/>
      </w:pPr>
      <w:r>
        <w:t xml:space="preserve">7.3 Where to Sit on the Spectrum — A Decision Framework</w:t>
      </w:r>
    </w:p>
    <w:p>
      <w:pPr>
        <w:spacing w:after="80" w:before="80" w:line="300"/>
        <w:jc w:val="both"/>
      </w:pPr>
      <w:r>
        <w:t xml:space="preserve">Not every asset should be maximally generic or maximally specific. The right position depends on strategic importance and commodity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Capability Type</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Recommended Position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Rationale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Commodity (email, HR, payroll, identity)</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Common Systems SBB from SaaS vendor</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Low differentiation; maximize external leverage</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Industry-standard (claims engine, core banking)</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Industry SBB with moderate customization</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Domain-specific but not differentiating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Competitive differentiator (proprietary pricing algo, unique customer experience)</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Organization-Specific ABB &amp; SBB</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 moat; worth bespoke investment</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Regulatory compliance</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Industry + Common Systems with bespoke controls</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Leverage industry knowledge; add enterprise-specific policy</w:t>
            </w:r>
          </w:p>
        </w:tc>
      </w:tr>
    </w:tbl>
    <w:p>
      <w:pPr>
        <w:pStyle w:val="Heading2"/>
        <w:spacing w:after="120" w:before="260"/>
      </w:pPr>
      <w:r>
        <w:t xml:space="preserve">7.4 The "Gravity" Problem</w:t>
      </w:r>
    </w:p>
    <w:p>
      <w:pPr>
        <w:spacing w:after="80" w:before="80" w:line="300"/>
        <w:jc w:val="both"/>
      </w:pPr>
      <w:r>
        <w:t xml:space="preserve">Organizations tend to drift toward the specific end over time. Each project has legitimate reasons to customize; customization accumulates; eventually what should be a Common Systems asset becomes an Organization-Specific snowflake, expensive to maintain and impossible to upgrade. Good architecture governance actively resists this gravity by asking at every project checkpoint: "Can we move this leftward?"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"We're special" is the most expensive sentence in enterprise IT. Nearly every "special" requirement turns out, on examination, to be either a misunderstood standard requirement or a legacy workaround that has outlived its purpose. Challenge every customization — each one is a permanent tax.</w:t>
            </w:r>
          </w:p>
        </w:tc>
      </w:tr>
    </w:tbl>
    <w:p>
      <w:pPr>
        <w:pStyle w:val="Heading1"/>
        <w:pageBreakBefore/>
        <w:spacing w:after="180" w:before="360"/>
      </w:pPr>
      <w:r>
        <w:t xml:space="preserve">8. Practical Application</w:t>
      </w:r>
    </w:p>
    <w:p>
      <w:pPr>
        <w:pStyle w:val="Heading2"/>
        <w:spacing w:after="120" w:before="260"/>
      </w:pPr>
      <w:r>
        <w:t xml:space="preserve">8.1 A Step-by-Step Approach</w:t>
      </w:r>
    </w:p>
    <w:p>
      <w:pPr>
        <w:spacing w:after="80" w:before="80" w:line="300"/>
        <w:jc w:val="both"/>
      </w:pPr>
      <w:r>
        <w:t xml:space="preserve">When starting work on a new capability, architects apply the Continuum as a decision filter:</w:t>
      </w:r>
    </w:p>
    <w:p>
      <w:pPr>
        <w:pStyle w:val="ListParagraph"/>
        <w:numPr>
          <w:ilvl w:val="0"/>
          <w:numId w:val="3"/>
        </w:numPr>
        <w:spacing w:after="40" w:before="40" w:line="280"/>
      </w:pPr>
      <w:r>
        <w:t xml:space="preserve">Ask: does a Foundation reference architecture address this? If yes, adopt it as the starting frame.</w:t>
      </w:r>
    </w:p>
    <w:p>
      <w:pPr>
        <w:pStyle w:val="ListParagraph"/>
        <w:numPr>
          <w:ilvl w:val="0"/>
          <w:numId w:val="3"/>
        </w:numPr>
        <w:spacing w:after="40" w:before="40" w:line="280"/>
      </w:pPr>
      <w:r>
        <w:t xml:space="preserve">Ask: does a Common Systems pattern refine it for my context? If yes, adopt that refinement.</w:t>
      </w:r>
    </w:p>
    <w:p>
      <w:pPr>
        <w:pStyle w:val="ListParagraph"/>
        <w:numPr>
          <w:ilvl w:val="0"/>
          <w:numId w:val="3"/>
        </w:numPr>
        <w:spacing w:after="40" w:before="40" w:line="280"/>
      </w:pPr>
      <w:r>
        <w:t xml:space="preserve">Ask: does my industry have a reference for this? If yes, overlay industry specifics.</w:t>
      </w:r>
    </w:p>
    <w:p>
      <w:pPr>
        <w:pStyle w:val="ListParagraph"/>
        <w:numPr>
          <w:ilvl w:val="0"/>
          <w:numId w:val="3"/>
        </w:numPr>
        <w:spacing w:after="40" w:before="40" w:line="280"/>
      </w:pPr>
      <w:r>
        <w:t xml:space="preserve">Ask: what must be unique to my enterprise? Identify only the genuine differentiators; everything else should come from higher up the Continuum.</w:t>
      </w:r>
    </w:p>
    <w:p>
      <w:pPr>
        <w:pStyle w:val="ListParagraph"/>
        <w:numPr>
          <w:ilvl w:val="0"/>
          <w:numId w:val="3"/>
        </w:numPr>
        <w:spacing w:after="40" w:before="40" w:line="280"/>
      </w:pPr>
      <w:r>
        <w:t xml:space="preserve">Develop the Organization-Specific architecture as a minimal overlay on the Industry and Common Systems foundations — not as bespoke from scratch.</w:t>
      </w:r>
    </w:p>
    <w:p>
      <w:pPr>
        <w:pStyle w:val="ListParagraph"/>
        <w:numPr>
          <w:ilvl w:val="0"/>
          <w:numId w:val="3"/>
        </w:numPr>
        <w:spacing w:after="40" w:before="40" w:line="280"/>
      </w:pPr>
      <w:r>
        <w:t xml:space="preserve">For solutions: apply the same filter in reverse — does a Foundation solution pattern exist? Common Systems product? Industry package? Only build if nothing else fits.</w:t>
      </w:r>
    </w:p>
    <w:p>
      <w:pPr>
        <w:pStyle w:val="Heading2"/>
        <w:spacing w:after="120" w:before="260"/>
      </w:pPr>
      <w:r>
        <w:t xml:space="preserve">8.2 Procurement and the Continuum</w:t>
      </w:r>
    </w:p>
    <w:p>
      <w:pPr>
        <w:spacing w:after="80" w:before="80" w:line="300"/>
        <w:jc w:val="both"/>
      </w:pPr>
      <w:r>
        <w:t xml:space="preserve">The Continuum gives procurement a sharp lens. For each purchase:</w:t>
      </w:r>
    </w:p>
    <w:p>
      <w:pPr>
        <w:pStyle w:val="ListParagraph"/>
        <w:numPr>
          <w:ilvl w:val="0"/>
          <w:numId w:val="2"/>
        </w:numPr>
        <w:spacing w:after="40" w:before="40" w:line="280"/>
      </w:pPr>
      <w:r>
        <w:rPr>
          <w:b/>
          <w:bCs/>
        </w:rPr>
        <w:t xml:space="preserve">Foundation Solutions: </w:t>
      </w:r>
      <w:r>
        <w:t xml:space="preserve">usually free or very low-cost. Think of open standards-compliant reference implementations.</w:t>
      </w:r>
    </w:p>
    <w:p>
      <w:pPr>
        <w:pStyle w:val="ListParagraph"/>
        <w:numPr>
          <w:ilvl w:val="0"/>
          <w:numId w:val="2"/>
        </w:numPr>
        <w:spacing w:after="40" w:before="40" w:line="280"/>
      </w:pPr>
      <w:r>
        <w:rPr>
          <w:b/>
          <w:bCs/>
        </w:rPr>
        <w:t xml:space="preserve">Common Systems Solutions: </w:t>
      </w:r>
      <w:r>
        <w:t xml:space="preserve">commoditized — buy on features, support, cost. Many vendors.</w:t>
      </w:r>
    </w:p>
    <w:p>
      <w:pPr>
        <w:pStyle w:val="ListParagraph"/>
        <w:numPr>
          <w:ilvl w:val="0"/>
          <w:numId w:val="2"/>
        </w:numPr>
        <w:spacing w:after="40" w:before="40" w:line="280"/>
      </w:pPr>
      <w:r>
        <w:rPr>
          <w:b/>
          <w:bCs/>
        </w:rPr>
        <w:t xml:space="preserve">Industry Solutions: </w:t>
      </w:r>
      <w:r>
        <w:t xml:space="preserve">fewer vendors, deeper domain fit, higher cost. Prefer configuration over customization.</w:t>
      </w:r>
    </w:p>
    <w:p>
      <w:pPr>
        <w:pStyle w:val="ListParagraph"/>
        <w:numPr>
          <w:ilvl w:val="0"/>
          <w:numId w:val="2"/>
        </w:numPr>
        <w:spacing w:after="40" w:before="40" w:line="280"/>
      </w:pPr>
      <w:r>
        <w:rPr>
          <w:b/>
          <w:bCs/>
        </w:rPr>
        <w:t xml:space="preserve">Organization-Specific Solutions: </w:t>
      </w:r>
      <w:r>
        <w:t xml:space="preserve">build only for genuine differentiation. Accept the long-term ownership cost.</w:t>
      </w:r>
    </w:p>
    <w:p>
      <w:pPr>
        <w:pStyle w:val="Heading2"/>
        <w:spacing w:after="120" w:before="260"/>
      </w:pPr>
      <w:r>
        <w:t xml:space="preserve">8.3 Working with Vendors</w:t>
      </w:r>
    </w:p>
    <w:p>
      <w:pPr>
        <w:spacing w:after="80" w:before="80" w:line="300"/>
        <w:jc w:val="both"/>
      </w:pPr>
      <w:r>
        <w:t xml:space="preserve">Vendors often sell at different points on the Solutions Continuum and may blur the lines. A savvy architect asks:</w:t>
      </w:r>
    </w:p>
    <w:p>
      <w:pPr>
        <w:pStyle w:val="ListParagraph"/>
        <w:numPr>
          <w:ilvl w:val="0"/>
          <w:numId w:val="2"/>
        </w:numPr>
        <w:spacing w:after="40" w:before="40" w:line="280"/>
      </w:pPr>
      <w:r>
        <w:t xml:space="preserve">Where on the Solutions Continuum does this product sit — Common Systems, Industry, or a hybrid?</w:t>
      </w:r>
    </w:p>
    <w:p>
      <w:pPr>
        <w:pStyle w:val="ListParagraph"/>
        <w:numPr>
          <w:ilvl w:val="0"/>
          <w:numId w:val="2"/>
        </w:numPr>
        <w:spacing w:after="40" w:before="40" w:line="280"/>
      </w:pPr>
      <w:r>
        <w:t xml:space="preserve">What standards does it implement? (Reveals its Foundation grounding.)</w:t>
      </w:r>
    </w:p>
    <w:p>
      <w:pPr>
        <w:pStyle w:val="ListParagraph"/>
        <w:numPr>
          <w:ilvl w:val="0"/>
          <w:numId w:val="2"/>
        </w:numPr>
        <w:spacing w:after="40" w:before="40" w:line="280"/>
      </w:pPr>
      <w:r>
        <w:t xml:space="preserve">What customization is expected? (High customization = Organization-Specific drift.)</w:t>
      </w:r>
    </w:p>
    <w:p>
      <w:pPr>
        <w:pStyle w:val="ListParagraph"/>
        <w:numPr>
          <w:ilvl w:val="0"/>
          <w:numId w:val="2"/>
        </w:numPr>
        <w:spacing w:after="40" w:before="40" w:line="280"/>
      </w:pPr>
      <w:r>
        <w:t xml:space="preserve">What reference architecture does it publish? (If none, the product has weak Architecture Continuum grounding.)</w:t>
      </w:r>
    </w:p>
    <w:p>
      <w:pPr>
        <w:pStyle w:val="ListParagraph"/>
        <w:numPr>
          <w:ilvl w:val="0"/>
          <w:numId w:val="2"/>
        </w:numPr>
        <w:spacing w:after="40" w:before="40" w:line="280"/>
      </w:pPr>
      <w:r>
        <w:t xml:space="preserve">How will the product track evolving standards over time?</w:t>
      </w:r>
    </w:p>
    <w:p>
      <w:pPr>
        <w:pStyle w:val="Heading2"/>
        <w:spacing w:after="120" w:before="260"/>
      </w:pPr>
      <w:r>
        <w:t xml:space="preserve">8.4 Worked Case Study — A Bank Modernizes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retail bank launches "Payments Next-Gen" to modernize its payments processing.</w:t>
            </w:r>
          </w:p>
          <w:p>
            <w:pPr>
              <w:spacing w:after="40" w:before="40" w:line="280"/>
            </w:pPr>
            <w:r>
              <w:t xml:space="preserve">Phase Preliminary: Repository populated with TOGAF TRM (Foundation), NIST 800-207 Zero Trust (Foundation), BIAN Service Landscape (Industry). Bank's existing principles adopted at Organization-Specific level.</w:t>
            </w:r>
          </w:p>
          <w:p>
            <w:pPr>
              <w:spacing w:after="40" w:before="40" w:line="280"/>
            </w:pPr>
            <w:r>
              <w:t xml:space="preserve">Phase A — Vision: references BIAN's Payment Execution service at Industry level as the canonical capability model.</w:t>
            </w:r>
          </w:p>
          <w:p>
            <w:pPr>
              <w:spacing w:after="40" w:before="40" w:line="280"/>
            </w:pPr>
            <w:r>
              <w:t xml:space="preserve">Phase B: adopts BIAN's business capability taxonomy; adapts 12 of 26 sub-capabilities to bank-specific names; documents the delta as Organization-Specific.</w:t>
            </w:r>
          </w:p>
          <w:p>
            <w:pPr>
              <w:spacing w:after="40" w:before="40" w:line="280"/>
            </w:pPr>
            <w:r>
              <w:t xml:space="preserve">Phase C (Data): adopts ISO 20022 (Foundation / Common) as payment messaging standard; creates bespoke extensions only for 3 local-market fields.</w:t>
            </w:r>
          </w:p>
          <w:p>
            <w:pPr>
              <w:spacing w:after="40" w:before="40" w:line="280"/>
            </w:pPr>
            <w:r>
              <w:t xml:space="preserve">Phase C (Application): ABBs include "Payment Initiation," "Fraud Screening," "Settlement," "Notification." Each ABB is specified as Industry-level, derived from BIAN.</w:t>
            </w:r>
          </w:p>
          <w:p>
            <w:pPr>
              <w:spacing w:after="40" w:before="40" w:line="280"/>
            </w:pPr>
            <w:r>
              <w:t xml:space="preserve">Phase D: TRM-grounded technology architecture; adopts Kafka (Common Systems), Kubernetes (Common Systems), Confluent Schema Registry (Common Systems).</w:t>
            </w:r>
          </w:p>
          <w:p>
            <w:pPr>
              <w:spacing w:after="40" w:before="40" w:line="280"/>
            </w:pPr>
            <w:r>
              <w:t xml:space="preserve">Phase E: for each ABB, evaluates SBB candidates.</w:t>
            </w:r>
          </w:p>
          <w:p>
            <w:pPr>
              <w:spacing w:after="40" w:before="40" w:line="280"/>
            </w:pPr>
            <w:r>
              <w:t xml:space="preserve">— Payment Initiation: Industry package (Finastra Fusion) vs. build.  Decision: buy.</w:t>
            </w:r>
          </w:p>
          <w:p>
            <w:pPr>
              <w:spacing w:after="40" w:before="40" w:line="280"/>
            </w:pPr>
            <w:r>
              <w:t xml:space="preserve">— Fraud Screening: strategic differentiator. Decision: build Organization-Specific SBB using internal ML.</w:t>
            </w:r>
          </w:p>
          <w:p>
            <w:pPr>
              <w:spacing w:after="40" w:before="40" w:line="280"/>
            </w:pPr>
            <w:r>
              <w:t xml:space="preserve">— Settlement: regulated, commoditized. Decision: buy Industry SaaS.</w:t>
            </w:r>
          </w:p>
          <w:p>
            <w:pPr>
              <w:spacing w:after="40" w:before="40" w:line="280"/>
            </w:pPr>
            <w:r>
              <w:t xml:space="preserve">— Notification: commoditized. Decision: use Common Systems Twilio + internal orchestration.</w:t>
            </w:r>
          </w:p>
          <w:p>
            <w:pPr>
              <w:spacing w:after="40" w:before="40" w:line="280"/>
            </w:pPr>
            <w:r>
              <w:t xml:space="preserve">Outcome: Continuum-driven decisions yield 3 Industry SBBs bought, 1 Organization-Specific SBB built, 1 Common Systems SBB composed. Bespoke investment is concentrated only where differentiation lives (fraud).</w:t>
            </w:r>
          </w:p>
        </w:tc>
      </w:tr>
    </w:tbl>
    <w:p>
      <w:pPr>
        <w:pStyle w:val="Heading2"/>
        <w:spacing w:after="120" w:before="260"/>
      </w:pPr>
      <w:r>
        <w:t xml:space="preserve">8.5 Common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"Build everywhere" — treating every capability as Organization-Specific. Result: massive portfolio, every capability competes with industry-best vendors, nothing is world-class.</w:t>
            </w:r>
          </w:p>
          <w:p>
            <w:pPr>
              <w:spacing w:after="40" w:before="40" w:line="280"/>
            </w:pPr>
            <w:r>
              <w:t xml:space="preserve">"Buy blindly" — treating every capability as commodity. Result: no differentiation; competitors with same vendor stack look identical.</w:t>
            </w:r>
          </w:p>
          <w:p>
            <w:pPr>
              <w:spacing w:after="40" w:before="40" w:line="280"/>
            </w:pPr>
            <w:r>
              <w:t xml:space="preserve">"Configure-fork" — buying a commercial package then customizing so heavily it becomes Organization-Specific. Result: vendor upgrades blocked; effectively bespoke with vendor license cost.</w:t>
            </w:r>
          </w:p>
          <w:p>
            <w:pPr>
              <w:spacing w:after="40" w:before="40" w:line="280"/>
            </w:pPr>
            <w:r>
              <w:t xml:space="preserve">"Continuum blindness" — ignoring the Continuum entirely. Result: reinvention, inconsistency, architectural debt.</w:t>
            </w:r>
          </w:p>
          <w:p>
            <w:pPr>
              <w:spacing w:after="40" w:before="40" w:line="280"/>
            </w:pPr>
            <w:r>
              <w:t xml:space="preserve">"Rightward-only" — only adopting generic to specific, never generalizing internal assets for broader reuse. Result: each BU silos its own version of the same capability.</w:t>
            </w:r>
          </w:p>
        </w:tc>
      </w:tr>
    </w:tbl>
    <w:p>
      <w:pPr>
        <w:pStyle w:val="Heading1"/>
        <w:pageBreakBefore/>
        <w:spacing w:after="180" w:before="360"/>
      </w:pPr>
      <w:r>
        <w:t xml:space="preserve">9. Relationships to Other TOGAF Concepts</w:t>
      </w:r>
    </w:p>
    <w:p>
      <w:pPr>
        <w:pStyle w:val="Heading2"/>
        <w:spacing w:after="120" w:before="260"/>
      </w:pPr>
      <w:r>
        <w:t xml:space="preserve">9.1 Continuum and the Content Metamodel</w:t>
      </w:r>
    </w:p>
    <w:p>
      <w:pPr>
        <w:spacing w:after="80" w:before="80" w:line="300"/>
        <w:jc w:val="both"/>
      </w:pPr>
      <w:r>
        <w:t xml:space="preserve">The TOGAF Content Metamodel defines the types of entity (Actor, Business Service, Application Component, Data Entity, Technology Component, and so on) that architecture artifacts describe. Every Continuum asset is an instance of one or more of these entity types. The Metamodel provides the "grammar"; the Continuum provides the "classification."</w:t>
      </w:r>
    </w:p>
    <w:p>
      <w:pPr>
        <w:pStyle w:val="Heading2"/>
        <w:spacing w:after="120" w:before="260"/>
      </w:pPr>
      <w:r>
        <w:t xml:space="preserve">9.2 Continuum and the ADM</w:t>
      </w:r>
    </w:p>
    <w:p>
      <w:pPr>
        <w:spacing w:after="80" w:before="80" w:line="300"/>
        <w:jc w:val="both"/>
      </w:pPr>
      <w:r>
        <w:t xml:space="preserve">The ADM is a process for developing and governing architectures; the Continuum is the conceptual model for organizing the artifacts produced and consumed by that process. The ADM's Phases B, C, D produce Architecture Continuum artifacts; Phases E, F, G work with Solutions Continuum artifacts; Preliminary and H operate across the full Continuum.</w:t>
      </w:r>
    </w:p>
    <w:p>
      <w:pPr>
        <w:pStyle w:val="Heading2"/>
        <w:spacing w:after="120" w:before="260"/>
      </w:pPr>
      <w:r>
        <w:t xml:space="preserve">9.3 Continuum and Architecture Governance</w:t>
      </w:r>
    </w:p>
    <w:p>
      <w:pPr>
        <w:spacing w:after="80" w:before="80" w:line="300"/>
        <w:jc w:val="both"/>
      </w:pPr>
      <w:r>
        <w:t xml:space="preserve">Architecture Governance enforces the appropriate use of the Continuum. The Architecture Board reviews projects partly by asking where on the Continuum each significant decision sits: "Are we reusing what's available, or drifting into unjustified Organization-Specific work?" Principles, standards, and compliance criteria all relate to Continuum positioning.</w:t>
      </w:r>
    </w:p>
    <w:p>
      <w:pPr>
        <w:pStyle w:val="Heading2"/>
        <w:spacing w:after="120" w:before="260"/>
      </w:pPr>
      <w:r>
        <w:t xml:space="preserve">9.4 Continuum and the Standards Information Base</w:t>
      </w:r>
    </w:p>
    <w:p>
      <w:pPr>
        <w:spacing w:after="80" w:before="80" w:line="300"/>
        <w:jc w:val="both"/>
      </w:pPr>
      <w:r>
        <w:t xml:space="preserve">The SIB is a Continuum-aligned inventory. Each standard has an inherent position: ISO and IETF standards at Foundation / Common; industry standards at Industry; enterprise-bespoke standards at Organization-Specific. Adopting more external standards moves the SIB leftward — reducing maintenance burden and improving interoperability.</w:t>
      </w:r>
    </w:p>
    <w:p>
      <w:pPr>
        <w:pStyle w:val="Heading2"/>
        <w:spacing w:after="120" w:before="260"/>
      </w:pPr>
      <w:r>
        <w:t xml:space="preserve">9.5 Continuum and Architecture Partitioning</w:t>
      </w:r>
    </w:p>
    <w:p>
      <w:pPr>
        <w:spacing w:after="80" w:before="80" w:line="300"/>
        <w:jc w:val="both"/>
      </w:pPr>
      <w:r>
        <w:t xml:space="preserve">Architecture Partitioning splits an enterprise's architectural work into manageable chunks (by domain, geography, time horizon, or volatility). Partitioning interacts with the Continuum because some partitions naturally map to different Continuum levels — a Strategic partition works more at Industry/Foundation level; a Capability partition works more at Organization-Specific level.</w:t>
      </w:r>
    </w:p>
    <w:p>
      <w:pPr>
        <w:pStyle w:val="Heading2"/>
        <w:spacing w:after="120" w:before="260"/>
      </w:pPr>
      <w:r>
        <w:t xml:space="preserve">9.6 Continuum and Reference Architectures</w:t>
      </w:r>
    </w:p>
    <w:p>
      <w:pPr>
        <w:spacing w:after="80" w:before="80" w:line="300"/>
        <w:jc w:val="both"/>
      </w:pPr>
      <w:r>
        <w:t xml:space="preserve">Reference architectures are Continuum-classifiable by definition. When adopting one, explicitly note its Continuum level: "We are using TOGAF TRM (Foundation), adapted via BIAN (Industry) and our 2026 Payment Services Architecture (Organization-Specific)." This lineage traceability is crucial for governance and audit.</w:t>
      </w:r>
    </w:p>
    <w:p>
      <w:pPr>
        <w:pStyle w:val="Heading1"/>
        <w:pageBreakBefore/>
        <w:spacing w:after="180" w:before="360"/>
      </w:pPr>
      <w:r>
        <w:t xml:space="preserve">10. Quick Reference and Exam Focus</w:t>
      </w:r>
    </w:p>
    <w:p>
      <w:pPr>
        <w:pStyle w:val="Heading2"/>
        <w:spacing w:after="120" w:before="260"/>
      </w:pPr>
      <w:r>
        <w:t xml:space="preserve">10.1 The Core Definitions to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Enterprise Continuum = classification mechanism for architecture and solution artifacts from generic → organization-specific.</w:t>
            </w:r>
          </w:p>
          <w:p>
            <w:pPr>
              <w:spacing w:after="40" w:before="40" w:line="280"/>
            </w:pPr>
            <w:r>
              <w:t xml:space="preserve">It has TWO sub-continuums: the Architecture Continuum and the Solutions Continuum — parallel and mirror-image.</w:t>
            </w:r>
          </w:p>
          <w:p>
            <w:pPr>
              <w:spacing w:after="40" w:before="40" w:line="280"/>
            </w:pPr>
            <w:r>
              <w:t xml:space="preserve">Each continuum has FOUR levels, identical in both: Foundation, Common Systems, Industry, Organization-Specific.</w:t>
            </w:r>
          </w:p>
          <w:p>
            <w:pPr>
              <w:spacing w:after="40" w:before="40" w:line="280"/>
            </w:pPr>
            <w:r>
              <w:t xml:space="preserve">Building Blocks: ABB = Architecture Building Block (logical, capability); SBB = Solution Building Block (physical, product).</w:t>
            </w:r>
          </w:p>
          <w:p>
            <w:pPr>
              <w:spacing w:after="40" w:before="40" w:line="280"/>
            </w:pPr>
            <w:r>
              <w:t xml:space="preserve">The Continuum is a classification scheme. The Architecture Repository is where content is actually stored. They are not the same thing.</w:t>
            </w:r>
          </w:p>
        </w:tc>
      </w:tr>
    </w:tbl>
    <w:p>
      <w:pPr>
        <w:pStyle w:val="Heading2"/>
        <w:spacing w:after="120" w:before="260"/>
      </w:pPr>
      <w:r>
        <w:t xml:space="preserve">10.2 The Four Levels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Architecture Example</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Solution Example</w:t>
            </w:r>
          </w:p>
        </w:tc>
        <w:tc>
          <w:tcPr>
            <w:tcW w:type="dxa" w:w="2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Applies To</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 Foundation</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TOGAF TRM, III-RM</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Generic reference deployment</w:t>
            </w:r>
          </w:p>
        </w:tc>
        <w:tc>
          <w:tcPr>
            <w:tcW w:type="dxa" w:w="2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Any enterprise</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 Common Systems</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Identity / Messaging / Observability patterns</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Kafka, Kubernetes, Okta, Postgres</w:t>
            </w:r>
          </w:p>
        </w:tc>
        <w:tc>
          <w:tcPr>
            <w:tcW w:type="dxa" w:w="2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Any enterprise, cross-industry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 Industry</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BIAN, eTOM, ACORD, FHIR, ARTS</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Guidewire, Temenos, Epic, Murex</w:t>
            </w:r>
          </w:p>
        </w:tc>
        <w:tc>
          <w:tcPr>
            <w:tcW w:type="dxa" w:w="2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Enterprises in that industry</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 Organization-Specific</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Your capability map, your ops model</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Your production tenants, bespoke apps</w:t>
            </w:r>
          </w:p>
        </w:tc>
        <w:tc>
          <w:tcPr>
            <w:tcW w:type="dxa" w:w="2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This enterprise only</w:t>
            </w:r>
          </w:p>
        </w:tc>
      </w:tr>
    </w:tbl>
    <w:p>
      <w:pPr>
        <w:pStyle w:val="Heading2"/>
        <w:spacing w:after="120" w:before="260"/>
      </w:pPr>
      <w:r>
        <w:t xml:space="preserve">10.3 Side-by-Side Mental Model</w:t>
      </w:r>
    </w:p>
    <w:p>
      <w:pPr>
        <w:spacing w:after="80" w:before="80" w:line="300"/>
        <w:jc w:val="both"/>
      </w:pPr>
      <w:r>
        <w:t xml:space="preserve">Visualize a 2×4 grid. Rows = the two continuums (Architecture above, Solutions below). Columns = the four levels (Foundation on the left, Organization-Specific on the right). Every TOGAF artifact can be placed in exactly one cell of this grid. The grid is the Enterprise Continuum.</w:t>
      </w:r>
    </w:p>
    <w:p>
      <w:pPr>
        <w:pStyle w:val="Heading2"/>
        <w:spacing w:after="120" w:before="260"/>
      </w:pPr>
      <w:r>
        <w:t xml:space="preserve">10.4 Common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Trap: calling the Continuum "the Repository." They are related but distinct: Continuum = classification; Repository = physical store.</w:t>
            </w:r>
          </w:p>
          <w:p>
            <w:pPr>
              <w:spacing w:after="40" w:before="40" w:line="280"/>
            </w:pPr>
            <w:r>
              <w:t xml:space="preserve">Trap: listing only three Continuum levels. There are FOUR: Foundation, Common Systems, Industry, Organization-Specific.</w:t>
            </w:r>
          </w:p>
          <w:p>
            <w:pPr>
              <w:spacing w:after="40" w:before="40" w:line="280"/>
            </w:pPr>
            <w:r>
              <w:t xml:space="preserve">Trap: treating the Continuum as one-dimensional. It has TWO sub-continuums — Architecture and Solutions.</w:t>
            </w:r>
          </w:p>
          <w:p>
            <w:pPr>
              <w:spacing w:after="40" w:before="40" w:line="280"/>
            </w:pPr>
            <w:r>
              <w:t xml:space="preserve">Trap: confusing ABB with SBB. ABB = logical capability description (Architecture Continuum); SBB = physical implementation (Solutions Continuum).</w:t>
            </w:r>
          </w:p>
          <w:p>
            <w:pPr>
              <w:spacing w:after="40" w:before="40" w:line="280"/>
            </w:pPr>
            <w:r>
              <w:t xml:space="preserve">Trap: saying TRM sits at Common Systems. TRM is a FOUNDATION Architecture.</w:t>
            </w:r>
          </w:p>
          <w:p>
            <w:pPr>
              <w:spacing w:after="40" w:before="40" w:line="280"/>
            </w:pPr>
            <w:r>
              <w:t xml:space="preserve">Trap: assuming more specific = better. Organization-Specific is not inherently superior — sometimes generic is exactly right.</w:t>
            </w:r>
          </w:p>
        </w:tc>
      </w:tr>
    </w:tbl>
    <w:p>
      <w:pPr>
        <w:pStyle w:val="Heading2"/>
        <w:spacing w:after="120" w:before="260"/>
      </w:pPr>
      <w:r>
        <w:t xml:space="preserve">10.5 Sample Exam Questions</w:t>
      </w:r>
    </w:p>
    <w:p>
      <w:pPr>
        <w:pStyle w:val="Heading3"/>
        <w:spacing w:after="100" w:before="200"/>
      </w:pPr>
      <w:r>
        <w:t xml:space="preserve">Q1</w:t>
      </w:r>
    </w:p>
    <w:p>
      <w:pPr>
        <w:spacing w:after="80" w:before="80" w:line="300"/>
        <w:jc w:val="both"/>
      </w:pPr>
      <w:r>
        <w:t xml:space="preserve">Which of the following correctly lists the four levels of the Architecture Continuum from most generic to most specific?</w:t>
      </w:r>
    </w:p>
    <w:p>
      <w:pPr>
        <w:pStyle w:val="ListParagraph"/>
        <w:numPr>
          <w:ilvl w:val="0"/>
          <w:numId w:val="2"/>
        </w:numPr>
        <w:spacing w:after="40" w:before="40" w:line="280"/>
      </w:pPr>
      <w:r>
        <w:t xml:space="preserve">A. Organization-Specific, Industry, Common Systems, Foundation</w:t>
      </w:r>
    </w:p>
    <w:p>
      <w:pPr>
        <w:pStyle w:val="ListParagraph"/>
        <w:numPr>
          <w:ilvl w:val="0"/>
          <w:numId w:val="2"/>
        </w:numPr>
        <w:spacing w:after="40" w:before="40" w:line="280"/>
      </w:pPr>
      <w:r>
        <w:t xml:space="preserve">B. Foundation, Common Systems, Industry, Organization-Specific</w:t>
      </w:r>
    </w:p>
    <w:p>
      <w:pPr>
        <w:pStyle w:val="ListParagraph"/>
        <w:numPr>
          <w:ilvl w:val="0"/>
          <w:numId w:val="2"/>
        </w:numPr>
        <w:spacing w:after="40" w:before="40" w:line="280"/>
      </w:pPr>
      <w:r>
        <w:t xml:space="preserve">C. Foundation, Industry, Common Systems, Organization-Specific</w:t>
      </w:r>
    </w:p>
    <w:p>
      <w:pPr>
        <w:pStyle w:val="ListParagraph"/>
        <w:numPr>
          <w:ilvl w:val="0"/>
          <w:numId w:val="2"/>
        </w:numPr>
        <w:spacing w:after="40" w:before="40" w:line="280"/>
      </w:pPr>
      <w:r>
        <w:t xml:space="preserve">D. Common Systems, Foundation, Industry, Organization-Specific</w:t>
      </w:r>
    </w:p>
    <w:p>
      <w:pPr>
        <w:spacing w:after="80" w:before="80" w:line="300"/>
        <w:jc w:val="both"/>
      </w:pPr>
      <w:r>
        <w:t xml:space="preserve">Answer: B.</w:t>
      </w:r>
    </w:p>
    <w:p>
      <w:pPr>
        <w:pStyle w:val="Heading3"/>
        <w:spacing w:after="100" w:before="200"/>
      </w:pPr>
      <w:r>
        <w:t xml:space="preserve">Q2</w:t>
      </w:r>
    </w:p>
    <w:p>
      <w:pPr>
        <w:spacing w:after="80" w:before="80" w:line="300"/>
        <w:jc w:val="both"/>
      </w:pPr>
      <w:r>
        <w:t xml:space="preserve">The TOGAF Technical Reference Model (TRM) is an example of a:</w:t>
      </w:r>
    </w:p>
    <w:p>
      <w:pPr>
        <w:pStyle w:val="ListParagraph"/>
        <w:numPr>
          <w:ilvl w:val="0"/>
          <w:numId w:val="2"/>
        </w:numPr>
        <w:spacing w:after="40" w:before="40" w:line="280"/>
      </w:pPr>
      <w:r>
        <w:t xml:space="preserve">A. Solution Building Block at Industry level</w:t>
      </w:r>
    </w:p>
    <w:p>
      <w:pPr>
        <w:pStyle w:val="ListParagraph"/>
        <w:numPr>
          <w:ilvl w:val="0"/>
          <w:numId w:val="2"/>
        </w:numPr>
        <w:spacing w:after="40" w:before="40" w:line="280"/>
      </w:pPr>
      <w:r>
        <w:t xml:space="preserve">B. Foundation Architecture</w:t>
      </w:r>
    </w:p>
    <w:p>
      <w:pPr>
        <w:pStyle w:val="ListParagraph"/>
        <w:numPr>
          <w:ilvl w:val="0"/>
          <w:numId w:val="2"/>
        </w:numPr>
        <w:spacing w:after="40" w:before="40" w:line="280"/>
      </w:pPr>
      <w:r>
        <w:t xml:space="preserve">C. Common Systems Solution</w:t>
      </w:r>
    </w:p>
    <w:p>
      <w:pPr>
        <w:pStyle w:val="ListParagraph"/>
        <w:numPr>
          <w:ilvl w:val="0"/>
          <w:numId w:val="2"/>
        </w:numPr>
        <w:spacing w:after="40" w:before="40" w:line="280"/>
      </w:pPr>
      <w:r>
        <w:t xml:space="preserve">D. Organization-Specific Architecture</w:t>
      </w:r>
    </w:p>
    <w:p>
      <w:pPr>
        <w:spacing w:after="80" w:before="80" w:line="300"/>
        <w:jc w:val="both"/>
      </w:pPr>
      <w:r>
        <w:t xml:space="preserve">Answer: B.</w:t>
      </w:r>
    </w:p>
    <w:p>
      <w:pPr>
        <w:pStyle w:val="Heading3"/>
        <w:spacing w:after="100" w:before="200"/>
      </w:pPr>
      <w:r>
        <w:t xml:space="preserve">Q3</w:t>
      </w:r>
    </w:p>
    <w:p>
      <w:pPr>
        <w:spacing w:after="80" w:before="80" w:line="300"/>
        <w:jc w:val="both"/>
      </w:pPr>
      <w:r>
        <w:t xml:space="preserve">The Enterprise Continuum is composed of how many sub-continuums?</w:t>
      </w:r>
    </w:p>
    <w:p>
      <w:pPr>
        <w:pStyle w:val="ListParagraph"/>
        <w:numPr>
          <w:ilvl w:val="0"/>
          <w:numId w:val="2"/>
        </w:numPr>
        <w:spacing w:after="40" w:before="40" w:line="280"/>
      </w:pPr>
      <w:r>
        <w:t xml:space="preserve">A. One — the Architecture Continuum</w:t>
      </w:r>
    </w:p>
    <w:p>
      <w:pPr>
        <w:pStyle w:val="ListParagraph"/>
        <w:numPr>
          <w:ilvl w:val="0"/>
          <w:numId w:val="2"/>
        </w:numPr>
        <w:spacing w:after="40" w:before="40" w:line="280"/>
      </w:pPr>
      <w:r>
        <w:t xml:space="preserve">B. Two — the Architecture Continuum and the Solutions Continuum</w:t>
      </w:r>
    </w:p>
    <w:p>
      <w:pPr>
        <w:pStyle w:val="ListParagraph"/>
        <w:numPr>
          <w:ilvl w:val="0"/>
          <w:numId w:val="2"/>
        </w:numPr>
        <w:spacing w:after="40" w:before="40" w:line="280"/>
      </w:pPr>
      <w:r>
        <w:t xml:space="preserve">C. Three — Business, Data, and Technology continuums</w:t>
      </w:r>
    </w:p>
    <w:p>
      <w:pPr>
        <w:pStyle w:val="ListParagraph"/>
        <w:numPr>
          <w:ilvl w:val="0"/>
          <w:numId w:val="2"/>
        </w:numPr>
        <w:spacing w:after="40" w:before="40" w:line="280"/>
      </w:pPr>
      <w:r>
        <w:t xml:space="preserve">D. Four — one per architecture domain</w:t>
      </w:r>
    </w:p>
    <w:p>
      <w:pPr>
        <w:spacing w:after="80" w:before="80" w:line="300"/>
        <w:jc w:val="both"/>
      </w:pPr>
      <w:r>
        <w:t xml:space="preserve">Answer: B.</w:t>
      </w:r>
    </w:p>
    <w:p>
      <w:pPr>
        <w:pStyle w:val="Heading3"/>
        <w:spacing w:after="100" w:before="200"/>
      </w:pPr>
      <w:r>
        <w:t xml:space="preserve">Q4</w:t>
      </w:r>
    </w:p>
    <w:p>
      <w:pPr>
        <w:spacing w:after="80" w:before="80" w:line="300"/>
        <w:jc w:val="both"/>
      </w:pPr>
      <w:r>
        <w:t xml:space="preserve">Which statement about Architecture Building Blocks (ABBs) is correct?</w:t>
      </w:r>
    </w:p>
    <w:p>
      <w:pPr>
        <w:pStyle w:val="ListParagraph"/>
        <w:numPr>
          <w:ilvl w:val="0"/>
          <w:numId w:val="2"/>
        </w:numPr>
        <w:spacing w:after="40" w:before="40" w:line="280"/>
      </w:pPr>
      <w:r>
        <w:t xml:space="preserve">A. ABBs specify a vendor product</w:t>
      </w:r>
    </w:p>
    <w:p>
      <w:pPr>
        <w:pStyle w:val="ListParagraph"/>
        <w:numPr>
          <w:ilvl w:val="0"/>
          <w:numId w:val="2"/>
        </w:numPr>
        <w:spacing w:after="40" w:before="40" w:line="280"/>
      </w:pPr>
      <w:r>
        <w:t xml:space="preserve">B. ABBs describe required capability in a technology-independent way</w:t>
      </w:r>
    </w:p>
    <w:p>
      <w:pPr>
        <w:pStyle w:val="ListParagraph"/>
        <w:numPr>
          <w:ilvl w:val="0"/>
          <w:numId w:val="2"/>
        </w:numPr>
        <w:spacing w:after="40" w:before="40" w:line="280"/>
      </w:pPr>
      <w:r>
        <w:t xml:space="preserve">C. ABBs are developed primarily in Phase G</w:t>
      </w:r>
    </w:p>
    <w:p>
      <w:pPr>
        <w:pStyle w:val="ListParagraph"/>
        <w:numPr>
          <w:ilvl w:val="0"/>
          <w:numId w:val="2"/>
        </w:numPr>
        <w:spacing w:after="40" w:before="40" w:line="280"/>
      </w:pPr>
      <w:r>
        <w:t xml:space="preserve">D. ABBs are synonymous with Solution Building Blocks</w:t>
      </w:r>
    </w:p>
    <w:p>
      <w:pPr>
        <w:spacing w:after="80" w:before="80" w:line="300"/>
        <w:jc w:val="both"/>
      </w:pPr>
      <w:r>
        <w:t xml:space="preserve">Answer: B.</w:t>
      </w:r>
    </w:p>
    <w:p>
      <w:pPr>
        <w:pStyle w:val="Heading3"/>
        <w:spacing w:after="100" w:before="200"/>
      </w:pPr>
      <w:r>
        <w:t xml:space="preserve">Q5</w:t>
      </w:r>
    </w:p>
    <w:p>
      <w:pPr>
        <w:spacing w:after="80" w:before="80" w:line="300"/>
        <w:jc w:val="both"/>
      </w:pPr>
      <w:r>
        <w:t xml:space="preserve">An insurance company uses Guidewire ClaimCenter in its production environment. This is best classified as a:</w:t>
      </w:r>
    </w:p>
    <w:p>
      <w:pPr>
        <w:pStyle w:val="ListParagraph"/>
        <w:numPr>
          <w:ilvl w:val="0"/>
          <w:numId w:val="2"/>
        </w:numPr>
        <w:spacing w:after="40" w:before="40" w:line="280"/>
      </w:pPr>
      <w:r>
        <w:t xml:space="preserve">A. Foundation Architecture</w:t>
      </w:r>
    </w:p>
    <w:p>
      <w:pPr>
        <w:pStyle w:val="ListParagraph"/>
        <w:numPr>
          <w:ilvl w:val="0"/>
          <w:numId w:val="2"/>
        </w:numPr>
        <w:spacing w:after="40" w:before="40" w:line="280"/>
      </w:pPr>
      <w:r>
        <w:t xml:space="preserve">B. Common Systems Solution</w:t>
      </w:r>
    </w:p>
    <w:p>
      <w:pPr>
        <w:pStyle w:val="ListParagraph"/>
        <w:numPr>
          <w:ilvl w:val="0"/>
          <w:numId w:val="2"/>
        </w:numPr>
        <w:spacing w:after="40" w:before="40" w:line="280"/>
      </w:pPr>
      <w:r>
        <w:t xml:space="preserve">C. Industry Solution</w:t>
      </w:r>
    </w:p>
    <w:p>
      <w:pPr>
        <w:pStyle w:val="ListParagraph"/>
        <w:numPr>
          <w:ilvl w:val="0"/>
          <w:numId w:val="2"/>
        </w:numPr>
        <w:spacing w:after="40" w:before="40" w:line="280"/>
      </w:pPr>
      <w:r>
        <w:t xml:space="preserve">D. Organization-Specific Solution once deployed and configured</w:t>
      </w:r>
    </w:p>
    <w:p>
      <w:pPr>
        <w:spacing w:after="80" w:before="80" w:line="300"/>
        <w:jc w:val="both"/>
      </w:pPr>
      <w:r>
        <w:t xml:space="preserve">Answer: D. Guidewire ClaimCenter as a product is an Industry Solution, but once deployed and configured for a specific insurer's rules, it becomes an Organization-Specific Solution.</w:t>
      </w:r>
    </w:p>
    <w:p>
      <w:pPr>
        <w:pStyle w:val="Heading3"/>
        <w:spacing w:after="100" w:before="200"/>
      </w:pPr>
      <w:r>
        <w:t xml:space="preserve">Q6</w:t>
      </w:r>
    </w:p>
    <w:p>
      <w:pPr>
        <w:spacing w:after="80" w:before="80" w:line="300"/>
        <w:jc w:val="both"/>
      </w:pPr>
      <w:r>
        <w:t xml:space="preserve">The Enterprise Continuum is best described as:</w:t>
      </w:r>
    </w:p>
    <w:p>
      <w:pPr>
        <w:pStyle w:val="ListParagraph"/>
        <w:numPr>
          <w:ilvl w:val="0"/>
          <w:numId w:val="2"/>
        </w:numPr>
        <w:spacing w:after="40" w:before="40" w:line="280"/>
      </w:pPr>
      <w:r>
        <w:t xml:space="preserve">A. A physical database for storing architectural models</w:t>
      </w:r>
    </w:p>
    <w:p>
      <w:pPr>
        <w:pStyle w:val="ListParagraph"/>
        <w:numPr>
          <w:ilvl w:val="0"/>
          <w:numId w:val="2"/>
        </w:numPr>
        <w:spacing w:after="40" w:before="40" w:line="280"/>
      </w:pPr>
      <w:r>
        <w:t xml:space="preserve">B. A classification mechanism for architectural and solution artifacts</w:t>
      </w:r>
    </w:p>
    <w:p>
      <w:pPr>
        <w:pStyle w:val="ListParagraph"/>
        <w:numPr>
          <w:ilvl w:val="0"/>
          <w:numId w:val="2"/>
        </w:numPr>
        <w:spacing w:after="40" w:before="40" w:line="280"/>
      </w:pPr>
      <w:r>
        <w:t xml:space="preserve">C. A project-management methodology</w:t>
      </w:r>
    </w:p>
    <w:p>
      <w:pPr>
        <w:pStyle w:val="ListParagraph"/>
        <w:numPr>
          <w:ilvl w:val="0"/>
          <w:numId w:val="2"/>
        </w:numPr>
        <w:spacing w:after="40" w:before="40" w:line="280"/>
      </w:pPr>
      <w:r>
        <w:t xml:space="preserve">D. A governance framework with compliance levels</w:t>
      </w:r>
    </w:p>
    <w:p>
      <w:pPr>
        <w:spacing w:after="80" w:before="80" w:line="300"/>
        <w:jc w:val="both"/>
      </w:pPr>
      <w:r>
        <w:t xml:space="preserve">Answer: B.</w:t>
      </w:r>
    </w:p>
    <w:p>
      <w:pPr>
        <w:pStyle w:val="Heading3"/>
        <w:spacing w:after="100" w:before="200"/>
      </w:pPr>
      <w:r>
        <w:t xml:space="preserve">Q7</w:t>
      </w:r>
    </w:p>
    <w:p>
      <w:pPr>
        <w:spacing w:after="80" w:before="80" w:line="300"/>
        <w:jc w:val="both"/>
      </w:pPr>
      <w:r>
        <w:t xml:space="preserve">BIAN (Banking Industry Architecture Network) is an example of a reference architecture at which Continuum level?</w:t>
      </w:r>
    </w:p>
    <w:p>
      <w:pPr>
        <w:pStyle w:val="ListParagraph"/>
        <w:numPr>
          <w:ilvl w:val="0"/>
          <w:numId w:val="2"/>
        </w:numPr>
        <w:spacing w:after="40" w:before="40" w:line="280"/>
      </w:pPr>
      <w:r>
        <w:t xml:space="preserve">A. Foundation</w:t>
      </w:r>
    </w:p>
    <w:p>
      <w:pPr>
        <w:pStyle w:val="ListParagraph"/>
        <w:numPr>
          <w:ilvl w:val="0"/>
          <w:numId w:val="2"/>
        </w:numPr>
        <w:spacing w:after="40" w:before="40" w:line="280"/>
      </w:pPr>
      <w:r>
        <w:t xml:space="preserve">B. Common Systems</w:t>
      </w:r>
    </w:p>
    <w:p>
      <w:pPr>
        <w:pStyle w:val="ListParagraph"/>
        <w:numPr>
          <w:ilvl w:val="0"/>
          <w:numId w:val="2"/>
        </w:numPr>
        <w:spacing w:after="40" w:before="40" w:line="280"/>
      </w:pPr>
      <w:r>
        <w:t xml:space="preserve">C. Industry</w:t>
      </w:r>
    </w:p>
    <w:p>
      <w:pPr>
        <w:pStyle w:val="ListParagraph"/>
        <w:numPr>
          <w:ilvl w:val="0"/>
          <w:numId w:val="2"/>
        </w:numPr>
        <w:spacing w:after="40" w:before="40" w:line="280"/>
      </w:pPr>
      <w:r>
        <w:t xml:space="preserve">D. Organization-Specific</w:t>
      </w:r>
    </w:p>
    <w:p>
      <w:pPr>
        <w:spacing w:after="80" w:before="80" w:line="300"/>
        <w:jc w:val="both"/>
      </w:pPr>
      <w:r>
        <w:t xml:space="preserve">Answer: C.</w:t>
      </w:r>
    </w:p>
    <w:p>
      <w:pPr>
        <w:pStyle w:val="Heading3"/>
        <w:spacing w:after="100" w:before="200"/>
      </w:pPr>
      <w:r>
        <w:t xml:space="preserve">Q8</w:t>
      </w:r>
    </w:p>
    <w:p>
      <w:pPr>
        <w:spacing w:after="80" w:before="80" w:line="300"/>
        <w:jc w:val="both"/>
      </w:pPr>
      <w:r>
        <w:t xml:space="preserve">Which continuum contains the actual deployed, running systems of an enterprise?</w:t>
      </w:r>
    </w:p>
    <w:p>
      <w:pPr>
        <w:pStyle w:val="ListParagraph"/>
        <w:numPr>
          <w:ilvl w:val="0"/>
          <w:numId w:val="2"/>
        </w:numPr>
        <w:spacing w:after="40" w:before="40" w:line="280"/>
      </w:pPr>
      <w:r>
        <w:t xml:space="preserve">A. Architecture Continuum at Foundation level</w:t>
      </w:r>
    </w:p>
    <w:p>
      <w:pPr>
        <w:pStyle w:val="ListParagraph"/>
        <w:numPr>
          <w:ilvl w:val="0"/>
          <w:numId w:val="2"/>
        </w:numPr>
        <w:spacing w:after="40" w:before="40" w:line="280"/>
      </w:pPr>
      <w:r>
        <w:t xml:space="preserve">B. Solutions Continuum at Organization-Specific level</w:t>
      </w:r>
    </w:p>
    <w:p>
      <w:pPr>
        <w:pStyle w:val="ListParagraph"/>
        <w:numPr>
          <w:ilvl w:val="0"/>
          <w:numId w:val="2"/>
        </w:numPr>
        <w:spacing w:after="40" w:before="40" w:line="280"/>
      </w:pPr>
      <w:r>
        <w:t xml:space="preserve">C. Architecture Continuum at Common Systems level</w:t>
      </w:r>
    </w:p>
    <w:p>
      <w:pPr>
        <w:pStyle w:val="ListParagraph"/>
        <w:numPr>
          <w:ilvl w:val="0"/>
          <w:numId w:val="2"/>
        </w:numPr>
        <w:spacing w:after="40" w:before="40" w:line="280"/>
      </w:pPr>
      <w:r>
        <w:t xml:space="preserve">D. Neither — deployed systems are outside the Continuum</w:t>
      </w:r>
    </w:p>
    <w:p>
      <w:pPr>
        <w:spacing w:after="80" w:before="80" w:line="300"/>
        <w:jc w:val="both"/>
      </w:pPr>
      <w:r>
        <w:t xml:space="preserve">Answer: B.</w:t>
      </w:r>
    </w:p>
    <w:p>
      <w:pPr>
        <w:pStyle w:val="Heading3"/>
        <w:spacing w:after="100" w:before="200"/>
      </w:pPr>
      <w:r>
        <w:t xml:space="preserve">Q9</w:t>
      </w:r>
    </w:p>
    <w:p>
      <w:pPr>
        <w:spacing w:after="80" w:before="80" w:line="300"/>
        <w:jc w:val="both"/>
      </w:pPr>
      <w:r>
        <w:t xml:space="preserve">Which of the following is a characteristic of a good Building Block?</w:t>
      </w:r>
    </w:p>
    <w:p>
      <w:pPr>
        <w:pStyle w:val="ListParagraph"/>
        <w:numPr>
          <w:ilvl w:val="0"/>
          <w:numId w:val="2"/>
        </w:numPr>
        <w:spacing w:after="40" w:before="40" w:line="280"/>
      </w:pPr>
      <w:r>
        <w:t xml:space="preserve">A. It is monolithic and cannot be subdivided</w:t>
      </w:r>
    </w:p>
    <w:p>
      <w:pPr>
        <w:pStyle w:val="ListParagraph"/>
        <w:numPr>
          <w:ilvl w:val="0"/>
          <w:numId w:val="2"/>
        </w:numPr>
        <w:spacing w:after="40" w:before="40" w:line="280"/>
      </w:pPr>
      <w:r>
        <w:t xml:space="preserve">B. It has a stable published interface so dependencies can be managed</w:t>
      </w:r>
    </w:p>
    <w:p>
      <w:pPr>
        <w:pStyle w:val="ListParagraph"/>
        <w:numPr>
          <w:ilvl w:val="0"/>
          <w:numId w:val="2"/>
        </w:numPr>
        <w:spacing w:after="40" w:before="40" w:line="280"/>
      </w:pPr>
      <w:r>
        <w:t xml:space="preserve">C. It must be developed in-house</w:t>
      </w:r>
    </w:p>
    <w:p>
      <w:pPr>
        <w:pStyle w:val="ListParagraph"/>
        <w:numPr>
          <w:ilvl w:val="0"/>
          <w:numId w:val="2"/>
        </w:numPr>
        <w:spacing w:after="40" w:before="40" w:line="280"/>
      </w:pPr>
      <w:r>
        <w:t xml:space="preserve">D. It is always Organization-Specific</w:t>
      </w:r>
    </w:p>
    <w:p>
      <w:pPr>
        <w:spacing w:after="80" w:before="80" w:line="300"/>
        <w:jc w:val="both"/>
      </w:pPr>
      <w:r>
        <w:t xml:space="preserve">Answer: B.</w:t>
      </w:r>
    </w:p>
    <w:p>
      <w:pPr>
        <w:pStyle w:val="Heading3"/>
        <w:spacing w:after="100" w:before="200"/>
      </w:pPr>
      <w:r>
        <w:t xml:space="preserve">Q10</w:t>
      </w:r>
    </w:p>
    <w:p>
      <w:pPr>
        <w:spacing w:after="80" w:before="80" w:line="300"/>
        <w:jc w:val="both"/>
      </w:pPr>
      <w:r>
        <w:t xml:space="preserve">The main benefit of classifying an asset on the Enterprise Continuum is to:</w:t>
      </w:r>
    </w:p>
    <w:p>
      <w:pPr>
        <w:pStyle w:val="ListParagraph"/>
        <w:numPr>
          <w:ilvl w:val="0"/>
          <w:numId w:val="2"/>
        </w:numPr>
        <w:spacing w:after="40" w:before="40" w:line="280"/>
      </w:pPr>
      <w:r>
        <w:t xml:space="preserve">A. Reduce the number of architects needed</w:t>
      </w:r>
    </w:p>
    <w:p>
      <w:pPr>
        <w:pStyle w:val="ListParagraph"/>
        <w:numPr>
          <w:ilvl w:val="0"/>
          <w:numId w:val="2"/>
        </w:numPr>
        <w:spacing w:after="40" w:before="40" w:line="280"/>
      </w:pPr>
      <w:r>
        <w:t xml:space="preserve">B. Enable reuse, adaptation, and consistent standards</w:t>
      </w:r>
    </w:p>
    <w:p>
      <w:pPr>
        <w:pStyle w:val="ListParagraph"/>
        <w:numPr>
          <w:ilvl w:val="0"/>
          <w:numId w:val="2"/>
        </w:numPr>
        <w:spacing w:after="40" w:before="40" w:line="280"/>
      </w:pPr>
      <w:r>
        <w:t xml:space="preserve">C. Eliminate the need for governance</w:t>
      </w:r>
    </w:p>
    <w:p>
      <w:pPr>
        <w:pStyle w:val="ListParagraph"/>
        <w:numPr>
          <w:ilvl w:val="0"/>
          <w:numId w:val="2"/>
        </w:numPr>
        <w:spacing w:after="40" w:before="40" w:line="280"/>
      </w:pPr>
      <w:r>
        <w:t xml:space="preserve">D. Replace the Architecture Repository</w:t>
      </w:r>
    </w:p>
    <w:p>
      <w:pPr>
        <w:spacing w:after="80" w:before="80" w:line="300"/>
        <w:jc w:val="both"/>
      </w:pPr>
      <w:r>
        <w:t xml:space="preserve">Answer: B.</w:t>
      </w:r>
    </w:p>
    <w:p>
      <w:pPr>
        <w:pStyle w:val="Heading2"/>
        <w:spacing w:after="120" w:before="260"/>
      </w:pPr>
      <w:r>
        <w:t xml:space="preserve">10.6 One-Line Mnemonics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Four Continuum levels: F-C-I-O — Foundation, Common Systems, Industry, Organization-Specific. Memorize in that order.</w:t>
            </w:r>
          </w:p>
          <w:p>
            <w:pPr>
              <w:spacing w:after="40" w:before="40" w:line="280"/>
            </w:pPr>
            <w:r>
              <w:t xml:space="preserve">Two continuums: Architecture (logical) and Solutions (physical).</w:t>
            </w:r>
          </w:p>
          <w:p>
            <w:pPr>
              <w:spacing w:after="40" w:before="40" w:line="280"/>
            </w:pPr>
            <w:r>
              <w:t xml:space="preserve">ABB = Architecture Building Block = logical blueprint. SBB = Solution Building Block = actual product/deployment.</w:t>
            </w:r>
          </w:p>
          <w:p>
            <w:pPr>
              <w:spacing w:after="40" w:before="40" w:line="280"/>
            </w:pPr>
            <w:r>
              <w:t xml:space="preserve">Continuum = classification. Repository = storage. Not synonyms.</w:t>
            </w:r>
          </w:p>
          <w:p>
            <w:pPr>
              <w:spacing w:after="40" w:before="40" w:line="280"/>
            </w:pPr>
            <w:r>
              <w:t xml:space="preserve">Generic-to-specific: widely reusable → uniquely tailored. Cost rises as specificity rises.</w:t>
            </w:r>
          </w:p>
          <w:p>
            <w:pPr>
              <w:spacing w:after="40" w:before="40" w:line="280"/>
            </w:pPr>
            <w:r>
              <w:t xml:space="preserve">Best practice: adopt from Foundation → specialize down. Generalize organization-specific assets back up when reuse emerges.</w:t>
            </w:r>
          </w:p>
          <w:p>
            <w:pPr>
              <w:spacing w:after="40" w:before="40" w:line="280"/>
            </w:pPr>
            <w:r>
              <w:t xml:space="preserve">TRM = Foundation. TRM is never Common Systems, never Industry, never Organization-Specific.</w:t>
            </w:r>
          </w:p>
        </w:tc>
      </w:tr>
    </w:tbl>
    <w:p>
      <w:pPr>
        <w:pStyle w:val="Heading2"/>
        <w:spacing w:after="120" w:before="260"/>
      </w:pPr>
      <w:r>
        <w:t xml:space="preserve">10.7 One-Paragraph Summary</w:t>
      </w:r>
    </w:p>
    <w:p>
      <w:pPr>
        <w:spacing w:after="80" w:before="80" w:line="300"/>
        <w:jc w:val="both"/>
      </w:pPr>
      <w:r>
        <w:t xml:space="preserve">The Enterprise Continuum is TOGAF's classification mechanism for architectural and solution content, composed of two parallel continuums — the Architecture Continuum (logical blueprints) and the Solutions Continuum (physical implementations) — each stratified into four levels from most generic to most specific: Foundation, Common Systems, Industry, and Organization-Specific. Building Blocks (ABBs on the Architecture side, SBBs on the Solutions side) are the fundamental units of content that populate the Continuum. The Architecture Repository stores Continuum-classified content; architects use the Continuum throughout the ADM to drive reuse, guide adaptation, inform procurement, and resist unnecessary drift toward costly Organization-Specific customization — adopting from the generic end wherever possible, and generalizing organization-specific assets back up the Continuum whenever broader reuse emerges.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Enterprise Continuum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Enterprise Continuum Study Guide</dc:title>
  <dc:creator>Claude</dc:creator>
  <dc:description>A comprehensive study guide covering the Enterprise Continuum concept in TOGAF 10.</dc:description>
  <cp:lastModifiedBy>Un-named</cp:lastModifiedBy>
  <cp:revision>1</cp:revision>
  <dcterms:created xsi:type="dcterms:W3CDTF">2026-04-20T10:21:09.916Z</dcterms:created>
  <dcterms:modified xsi:type="dcterms:W3CDTF">2026-04-20T10:21:09.917Z</dcterms:modified>
</cp:coreProperties>
</file>

<file path=docProps/custom.xml><?xml version="1.0" encoding="utf-8"?>
<Properties xmlns="http://schemas.openxmlformats.org/officeDocument/2006/custom-properties" xmlns:vt="http://schemas.openxmlformats.org/officeDocument/2006/docPropsVTypes"/>
</file>