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0"/>
          <w:szCs w:val="40"/>
        </w:rPr>
        <w:t xml:space="preserve">Practical Artifacts &amp; Templates</w:t>
      </w:r>
    </w:p>
    <w:p>
      <w:pPr>
        <w:spacing w:after="120" w:before="120"/>
        <w:jc w:val="center"/>
      </w:pPr>
      <w:r>
        <w:rPr>
          <w:i/>
          <w:iCs/>
          <w:color w:val="555555"/>
          <w:sz w:val="24"/>
          <w:szCs w:val="24"/>
        </w:rPr>
        <w:t xml:space="preserve">Ready-to-Use Templates with Worked Examples</w:t>
      </w:r>
    </w:p>
    <w:p>
      <w:pPr>
        <w:spacing w:after="600" w:before="480"/>
        <w:jc w:val="center"/>
      </w:pPr>
      <w:r>
        <w:rPr>
          <w:i/>
          <w:iCs/>
          <w:color w:val="555555"/>
          <w:sz w:val="32"/>
          <w:szCs w:val="32"/>
        </w:rPr>
        <w:t xml:space="preserve">A Hands-On Reference</w:t>
      </w:r>
    </w:p>
    <w:p>
      <w:pPr>
        <w:spacing w:after="120" w:before="2400"/>
        <w:jc w:val="center"/>
      </w:pPr>
      <w:r>
        <w:rPr>
          <w:i/>
          <w:iCs/>
          <w:color w:val="555555"/>
          <w:sz w:val="22"/>
          <w:szCs w:val="22"/>
        </w:rPr>
        <w:t xml:space="preserve">Deliverables, catalogs, matrices, ADRs, compliance reviews, dispensations, contracts — every artifact as a template and a filled example, ready to copy and adapt.</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How to Use This Guide</w:t>
      </w:r>
    </w:p>
    <w:p>
      <w:pPr>
        <w:spacing w:after="80" w:before="80" w:line="300"/>
        <w:jc w:val="both"/>
      </w:pPr>
      <w:r>
        <w:t xml:space="preserve">This is a working reference, not a study guide. It collects the most common TOGAF 10 artifacts — deliverables, catalogs, matrices, diagrams, governance records, and decision documents — as ready-to-use templates paired with filled-in examples. Use it to start artifacts faster, to see what "good" looks like, and to keep your output consistent across engagements.</w:t>
      </w:r>
    </w:p>
    <w:p>
      <w:pPr>
        <w:pStyle w:val="Heading2"/>
        <w:spacing w:after="120" w:before="260"/>
      </w:pPr>
      <w:r>
        <w:t xml:space="preserve">1.1 Structure of Each Artifact</w:t>
      </w:r>
    </w:p>
    <w:p>
      <w:pPr>
        <w:spacing w:after="80" w:before="80" w:line="300"/>
        <w:jc w:val="both"/>
      </w:pPr>
      <w:r>
        <w:t xml:space="preserve">Every artifact in this guide follows the same structure:</w:t>
      </w:r>
    </w:p>
    <w:p>
      <w:pPr>
        <w:pStyle w:val="ListParagraph"/>
        <w:numPr>
          <w:ilvl w:val="0"/>
          <w:numId w:val="2"/>
        </w:numPr>
        <w:spacing w:after="40" w:before="40" w:line="280"/>
      </w:pPr>
      <w:r>
        <w:rPr>
          <w:b/>
          <w:bCs/>
        </w:rPr>
        <w:t xml:space="preserve">Purpose: </w:t>
      </w:r>
      <w:r>
        <w:t xml:space="preserve">what the artifact is for and what it answers.</w:t>
      </w:r>
    </w:p>
    <w:p>
      <w:pPr>
        <w:pStyle w:val="ListParagraph"/>
        <w:numPr>
          <w:ilvl w:val="0"/>
          <w:numId w:val="2"/>
        </w:numPr>
        <w:spacing w:after="40" w:before="40" w:line="280"/>
      </w:pPr>
      <w:r>
        <w:rPr>
          <w:b/>
          <w:bCs/>
        </w:rPr>
        <w:t xml:space="preserve">Use When: </w:t>
      </w:r>
      <w:r>
        <w:t xml:space="preserve">signals that trigger producing it.</w:t>
      </w:r>
    </w:p>
    <w:p>
      <w:pPr>
        <w:pStyle w:val="ListParagraph"/>
        <w:numPr>
          <w:ilvl w:val="0"/>
          <w:numId w:val="2"/>
        </w:numPr>
        <w:spacing w:after="40" w:before="40" w:line="280"/>
      </w:pPr>
      <w:r>
        <w:rPr>
          <w:b/>
          <w:bCs/>
        </w:rPr>
        <w:t xml:space="preserve">Template: </w:t>
      </w:r>
      <w:r>
        <w:t xml:space="preserve">a clean structure you can copy.</w:t>
      </w:r>
    </w:p>
    <w:p>
      <w:pPr>
        <w:pStyle w:val="ListParagraph"/>
        <w:numPr>
          <w:ilvl w:val="0"/>
          <w:numId w:val="2"/>
        </w:numPr>
        <w:spacing w:after="40" w:before="40" w:line="280"/>
      </w:pPr>
      <w:r>
        <w:rPr>
          <w:b/>
          <w:bCs/>
        </w:rPr>
        <w:t xml:space="preserve">Worked Example: </w:t>
      </w:r>
      <w:r>
        <w:t xml:space="preserve">a realistic filled-in instance.</w:t>
      </w:r>
    </w:p>
    <w:p>
      <w:pPr>
        <w:pStyle w:val="ListParagraph"/>
        <w:numPr>
          <w:ilvl w:val="0"/>
          <w:numId w:val="2"/>
        </w:numPr>
        <w:spacing w:after="40" w:before="40" w:line="280"/>
      </w:pPr>
      <w:r>
        <w:rPr>
          <w:b/>
          <w:bCs/>
        </w:rPr>
        <w:t xml:space="preserve">Common Mistakes: </w:t>
      </w:r>
      <w:r>
        <w:t xml:space="preserve">what to avoid when producing this artifact.</w:t>
      </w:r>
    </w:p>
    <w:p>
      <w:pPr>
        <w:pStyle w:val="ListParagraph"/>
        <w:numPr>
          <w:ilvl w:val="0"/>
          <w:numId w:val="2"/>
        </w:numPr>
        <w:spacing w:after="40" w:before="40" w:line="280"/>
      </w:pPr>
      <w:r>
        <w:rPr>
          <w:b/>
          <w:bCs/>
        </w:rPr>
        <w:t xml:space="preserve">Practical Tips: </w:t>
      </w:r>
      <w:r>
        <w:t xml:space="preserve">what experienced architects do differently.</w:t>
      </w:r>
    </w:p>
    <w:p>
      <w:pPr>
        <w:pStyle w:val="Heading2"/>
        <w:spacing w:after="120" w:before="260"/>
      </w:pPr>
      <w:r>
        <w:t xml:space="preserve">1.2 The Running Case</w:t>
      </w:r>
    </w:p>
    <w:p>
      <w:pPr>
        <w:spacing w:after="80" w:before="80" w:line="300"/>
        <w:jc w:val="both"/>
      </w:pPr>
      <w:r>
        <w:t xml:space="preserve">Most examples in this guide are drawn from a single running case — Horizon Bank, a retail bank embarking on a "Digital-First" transformation. A consistent case makes the artifacts connect — an entry in one artifact appears in others, reinforcing how real Repository content is cross-linked. The transformation involves modernizing payments, introducing a customer-facing digital platform, and retiring legacy branch systems.</w:t>
      </w:r>
    </w:p>
    <w:p>
      <w:pPr>
        <w:pStyle w:val="Heading2"/>
        <w:spacing w:after="120" w:before="260"/>
      </w:pPr>
      <w:r>
        <w:t xml:space="preserve">1.3 Tailoring for Your Context</w:t>
      </w:r>
    </w:p>
    <w:p>
      <w:pPr>
        <w:spacing w:after="80" w:before="80" w:line="300"/>
        <w:jc w:val="both"/>
      </w:pPr>
      <w:r>
        <w:t xml:space="preserve">Every template here is a starting point. Tailor ruthlessly to your enterprise's vocabulary, governance maturity, and stakeholder expectations. An artifact that reflects local reality is far more valuable than one that is technically "correct" but alien to the people who must use it.</w:t>
      </w:r>
    </w:p>
    <w:p>
      <w:pPr>
        <w:pStyle w:val="Heading2"/>
        <w:spacing w:after="120" w:before="260"/>
      </w:pPr>
      <w:r>
        <w:t xml:space="preserve">1.4 Index of Artifacts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t>
            </w:r>
          </w:p>
        </w:tc>
        <w:tc>
          <w:tcPr>
            <w:tcW w:type="dxa" w:w="6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Artifact</w:t>
            </w:r>
          </w:p>
        </w:tc>
        <w:tc>
          <w:tcPr>
            <w:tcW w:type="dxa" w:w="2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Request for Architecture Work</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Statement of Architecture Work (SOW)</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Vision</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Principles Catalog</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Stakeholder Map</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 + Matrix</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7</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Communications Plan</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8</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Capability Map &amp; Heat Map</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Architecture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9</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Value Stream Map</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Architecture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10</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Service Catalog</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11</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Portfolio Catalog (with TIME)</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Catalog</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12</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Interface Catalog</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Catalog</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13</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Entity Catalog</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Catalog</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14</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CRUD Matrix (Data × Function)</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Matrix</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15</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 Data Matrix</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Matrix</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16</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 Technology Matrix</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Matrix</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17</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Standards Catalog</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Catalog</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18</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Consolidated Gaps, Solutions &amp; Dependencies Matrix</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Matrix</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19</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Transition Architecture Definition</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20</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Roadmap</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21</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Decision Record (ADR)</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22</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Review Report</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23</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Dispensation Record</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24</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Contract</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25</w:t>
            </w:r>
          </w:p>
        </w:tc>
        <w:tc>
          <w:tcPr>
            <w:tcW w:type="dxa" w:w="6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Change Request</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26</w:t>
            </w:r>
          </w:p>
        </w:tc>
        <w:tc>
          <w:tcPr>
            <w:tcW w:type="dxa" w:w="6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Requirements Impact Assessment</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w:t>
            </w:r>
          </w:p>
        </w:tc>
      </w:tr>
    </w:tbl>
    <w:p>
      <w:pPr>
        <w:pStyle w:val="Heading1"/>
        <w:pageBreakBefore/>
        <w:spacing w:after="180" w:before="360"/>
      </w:pPr>
      <w:r>
        <w:t xml:space="preserve">2. Request for Architecture Work</w:t>
      </w:r>
    </w:p>
    <w:p>
      <w:pPr>
        <w:pStyle w:val="Heading2"/>
        <w:spacing w:after="120" w:before="260"/>
      </w:pPr>
      <w:r>
        <w:t xml:space="preserve">2.1 Purpose</w:t>
      </w:r>
    </w:p>
    <w:p>
      <w:pPr>
        <w:spacing w:after="80" w:before="80" w:line="300"/>
        <w:jc w:val="both"/>
      </w:pPr>
      <w:r>
        <w:t xml:space="preserve">The Request for Architecture Work is the formal trigger that initiates a new architecture engagement. It is produced by the sponsor — typically a business leader or executive — and flows into the Preliminary or Phase A of the ADM. It captures why the work is needed, what scope is anticipated, and what constraints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A new business initiative requires architectural involvement.</w:t>
            </w:r>
          </w:p>
          <w:p>
            <w:pPr>
              <w:spacing w:after="40" w:before="40" w:line="280"/>
            </w:pPr>
            <w:r>
              <w:t xml:space="preserve">A change in strategy, regulation, technology, or M&amp;A activity is creating architectural implications.</w:t>
            </w:r>
          </w:p>
          <w:p>
            <w:pPr>
              <w:spacing w:after="40" w:before="40" w:line="280"/>
            </w:pPr>
            <w:r>
              <w:t xml:space="preserve">An existing capability is no longer fit for purpose and needs redesign.</w:t>
            </w:r>
          </w:p>
          <w:p>
            <w:pPr>
              <w:spacing w:after="40" w:before="40" w:line="280"/>
            </w:pPr>
            <w:r>
              <w:t xml:space="preserve">A Phase H change classification warrants a new ADM cycle.</w:t>
            </w:r>
          </w:p>
        </w:tc>
      </w:tr>
    </w:tbl>
    <w:p>
      <w:pPr>
        <w:pStyle w:val="Heading2"/>
        <w:spacing w:after="120" w:before="260"/>
      </w:pPr>
      <w:r>
        <w:t xml:space="preserve">2.2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Request for Architecture Work — Template</w:t>
            </w:r>
          </w:p>
          <w:p>
            <w:pPr>
              <w:spacing w:after="40" w:before="40" w:line="280"/>
            </w:pPr>
            <w:r>
              <w:t xml:space="preserve">1. Title</w:t>
            </w:r>
          </w:p>
          <w:p>
            <w:pPr>
              <w:spacing w:after="40" w:before="40" w:line="280"/>
            </w:pPr>
            <w:r>
              <w:t xml:space="preserve">2. Organization Sponsors (named individuals and their roles)</w:t>
            </w:r>
          </w:p>
          <w:p>
            <w:pPr>
              <w:spacing w:after="40" w:before="40" w:line="280"/>
            </w:pPr>
            <w:r>
              <w:t xml:space="preserve">3. Organization's Mission Statement (brief)</w:t>
            </w:r>
          </w:p>
          <w:p>
            <w:pPr>
              <w:spacing w:after="40" w:before="40" w:line="280"/>
            </w:pPr>
            <w:r>
              <w:t xml:space="preserve">4. Business Goals (those affecting this engagement)</w:t>
            </w:r>
          </w:p>
          <w:p>
            <w:pPr>
              <w:spacing w:after="40" w:before="40" w:line="280"/>
            </w:pPr>
            <w:r>
              <w:t xml:space="preserve">5. Strategic Plans of the Business (relevant elements)</w:t>
            </w:r>
          </w:p>
          <w:p>
            <w:pPr>
              <w:spacing w:after="40" w:before="40" w:line="280"/>
            </w:pPr>
            <w:r>
              <w:t xml:space="preserve">6. Time Limits (deadlines, urgency, regulatory timings)</w:t>
            </w:r>
          </w:p>
          <w:p>
            <w:pPr>
              <w:spacing w:after="40" w:before="40" w:line="280"/>
            </w:pPr>
            <w:r>
              <w:t xml:space="preserve">7. Changes in the Business Environment (drivers for change)</w:t>
            </w:r>
          </w:p>
          <w:p>
            <w:pPr>
              <w:spacing w:after="40" w:before="40" w:line="280"/>
            </w:pPr>
            <w:r>
              <w:t xml:space="preserve">8. Organizational Constraints (people, process, political)</w:t>
            </w:r>
          </w:p>
          <w:p>
            <w:pPr>
              <w:spacing w:after="40" w:before="40" w:line="280"/>
            </w:pPr>
            <w:r>
              <w:t xml:space="preserve">9. Budget Information, Financial Constraints</w:t>
            </w:r>
          </w:p>
          <w:p>
            <w:pPr>
              <w:spacing w:after="40" w:before="40" w:line="280"/>
            </w:pPr>
            <w:r>
              <w:t xml:space="preserve">10. External Constraints, Business Constraints</w:t>
            </w:r>
          </w:p>
          <w:p>
            <w:pPr>
              <w:spacing w:after="40" w:before="40" w:line="280"/>
            </w:pPr>
            <w:r>
              <w:t xml:space="preserve">11. Current Business System Description</w:t>
            </w:r>
          </w:p>
          <w:p>
            <w:pPr>
              <w:spacing w:after="40" w:before="40" w:line="280"/>
            </w:pPr>
            <w:r>
              <w:t xml:space="preserve">12. Current Architecture / IT System Description</w:t>
            </w:r>
          </w:p>
          <w:p>
            <w:pPr>
              <w:spacing w:after="40" w:before="40" w:line="280"/>
            </w:pPr>
            <w:r>
              <w:t xml:space="preserve">13. Description of Developing Organization (who will do the work)</w:t>
            </w:r>
          </w:p>
          <w:p>
            <w:pPr>
              <w:spacing w:after="40" w:before="40" w:line="280"/>
            </w:pPr>
            <w:r>
              <w:t xml:space="preserve">14. Description of Resources Available to Developing Organization</w:t>
            </w:r>
          </w:p>
          <w:p>
            <w:pPr>
              <w:spacing w:after="40" w:before="40" w:line="280"/>
            </w:pPr>
            <w:r>
              <w:t xml:space="preserve">15. Approvals and Sign-offs</w:t>
            </w:r>
          </w:p>
        </w:tc>
      </w:tr>
    </w:tbl>
    <w:p>
      <w:pPr>
        <w:pStyle w:val="Heading2"/>
        <w:spacing w:after="120" w:before="260"/>
      </w:pPr>
      <w:r>
        <w:t xml:space="preserve">2.3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Request for Architecture Work — Horizon Bank Payments Modernization</w:t>
            </w:r>
          </w:p>
          <w:p>
            <w:pPr>
              <w:spacing w:after="40" w:before="40" w:line="280"/>
            </w:pPr>
            <w:r>
              <w:t xml:space="preserve">1. Title: Payments Modernization — Architecture Work Request (RfAW-2026-003)</w:t>
            </w:r>
          </w:p>
          <w:p>
            <w:pPr>
              <w:spacing w:after="40" w:before="40" w:line="280"/>
            </w:pPr>
            <w:r>
              <w:t xml:space="preserve">2. Sponsors: Sarah Chen (COO), David Okafor (CIO), Maria Rossi (Director of Payments)</w:t>
            </w:r>
          </w:p>
          <w:p>
            <w:pPr>
              <w:spacing w:after="40" w:before="40" w:line="280"/>
            </w:pPr>
            <w:r>
              <w:t xml:space="preserve">3. Mission: "Serve our customers with the best-in-class retail banking experience across all channels."</w:t>
            </w:r>
          </w:p>
          <w:p>
            <w:pPr>
              <w:spacing w:after="40" w:before="40" w:line="280"/>
            </w:pPr>
            <w:r>
              <w:t xml:space="preserve">4. Business Goals: (a) reduce customer churn by 18% over 3 years; (b) achieve &lt;5s payment confirmation p99; (c) comply with SEPA Instant, UK Faster Payments, and FedNow by Q4 next year.</w:t>
            </w:r>
          </w:p>
          <w:p>
            <w:pPr>
              <w:spacing w:after="40" w:before="40" w:line="280"/>
            </w:pPr>
            <w:r>
              <w:t xml:space="preserve">5. Strategic Plans: "Digital-First 2028" strategy adopted by Board (Jan 2026); cloud migration programme (Azure) concurrent.</w:t>
            </w:r>
          </w:p>
          <w:p>
            <w:pPr>
              <w:spacing w:after="40" w:before="40" w:line="280"/>
            </w:pPr>
            <w:r>
              <w:t xml:space="preserve">6. Time Limits: FedNow regulatory mandate: Dec 2026. Internal Board checkpoint: Q3 2026.</w:t>
            </w:r>
          </w:p>
          <w:p>
            <w:pPr>
              <w:spacing w:after="40" w:before="40" w:line="280"/>
            </w:pPr>
            <w:r>
              <w:t xml:space="preserve">7. Business Environment Changes: fintech competitors offering instant payments; customer expectation shift; regulatory pressure from FCA and Fed.</w:t>
            </w:r>
          </w:p>
          <w:p>
            <w:pPr>
              <w:spacing w:after="40" w:before="40" w:line="280"/>
            </w:pPr>
            <w:r>
              <w:t xml:space="preserve">8. Organizational Constraints: union consultation required for branch-staff role changes; 8-week lead time for recruitment; acquisition of regional bank pending.</w:t>
            </w:r>
          </w:p>
          <w:p>
            <w:pPr>
              <w:spacing w:after="40" w:before="40" w:line="280"/>
            </w:pPr>
            <w:r>
              <w:t xml:space="preserve">9. Budget: £48M approved capex envelope for Year 1, subject to Board review at Month 6.</w:t>
            </w:r>
          </w:p>
          <w:p>
            <w:pPr>
              <w:spacing w:after="40" w:before="40" w:line="280"/>
            </w:pPr>
            <w:r>
              <w:t xml:space="preserve">10. External Constraints: SWIFT gpi compliance; TARGET2 settlement windows; data residency (UK/EU only for personal data).</w:t>
            </w:r>
          </w:p>
          <w:p>
            <w:pPr>
              <w:spacing w:after="40" w:before="40" w:line="280"/>
            </w:pPr>
            <w:r>
              <w:t xml:space="preserve">11. Current Business System: payments processed across 3 systems (retail, corporate, treasury); no unified customer view.</w:t>
            </w:r>
          </w:p>
          <w:p>
            <w:pPr>
              <w:spacing w:after="40" w:before="40" w:line="280"/>
            </w:pPr>
            <w:r>
              <w:t xml:space="preserve">12. Current Architecture: legacy mainframe for retail; Java monolith for corporate; Murex for treasury. Integration via point-to-point.</w:t>
            </w:r>
          </w:p>
          <w:p>
            <w:pPr>
              <w:spacing w:after="40" w:before="40" w:line="280"/>
            </w:pPr>
            <w:r>
              <w:t xml:space="preserve">13. Developing Organization: Enterprise Architecture team; Payments product team; external partner (TBD).</w:t>
            </w:r>
          </w:p>
          <w:p>
            <w:pPr>
              <w:spacing w:after="40" w:before="40" w:line="280"/>
            </w:pPr>
            <w:r>
              <w:t xml:space="preserve">14. Resources: 3 EAs full-time; 2 solution architects; external SI engagement planned Q2.</w:t>
            </w:r>
          </w:p>
          <w:p>
            <w:pPr>
              <w:spacing w:after="40" w:before="40" w:line="280"/>
            </w:pPr>
            <w:r>
              <w:t xml:space="preserve">15. Approvals: COO, CIO, CFO, CRO sign-offs obtained 2026-02-14.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MISTAKES</w:t>
            </w:r>
          </w:p>
          <w:p>
            <w:pPr>
              <w:spacing w:after="40" w:before="40" w:line="280"/>
            </w:pPr>
            <w:r>
              <w:t xml:space="preserve">Do not submit a RfAW that is vague on goals or constraints. Architects who accept vague requests build vague architectures. Push back — a good RfAW is worth the extra two weeks to produce.</w:t>
            </w:r>
          </w:p>
          <w:p>
            <w:pPr>
              <w:spacing w:after="40" w:before="40" w:line="280"/>
            </w:pPr>
            <w:r>
              <w:t xml:space="preserve">Avoid using the RfAW as a project brief. It is a trigger for architecture, not a statement of what architecture will produce. That comes next, in the Statement of Architecture Work.</w:t>
            </w:r>
          </w:p>
        </w:tc>
      </w:tr>
    </w:tbl>
    <w:p>
      <w:pPr>
        <w:pStyle w:val="Heading1"/>
        <w:pageBreakBefore/>
        <w:spacing w:after="180" w:before="360"/>
      </w:pPr>
      <w:r>
        <w:t xml:space="preserve">3. Statement of Architecture Work (SOW)</w:t>
      </w:r>
    </w:p>
    <w:p>
      <w:pPr>
        <w:pStyle w:val="Heading2"/>
        <w:spacing w:after="120" w:before="260"/>
      </w:pPr>
      <w:r>
        <w:t xml:space="preserve">3.1 Purpose</w:t>
      </w:r>
    </w:p>
    <w:p>
      <w:pPr>
        <w:spacing w:after="80" w:before="80" w:line="300"/>
        <w:jc w:val="both"/>
      </w:pPr>
      <w:r>
        <w:t xml:space="preserve">The Statement of Architecture Work is the contract between the architecture team and the sponsor. Produced in Phase A, it defines what will be architected, by whom, to what scope, by when, and with what acceptance criteria. It is the deliverable that makes architecture work accountable.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Starting Phase A of a new engagement.</w:t>
            </w:r>
          </w:p>
          <w:p>
            <w:pPr>
              <w:spacing w:after="40" w:before="40" w:line="280"/>
            </w:pPr>
            <w:r>
              <w:t xml:space="preserve">Significant change in scope or resources requires a formal re-contracting.</w:t>
            </w:r>
          </w:p>
        </w:tc>
      </w:tr>
    </w:tbl>
    <w:p>
      <w:pPr>
        <w:pStyle w:val="Heading2"/>
        <w:spacing w:after="120" w:before="260"/>
      </w:pPr>
      <w:r>
        <w:t xml:space="preserve">3.2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Statement of Architecture Work — Template</w:t>
            </w:r>
          </w:p>
          <w:p>
            <w:pPr>
              <w:spacing w:after="40" w:before="40" w:line="280"/>
            </w:pPr>
            <w:r>
              <w:t xml:space="preserve">1. Title and Unique Identifier</w:t>
            </w:r>
          </w:p>
          <w:p>
            <w:pPr>
              <w:spacing w:after="40" w:before="40" w:line="280"/>
            </w:pPr>
            <w:r>
              <w:t xml:space="preserve">2. Architecture Project Request and Background (link to RfAW)</w:t>
            </w:r>
          </w:p>
          <w:p>
            <w:pPr>
              <w:spacing w:after="40" w:before="40" w:line="280"/>
            </w:pPr>
            <w:r>
              <w:t xml:space="preserve">3. Architecture Project Description and Scope</w:t>
            </w:r>
          </w:p>
          <w:p>
            <w:pPr>
              <w:spacing w:after="40" w:before="40" w:line="280"/>
            </w:pPr>
            <w:r>
              <w:t xml:space="preserve">   — Business scope (units, geographies, processes included/excluded)</w:t>
            </w:r>
          </w:p>
          <w:p>
            <w:pPr>
              <w:spacing w:after="40" w:before="40" w:line="280"/>
            </w:pPr>
            <w:r>
              <w:t xml:space="preserve">   — Architecture domain scope (B/D/A/T)</w:t>
            </w:r>
          </w:p>
          <w:p>
            <w:pPr>
              <w:spacing w:after="40" w:before="40" w:line="280"/>
            </w:pPr>
            <w:r>
              <w:t xml:space="preserve">   — Time horizon</w:t>
            </w:r>
          </w:p>
          <w:p>
            <w:pPr>
              <w:spacing w:after="40" w:before="40" w:line="280"/>
            </w:pPr>
            <w:r>
              <w:t xml:space="preserve">   — Architecture levels (Strategic / Segment / Capability)</w:t>
            </w:r>
          </w:p>
          <w:p>
            <w:pPr>
              <w:spacing w:after="40" w:before="40" w:line="280"/>
            </w:pPr>
            <w:r>
              <w:t xml:space="preserve">4. Overview of Architecture Vision</w:t>
            </w:r>
          </w:p>
          <w:p>
            <w:pPr>
              <w:spacing w:after="40" w:before="40" w:line="280"/>
            </w:pPr>
            <w:r>
              <w:t xml:space="preserve">5. Specific Change of Scope Procedures</w:t>
            </w:r>
          </w:p>
          <w:p>
            <w:pPr>
              <w:spacing w:after="40" w:before="40" w:line="280"/>
            </w:pPr>
            <w:r>
              <w:t xml:space="preserve">6. Roles, Responsibilities, and Deliverables</w:t>
            </w:r>
          </w:p>
          <w:p>
            <w:pPr>
              <w:spacing w:after="40" w:before="40" w:line="280"/>
            </w:pPr>
            <w:r>
              <w:t xml:space="preserve">   — Architecture Lead / Chief Architect for the engagement</w:t>
            </w:r>
          </w:p>
          <w:p>
            <w:pPr>
              <w:spacing w:after="40" w:before="40" w:line="280"/>
            </w:pPr>
            <w:r>
              <w:t xml:space="preserve">   — Architect team by domain</w:t>
            </w:r>
          </w:p>
          <w:p>
            <w:pPr>
              <w:spacing w:after="40" w:before="40" w:line="280"/>
            </w:pPr>
            <w:r>
              <w:t xml:space="preserve">   — Business stakeholders and their roles</w:t>
            </w:r>
          </w:p>
          <w:p>
            <w:pPr>
              <w:spacing w:after="40" w:before="40" w:line="280"/>
            </w:pPr>
            <w:r>
              <w:t xml:space="preserve">   — Named deliverables with owners</w:t>
            </w:r>
          </w:p>
          <w:p>
            <w:pPr>
              <w:spacing w:after="40" w:before="40" w:line="280"/>
            </w:pPr>
            <w:r>
              <w:t xml:space="preserve">7. Acceptance Criteria and Procedures</w:t>
            </w:r>
          </w:p>
          <w:p>
            <w:pPr>
              <w:spacing w:after="40" w:before="40" w:line="280"/>
            </w:pPr>
            <w:r>
              <w:t xml:space="preserve">   — How each deliverable will be accepted</w:t>
            </w:r>
          </w:p>
          <w:p>
            <w:pPr>
              <w:spacing w:after="40" w:before="40" w:line="280"/>
            </w:pPr>
            <w:r>
              <w:t xml:space="preserve">   — Who accepts; timing</w:t>
            </w:r>
          </w:p>
          <w:p>
            <w:pPr>
              <w:spacing w:after="40" w:before="40" w:line="280"/>
            </w:pPr>
            <w:r>
              <w:t xml:space="preserve">8. Architecture Project Plan and Schedule</w:t>
            </w:r>
          </w:p>
          <w:p>
            <w:pPr>
              <w:spacing w:after="40" w:before="40" w:line="280"/>
            </w:pPr>
            <w:r>
              <w:t xml:space="preserve">   — ADM phases with start/end dates</w:t>
            </w:r>
          </w:p>
          <w:p>
            <w:pPr>
              <w:spacing w:after="40" w:before="40" w:line="280"/>
            </w:pPr>
            <w:r>
              <w:t xml:space="preserve">   — Key milestones</w:t>
            </w:r>
          </w:p>
          <w:p>
            <w:pPr>
              <w:spacing w:after="40" w:before="40" w:line="280"/>
            </w:pPr>
            <w:r>
              <w:t xml:space="preserve">   — Dependencies</w:t>
            </w:r>
          </w:p>
          <w:p>
            <w:pPr>
              <w:spacing w:after="40" w:before="40" w:line="280"/>
            </w:pPr>
            <w:r>
              <w:t xml:space="preserve">9. Support of the Enterprise Continuum (repository use and contributions)</w:t>
            </w:r>
          </w:p>
          <w:p>
            <w:pPr>
              <w:spacing w:after="40" w:before="40" w:line="280"/>
            </w:pPr>
            <w:r>
              <w:t xml:space="preserve">10. Signature / Approvals Section</w:t>
            </w:r>
          </w:p>
        </w:tc>
      </w:tr>
    </w:tbl>
    <w:p>
      <w:pPr>
        <w:pStyle w:val="Heading2"/>
        <w:spacing w:after="120" w:before="260"/>
      </w:pPr>
      <w:r>
        <w:t xml:space="preserve">3.3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SOW — Horizon Bank Payments Modernization (SOW-2026-003)</w:t>
            </w:r>
          </w:p>
          <w:p>
            <w:pPr>
              <w:spacing w:after="40" w:before="40" w:line="280"/>
            </w:pPr>
            <w:r>
              <w:t xml:space="preserve">Scope:</w:t>
            </w:r>
          </w:p>
          <w:p>
            <w:pPr>
              <w:spacing w:after="40" w:before="40" w:line="280"/>
            </w:pPr>
            <w:r>
              <w:t xml:space="preserve">  — In: retail + corporate payments; SEPA Instant, UK FPS, FedNow; customer-facing channels.</w:t>
            </w:r>
          </w:p>
          <w:p>
            <w:pPr>
              <w:spacing w:after="40" w:before="40" w:line="280"/>
            </w:pPr>
            <w:r>
              <w:t xml:space="preserve">  — Out: treasury (Murex); crypto; trade finance.</w:t>
            </w:r>
          </w:p>
          <w:p>
            <w:pPr>
              <w:spacing w:after="40" w:before="40" w:line="280"/>
            </w:pPr>
            <w:r>
              <w:t xml:space="preserve">  — Domains: Business, Data, Application, Technology.</w:t>
            </w:r>
          </w:p>
          <w:p>
            <w:pPr>
              <w:spacing w:after="40" w:before="40" w:line="280"/>
            </w:pPr>
            <w:r>
              <w:t xml:space="preserve">  — Horizon: 3-year target, 12-month transition architecture.</w:t>
            </w:r>
          </w:p>
          <w:p>
            <w:pPr>
              <w:spacing w:after="40" w:before="40" w:line="280"/>
            </w:pPr>
            <w:r>
              <w:t xml:space="preserve">  — Level: Segment Architecture.</w:t>
            </w:r>
          </w:p>
          <w:p>
            <w:pPr>
              <w:spacing w:after="40" w:before="40" w:line="280"/>
            </w:pPr>
            <w:r>
              <w:t xml:space="preserve">Architecture Vision: documented separately (ARCH-VIS-2026-003).</w:t>
            </w:r>
          </w:p>
          <w:p>
            <w:pPr>
              <w:spacing w:after="40" w:before="40" w:line="280"/>
            </w:pPr>
            <w:r>
              <w:t xml:space="preserve">Change-of-Scope: any scope change &gt;10% estimated effort requires Sponsor + Architecture Board approval.</w:t>
            </w:r>
          </w:p>
          <w:p>
            <w:pPr>
              <w:spacing w:after="40" w:before="40" w:line="280"/>
            </w:pPr>
            <w:r>
              <w:t xml:space="preserve">Roles:</w:t>
            </w:r>
          </w:p>
          <w:p>
            <w:pPr>
              <w:spacing w:after="40" w:before="40" w:line="280"/>
            </w:pPr>
            <w:r>
              <w:t xml:space="preserve">  — Lead Architect: James Patel (Chief Architect, Payments)</w:t>
            </w:r>
          </w:p>
          <w:p>
            <w:pPr>
              <w:spacing w:after="40" w:before="40" w:line="280"/>
            </w:pPr>
            <w:r>
              <w:t xml:space="preserve">  — Business Architect: Liu Wei</w:t>
            </w:r>
          </w:p>
          <w:p>
            <w:pPr>
              <w:spacing w:after="40" w:before="40" w:line="280"/>
            </w:pPr>
            <w:r>
              <w:t xml:space="preserve">  — Data Architect: Nora Singh</w:t>
            </w:r>
          </w:p>
          <w:p>
            <w:pPr>
              <w:spacing w:after="40" w:before="40" w:line="280"/>
            </w:pPr>
            <w:r>
              <w:t xml:space="preserve">  — Applications Architect: Tom Carter</w:t>
            </w:r>
          </w:p>
          <w:p>
            <w:pPr>
              <w:spacing w:after="40" w:before="40" w:line="280"/>
            </w:pPr>
            <w:r>
              <w:t xml:space="preserve">  — Technology Architect: Priya Sharma</w:t>
            </w:r>
          </w:p>
          <w:p>
            <w:pPr>
              <w:spacing w:after="40" w:before="40" w:line="280"/>
            </w:pPr>
            <w:r>
              <w:t xml:space="preserve">  — Security Architect: Ahmed Hassan</w:t>
            </w:r>
          </w:p>
          <w:p>
            <w:pPr>
              <w:spacing w:after="40" w:before="40" w:line="280"/>
            </w:pPr>
            <w:r>
              <w:t xml:space="preserve">  — Sponsor's representative: Maria Rossi</w:t>
            </w:r>
          </w:p>
          <w:p>
            <w:pPr>
              <w:spacing w:after="40" w:before="40" w:line="280"/>
            </w:pPr>
            <w:r>
              <w:t xml:space="preserve">Deliverables and Schedule:</w:t>
            </w:r>
          </w:p>
          <w:p>
            <w:pPr>
              <w:spacing w:after="40" w:before="40" w:line="280"/>
            </w:pPr>
            <w:r>
              <w:t xml:space="preserve">  — Architecture Vision — End of Week 6</w:t>
            </w:r>
          </w:p>
          <w:p>
            <w:pPr>
              <w:spacing w:after="40" w:before="40" w:line="280"/>
            </w:pPr>
            <w:r>
              <w:t xml:space="preserve">  — ADD (Business sections) — End of Week 12</w:t>
            </w:r>
          </w:p>
          <w:p>
            <w:pPr>
              <w:spacing w:after="40" w:before="40" w:line="280"/>
            </w:pPr>
            <w:r>
              <w:t xml:space="preserve">  — ADD (Data/Application sections) — End of Week 20</w:t>
            </w:r>
          </w:p>
          <w:p>
            <w:pPr>
              <w:spacing w:after="40" w:before="40" w:line="280"/>
            </w:pPr>
            <w:r>
              <w:t xml:space="preserve">  — ADD (Technology sections) — End of Week 24</w:t>
            </w:r>
          </w:p>
          <w:p>
            <w:pPr>
              <w:spacing w:after="40" w:before="40" w:line="280"/>
            </w:pPr>
            <w:r>
              <w:t xml:space="preserve">  — Consolidated Gaps/Solutions/Dependencies Matrix — End of Week 28</w:t>
            </w:r>
          </w:p>
          <w:p>
            <w:pPr>
              <w:spacing w:after="40" w:before="40" w:line="280"/>
            </w:pPr>
            <w:r>
              <w:t xml:space="preserve">  — Architecture Roadmap + Transition Architectures — End of Week 30</w:t>
            </w:r>
          </w:p>
          <w:p>
            <w:pPr>
              <w:spacing w:after="40" w:before="40" w:line="280"/>
            </w:pPr>
            <w:r>
              <w:t xml:space="preserve">  — Implementation &amp; Migration Plan — End of Week 34</w:t>
            </w:r>
          </w:p>
          <w:p>
            <w:pPr>
              <w:spacing w:after="40" w:before="40" w:line="280"/>
            </w:pPr>
            <w:r>
              <w:t xml:space="preserve">  — Architecture Contracts (3 projects) — End of Week 36</w:t>
            </w:r>
          </w:p>
          <w:p>
            <w:pPr>
              <w:spacing w:after="40" w:before="40" w:line="280"/>
            </w:pPr>
            <w:r>
              <w:t xml:space="preserve">Acceptance: each deliverable reviewed and signed off by Sponsor + Architecture Board.</w:t>
            </w:r>
          </w:p>
          <w:p>
            <w:pPr>
              <w:spacing w:after="40" w:before="40" w:line="280"/>
            </w:pPr>
            <w:r>
              <w:t xml:space="preserve">Approvals: signed 2026-02-24 by Sarah Chen, David Okafor, James Patel.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Treat the SOW as a contract, literally. Include scope-change procedures. Without them, scope creep is inevitable and unbillable.</w:t>
            </w:r>
          </w:p>
          <w:p>
            <w:pPr>
              <w:spacing w:after="40" w:before="40" w:line="280"/>
            </w:pPr>
            <w:r>
              <w:t xml:space="preserve">Define deliverable-by-deliverable acceptance criteria. "Architecture Definition Document is accepted" is not a criterion. "Target Architecture passes compliance review with no more than two Conformant findings" is.</w:t>
            </w:r>
          </w:p>
        </w:tc>
      </w:tr>
    </w:tbl>
    <w:p>
      <w:pPr>
        <w:pStyle w:val="Heading1"/>
        <w:pageBreakBefore/>
        <w:spacing w:after="180" w:before="360"/>
      </w:pPr>
      <w:r>
        <w:t xml:space="preserve">4. Architecture Vision</w:t>
      </w:r>
    </w:p>
    <w:p>
      <w:pPr>
        <w:pStyle w:val="Heading2"/>
        <w:spacing w:after="120" w:before="260"/>
      </w:pPr>
      <w:r>
        <w:t xml:space="preserve">4.1 Purpose</w:t>
      </w:r>
    </w:p>
    <w:p>
      <w:pPr>
        <w:spacing w:after="80" w:before="80" w:line="300"/>
        <w:jc w:val="both"/>
      </w:pPr>
      <w:r>
        <w:t xml:space="preserve">The Architecture Vision is a high-level, aspirational description of the capabilities and business value the engagement will deliver. It is produced in Phase A. Its job is to paint a concise, stakeholder-approved picture that can be referenced throughout the engagement — the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Phase A of any new engagement.</w:t>
            </w:r>
          </w:p>
          <w:p>
            <w:pPr>
              <w:spacing w:after="40" w:before="40" w:line="280"/>
            </w:pPr>
            <w:r>
              <w:t xml:space="preserve">Realigning a programme whose direction has drifted.</w:t>
            </w:r>
          </w:p>
          <w:p>
            <w:pPr>
              <w:spacing w:after="40" w:before="40" w:line="280"/>
            </w:pPr>
            <w:r>
              <w:t xml:space="preserve">Communicating architectural intent to senior stakeholders who won't read a full ADD.</w:t>
            </w:r>
          </w:p>
        </w:tc>
      </w:tr>
    </w:tbl>
    <w:p>
      <w:pPr>
        <w:pStyle w:val="Heading2"/>
        <w:spacing w:after="120" w:before="260"/>
      </w:pPr>
      <w:r>
        <w:t xml:space="preserve">4.2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 Vision — Template</w:t>
            </w:r>
          </w:p>
          <w:p>
            <w:pPr>
              <w:spacing w:after="40" w:before="40" w:line="280"/>
            </w:pPr>
            <w:r>
              <w:t xml:space="preserve">1. Problem Description (why are we doing this?)</w:t>
            </w:r>
          </w:p>
          <w:p>
            <w:pPr>
              <w:spacing w:after="40" w:before="40" w:line="280"/>
            </w:pPr>
            <w:r>
              <w:t xml:space="preserve">2. Objective of the Statement of Architecture Work</w:t>
            </w:r>
          </w:p>
          <w:p>
            <w:pPr>
              <w:spacing w:after="40" w:before="40" w:line="280"/>
            </w:pPr>
            <w:r>
              <w:t xml:space="preserve">3. Business Goals and Drivers (traced to strategy)</w:t>
            </w:r>
          </w:p>
          <w:p>
            <w:pPr>
              <w:spacing w:after="40" w:before="40" w:line="280"/>
            </w:pPr>
            <w:r>
              <w:t xml:space="preserve">4. Architecture Principles (those most relevant)</w:t>
            </w:r>
          </w:p>
          <w:p>
            <w:pPr>
              <w:spacing w:after="40" w:before="40" w:line="280"/>
            </w:pPr>
            <w:r>
              <w:t xml:space="preserve">5. Scope Statement</w:t>
            </w:r>
          </w:p>
          <w:p>
            <w:pPr>
              <w:spacing w:after="40" w:before="40" w:line="280"/>
            </w:pPr>
            <w:r>
              <w:t xml:space="preserve">6. Stakeholder Map (summary — full detail elsewhere)</w:t>
            </w:r>
          </w:p>
          <w:p>
            <w:pPr>
              <w:spacing w:after="40" w:before="40" w:line="280"/>
            </w:pPr>
            <w:r>
              <w:t xml:space="preserve">7. Summary Target Architecture (one slide per domain)</w:t>
            </w:r>
          </w:p>
          <w:p>
            <w:pPr>
              <w:spacing w:after="40" w:before="40" w:line="280"/>
            </w:pPr>
            <w:r>
              <w:t xml:space="preserve">8. Business Value / Benefit Proposition</w:t>
            </w:r>
          </w:p>
          <w:p>
            <w:pPr>
              <w:spacing w:after="40" w:before="40" w:line="280"/>
            </w:pPr>
            <w:r>
              <w:t xml:space="preserve">9. Success Measures (quantifiable)</w:t>
            </w:r>
          </w:p>
          <w:p>
            <w:pPr>
              <w:spacing w:after="40" w:before="40" w:line="280"/>
            </w:pPr>
            <w:r>
              <w:t xml:space="preserve">10. Transformation Readiness Assessment (summary)</w:t>
            </w:r>
          </w:p>
          <w:p>
            <w:pPr>
              <w:spacing w:after="40" w:before="40" w:line="280"/>
            </w:pPr>
            <w:r>
              <w:t xml:space="preserve">11. High-Level Risks and Mitigations</w:t>
            </w:r>
          </w:p>
          <w:p>
            <w:pPr>
              <w:spacing w:after="40" w:before="40" w:line="280"/>
            </w:pPr>
            <w:r>
              <w:t xml:space="preserve">12. Roadmap Outline (coarse)</w:t>
            </w:r>
          </w:p>
        </w:tc>
      </w:tr>
    </w:tbl>
    <w:p>
      <w:pPr>
        <w:pStyle w:val="Heading2"/>
        <w:spacing w:after="120" w:before="260"/>
      </w:pPr>
      <w:r>
        <w:t xml:space="preserve">4.3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 Vision — Horizon Bank Payments Modernization</w:t>
            </w:r>
          </w:p>
          <w:p>
            <w:pPr>
              <w:spacing w:after="40" w:before="40" w:line="280"/>
            </w:pPr>
            <w:r>
              <w:t xml:space="preserve">Problem: Horizon's payment systems are slow, fragmented, and cannot meet regulatory instant-payment deadlines. Customers are churning to fintechs.</w:t>
            </w:r>
          </w:p>
          <w:p>
            <w:pPr>
              <w:spacing w:after="40" w:before="40" w:line="280"/>
            </w:pPr>
            <w:r>
              <w:t xml:space="preserve">Objective: Deliver a unified, modern payments platform supporting SEPA Instant, UK FPS, and FedNow, with customer-facing APIs and a single view of payments across channels, by end of Q4 2027.</w:t>
            </w:r>
          </w:p>
          <w:p>
            <w:pPr>
              <w:spacing w:after="40" w:before="40" w:line="280"/>
            </w:pPr>
            <w:r>
              <w:t xml:space="preserve">Goals: reduce churn by 18%; achieve &lt;5s p99 payment confirmation; regulatory compliance; single view of customer.</w:t>
            </w:r>
          </w:p>
          <w:p>
            <w:pPr>
              <w:spacing w:after="40" w:before="40" w:line="280"/>
            </w:pPr>
            <w:r>
              <w:t xml:space="preserve">Principles adopted: PRIN-DATA-001 "Data is an Asset"; PRIN-APP-007 "Loosely Coupled"; PRIN-SEC-003 "Secure by Design"; PRIN-TECH-004 "Cloud-First".</w:t>
            </w:r>
          </w:p>
          <w:p>
            <w:pPr>
              <w:spacing w:after="40" w:before="40" w:line="280"/>
            </w:pPr>
            <w:r>
              <w:t xml:space="preserve">Scope: retail + corporate payments across UK, EU; excludes treasury.</w:t>
            </w:r>
          </w:p>
          <w:p>
            <w:pPr>
              <w:spacing w:after="40" w:before="40" w:line="280"/>
            </w:pPr>
            <w:r>
              <w:t xml:space="preserve">Stakeholders: COO (sponsor), CIO, CRO, Heads of Retail and Corporate, regulators, customers (indirect), works councils.</w:t>
            </w:r>
          </w:p>
          <w:p>
            <w:pPr>
              <w:spacing w:after="40" w:before="40" w:line="280"/>
            </w:pPr>
            <w:r>
              <w:t xml:space="preserve">Target Architecture Summary:</w:t>
            </w:r>
          </w:p>
          <w:p>
            <w:pPr>
              <w:spacing w:after="40" w:before="40" w:line="280"/>
            </w:pPr>
            <w:r>
              <w:t xml:space="preserve">  — Business: 6 new/enhanced capabilities including Real-Time Payment Execution and Unified Customer Payments View.</w:t>
            </w:r>
          </w:p>
          <w:p>
            <w:pPr>
              <w:spacing w:after="40" w:before="40" w:line="280"/>
            </w:pPr>
            <w:r>
              <w:t xml:space="preserve">  — Data: canonical Payment and Customer entities via MDM; ISO 20022 messaging.</w:t>
            </w:r>
          </w:p>
          <w:p>
            <w:pPr>
              <w:spacing w:after="40" w:before="40" w:line="280"/>
            </w:pPr>
            <w:r>
              <w:t xml:space="preserve">  — Application: API-first Payment Gateway; event-driven backbone; microservices for scheme connectors.</w:t>
            </w:r>
          </w:p>
          <w:p>
            <w:pPr>
              <w:spacing w:after="40" w:before="40" w:line="280"/>
            </w:pPr>
            <w:r>
              <w:t xml:space="preserve">  — Technology: Azure primary; Kafka event backbone; Kubernetes (AKS) runtime; Okta identity.</w:t>
            </w:r>
          </w:p>
          <w:p>
            <w:pPr>
              <w:spacing w:after="40" w:before="40" w:line="280"/>
            </w:pPr>
            <w:r>
              <w:t xml:space="preserve">Business Value: £43M/yr uplift by Year 3; £180M total 5-year NPV; regulatory risk cleared.</w:t>
            </w:r>
          </w:p>
          <w:p>
            <w:pPr>
              <w:spacing w:after="40" w:before="40" w:line="280"/>
            </w:pPr>
            <w:r>
              <w:t xml:space="preserve">Success Measures: payment p99 &lt;5s; instant-payment volume 70% of total; scheme compliance ✓; NPS +12 points.</w:t>
            </w:r>
          </w:p>
          <w:p>
            <w:pPr>
              <w:spacing w:after="40" w:before="40" w:line="280"/>
            </w:pPr>
            <w:r>
              <w:t xml:space="preserve">Readiness: strong sponsorship, weak tech-side capacity (mitigation: partner engagement).</w:t>
            </w:r>
          </w:p>
          <w:p>
            <w:pPr>
              <w:spacing w:after="40" w:before="40" w:line="280"/>
            </w:pPr>
            <w:r>
              <w:t xml:space="preserve">Top Risks: regulatory deadline slip (High); mainframe retirement complexity (High); vendor lock-in (Medium).</w:t>
            </w:r>
          </w:p>
          <w:p>
            <w:pPr>
              <w:spacing w:after="40" w:before="40" w:line="280"/>
            </w:pPr>
            <w:r>
              <w:t xml:space="preserve">Roadmap: Transition 1 (month 9): SEPA Instant live. Transition 2 (month 18): UK FPS + unified customer view. Transition 3 (month 30): FedNow + full API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The Vision should fit on one page or one slide. If it cannot be explained to a board member in three minutes, it is not yet a Vision — it is a plan.</w:t>
            </w:r>
          </w:p>
          <w:p>
            <w:pPr>
              <w:spacing w:after="40" w:before="40" w:line="280"/>
            </w:pPr>
            <w:r>
              <w:t xml:space="preserve">Write the Vision after stakeholder workshops, not before. A Vision authored in isolation is technically sound and politically worthless.</w:t>
            </w:r>
          </w:p>
        </w:tc>
      </w:tr>
    </w:tbl>
    <w:p>
      <w:pPr>
        <w:pStyle w:val="Heading1"/>
        <w:pageBreakBefore/>
        <w:spacing w:after="180" w:before="360"/>
      </w:pPr>
      <w:r>
        <w:t xml:space="preserve">5. Architecture Principles Catalog</w:t>
      </w:r>
    </w:p>
    <w:p>
      <w:pPr>
        <w:pStyle w:val="Heading2"/>
        <w:spacing w:after="120" w:before="260"/>
      </w:pPr>
      <w:r>
        <w:t xml:space="preserve">5.1 Purpose</w:t>
      </w:r>
    </w:p>
    <w:p>
      <w:pPr>
        <w:spacing w:after="80" w:before="80" w:line="300"/>
        <w:jc w:val="both"/>
      </w:pPr>
      <w:r>
        <w:t xml:space="preserve">The Architecture Principles Catalog holds the enduring rules that govern all architecture decisions. Each principle follows the canonical TOGAF four-part template: Name, Statement, Rationale, Implications. Principles are set in the Preliminary Phase and reviewed rarely.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Standing up a new EA function (Preliminary Phase).</w:t>
            </w:r>
          </w:p>
          <w:p>
            <w:pPr>
              <w:spacing w:after="40" w:before="40" w:line="280"/>
            </w:pPr>
            <w:r>
              <w:t xml:space="preserve">Refreshing enduring rules after strategic change.</w:t>
            </w:r>
          </w:p>
          <w:p>
            <w:pPr>
              <w:spacing w:after="40" w:before="40" w:line="280"/>
            </w:pPr>
            <w:r>
              <w:t xml:space="preserve">Introducing a new architectural concern (e.g., AI governance, sustainability).</w:t>
            </w:r>
          </w:p>
        </w:tc>
      </w:tr>
    </w:tbl>
    <w:p>
      <w:pPr>
        <w:pStyle w:val="Heading2"/>
        <w:spacing w:after="120" w:before="260"/>
      </w:pPr>
      <w:r>
        <w:t xml:space="preserve">5.2 Template — Single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Principle — Template</w:t>
            </w:r>
          </w:p>
          <w:p>
            <w:pPr>
              <w:spacing w:after="40" w:before="40" w:line="280"/>
            </w:pPr>
            <w:r>
              <w:t xml:space="preserve">ID: PRIN-&lt;DOMAIN&gt;-&lt;NNN&gt;</w:t>
            </w:r>
          </w:p>
          <w:p>
            <w:pPr>
              <w:spacing w:after="40" w:before="40" w:line="280"/>
            </w:pPr>
            <w:r>
              <w:t xml:space="preserve">Name: &lt;short, memorable&gt;</w:t>
            </w:r>
          </w:p>
          <w:p>
            <w:pPr>
              <w:spacing w:after="40" w:before="40" w:line="280"/>
            </w:pPr>
            <w:r>
              <w:t xml:space="preserve">Statement: &lt;one or two sentences, unambiguous rule&gt;</w:t>
            </w:r>
          </w:p>
          <w:p>
            <w:pPr>
              <w:spacing w:after="40" w:before="40" w:line="280"/>
            </w:pPr>
            <w:r>
              <w:t xml:space="preserve">Rationale: &lt;business benefits and reasons to adhere&gt;</w:t>
            </w:r>
          </w:p>
          <w:p>
            <w:pPr>
              <w:spacing w:after="40" w:before="40" w:line="280"/>
            </w:pPr>
            <w:r>
              <w:t xml:space="preserve">Implications: &lt;constraints, behaviors, costs created by this principle&gt;</w:t>
            </w:r>
          </w:p>
          <w:p>
            <w:pPr>
              <w:spacing w:after="40" w:before="40" w:line="280"/>
            </w:pPr>
            <w:r>
              <w:t xml:space="preserve">Related standards: &lt;SIB entries operationalizing this principle&gt;</w:t>
            </w:r>
          </w:p>
          <w:p>
            <w:pPr>
              <w:spacing w:after="40" w:before="40" w:line="280"/>
            </w:pPr>
            <w:r>
              <w:t xml:space="preserve">Owner: &lt;named role&gt;</w:t>
            </w:r>
          </w:p>
          <w:p>
            <w:pPr>
              <w:spacing w:after="40" w:before="40" w:line="280"/>
            </w:pPr>
            <w:r>
              <w:t xml:space="preserve">Status: Approved / Emerging / Deprecated</w:t>
            </w:r>
          </w:p>
          <w:p>
            <w:pPr>
              <w:spacing w:after="40" w:before="40" w:line="280"/>
            </w:pPr>
            <w:r>
              <w:t xml:space="preserve">Version: &lt;N&gt;; Last reviewed: &lt;date&gt;; Next review: &lt;date&gt;</w:t>
            </w:r>
          </w:p>
        </w:tc>
      </w:tr>
    </w:tbl>
    <w:p>
      <w:pPr>
        <w:pStyle w:val="Heading2"/>
        <w:spacing w:after="120" w:before="260"/>
      </w:pPr>
      <w:r>
        <w:t xml:space="preserve">5.3 Worked Example — Horizon Bank Principles</w:t>
      </w:r>
    </w:p>
    <w:p>
      <w:pPr>
        <w:pStyle w:val="Heading3"/>
        <w:spacing w:after="100" w:before="200"/>
      </w:pPr>
      <w:r>
        <w:t xml:space="preserve">5.3.1 PRIN-DATA-001 — Data Is an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PRIN-DATA-001 — Data Is an Asset</w:t>
            </w:r>
          </w:p>
          <w:p>
            <w:pPr>
              <w:spacing w:after="40" w:before="40" w:line="280"/>
            </w:pPr>
            <w:r>
              <w:t xml:space="preserve">Statement: Data is an asset that has value to the enterprise and is managed as such.</w:t>
            </w:r>
          </w:p>
          <w:p>
            <w:pPr>
              <w:spacing w:after="40" w:before="40" w:line="280"/>
            </w:pPr>
            <w:r>
              <w:t xml:space="preserve">Rationale: Accurate, timely data drives accurate, timely decisions; stewardship reduces duplication and regulatory risk.</w:t>
            </w:r>
          </w:p>
          <w:p>
            <w:pPr>
              <w:spacing w:after="40" w:before="40" w:line="280"/>
            </w:pPr>
            <w:r>
              <w:t xml:space="preserve">Implications:</w:t>
            </w:r>
          </w:p>
          <w:p>
            <w:pPr>
              <w:spacing w:after="40" w:before="40" w:line="280"/>
            </w:pPr>
            <w:r>
              <w:t xml:space="preserve">  — Data stewards must be appointed for each master entity.</w:t>
            </w:r>
          </w:p>
          <w:p>
            <w:pPr>
              <w:spacing w:after="40" w:before="40" w:line="280"/>
            </w:pPr>
            <w:r>
              <w:t xml:space="preserve">  — Data quality metrics must be established and reported.</w:t>
            </w:r>
          </w:p>
          <w:p>
            <w:pPr>
              <w:spacing w:after="40" w:before="40" w:line="280"/>
            </w:pPr>
            <w:r>
              <w:t xml:space="preserve">  — Single source of truth must exist (MDM) for each significant entity.</w:t>
            </w:r>
          </w:p>
          <w:p>
            <w:pPr>
              <w:spacing w:after="40" w:before="40" w:line="280"/>
            </w:pPr>
            <w:r>
              <w:t xml:space="preserve">  — Applications must reference, not duplicate, master data.</w:t>
            </w:r>
          </w:p>
          <w:p>
            <w:pPr>
              <w:spacing w:after="40" w:before="40" w:line="280"/>
            </w:pPr>
            <w:r>
              <w:t xml:space="preserve">Related standards: STD-DATA-012 (MDM); STD-DATA-034 (Data Quality Framework).</w:t>
            </w:r>
          </w:p>
          <w:p>
            <w:pPr>
              <w:spacing w:after="40" w:before="40" w:line="280"/>
            </w:pPr>
            <w:r>
              <w:t xml:space="preserve">Owner: Chief Data Officer.</w:t>
            </w:r>
          </w:p>
          <w:p>
            <w:pPr>
              <w:spacing w:after="40" w:before="40" w:line="280"/>
            </w:pPr>
            <w:r>
              <w:t xml:space="preserve">Status: Approved. Version 3. Last reviewed 2025-Q4. Next review 2027-Q4.</w:t>
            </w:r>
          </w:p>
        </w:tc>
      </w:tr>
    </w:tbl>
    <w:p>
      <w:pPr>
        <w:pStyle w:val="Heading3"/>
        <w:spacing w:after="100" w:before="200"/>
      </w:pPr>
      <w:r>
        <w:t xml:space="preserve">5.3.2 PRIN-APP-007 — Loosely Coupled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PRIN-APP-007 — Loosely Coupled</w:t>
            </w:r>
          </w:p>
          <w:p>
            <w:pPr>
              <w:spacing w:after="40" w:before="40" w:line="280"/>
            </w:pPr>
            <w:r>
              <w:t xml:space="preserve">Statement: Applications are loosely coupled through well-defined, versioned interfaces — never direct database access or tight in-memory integration.</w:t>
            </w:r>
          </w:p>
          <w:p>
            <w:pPr>
              <w:spacing w:after="40" w:before="40" w:line="280"/>
            </w:pPr>
            <w:r>
              <w:t xml:space="preserve">Rationale: Loose coupling enables independent evolution, resilience to upstream failure, and independent scaling; tight coupling creates cascading failure and change gridlock.</w:t>
            </w:r>
          </w:p>
          <w:p>
            <w:pPr>
              <w:spacing w:after="40" w:before="40" w:line="280"/>
            </w:pPr>
            <w:r>
              <w:t xml:space="preserve">Implications:</w:t>
            </w:r>
          </w:p>
          <w:p>
            <w:pPr>
              <w:spacing w:after="40" w:before="40" w:line="280"/>
            </w:pPr>
            <w:r>
              <w:t xml:space="preserve">  — All inter-application communication via enterprise API Gateway or event backbone.</w:t>
            </w:r>
          </w:p>
          <w:p>
            <w:pPr>
              <w:spacing w:after="40" w:before="40" w:line="280"/>
            </w:pPr>
            <w:r>
              <w:t xml:space="preserve">  — No direct database access across application boundaries.</w:t>
            </w:r>
          </w:p>
          <w:p>
            <w:pPr>
              <w:spacing w:after="40" w:before="40" w:line="280"/>
            </w:pPr>
            <w:r>
              <w:t xml:space="preserve">  — Interfaces are versioned; breaking changes follow deprecation policy.</w:t>
            </w:r>
          </w:p>
          <w:p>
            <w:pPr>
              <w:spacing w:after="40" w:before="40" w:line="280"/>
            </w:pPr>
            <w:r>
              <w:t xml:space="preserve">  — Contract testing mandatory for all consumer-producer pairs.</w:t>
            </w:r>
          </w:p>
          <w:p>
            <w:pPr>
              <w:spacing w:after="40" w:before="40" w:line="280"/>
            </w:pPr>
            <w:r>
              <w:t xml:space="preserve">Related standards: STD-APP-003 (API); STD-APP-017 (Events); STD-APP-022 (Contract Testing).</w:t>
            </w:r>
          </w:p>
          <w:p>
            <w:pPr>
              <w:spacing w:after="40" w:before="40" w:line="280"/>
            </w:pPr>
            <w:r>
              <w:t xml:space="preserve">Owner: Head of Applications Architecture.</w:t>
            </w:r>
          </w:p>
          <w:p>
            <w:pPr>
              <w:spacing w:after="40" w:before="40" w:line="280"/>
            </w:pPr>
            <w:r>
              <w:t xml:space="preserve">Status: Approved. Version 2. Last reviewed 2026-Q1.</w:t>
            </w:r>
          </w:p>
        </w:tc>
      </w:tr>
    </w:tbl>
    <w:p>
      <w:pPr>
        <w:pStyle w:val="Heading3"/>
        <w:spacing w:after="100" w:before="200"/>
      </w:pPr>
      <w:r>
        <w:t xml:space="preserve">5.3.3 PRIN-SEC-003 — Secure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PRIN-SEC-003 — Secure by Design</w:t>
            </w:r>
          </w:p>
          <w:p>
            <w:pPr>
              <w:spacing w:after="40" w:before="40" w:line="280"/>
            </w:pPr>
            <w:r>
              <w:t xml:space="preserve">Statement: Security is an essential characteristic of every architecture, addressed at every phase — never retrofitted.</w:t>
            </w:r>
          </w:p>
          <w:p>
            <w:pPr>
              <w:spacing w:after="40" w:before="40" w:line="280"/>
            </w:pPr>
            <w:r>
              <w:t xml:space="preserve">Rationale: Retrofit security is expensive, incomplete, and creates regulatory risk; security embedded from the start is cheaper and more effective.</w:t>
            </w:r>
          </w:p>
          <w:p>
            <w:pPr>
              <w:spacing w:after="40" w:before="40" w:line="280"/>
            </w:pPr>
            <w:r>
              <w:t xml:space="preserve">Implications:</w:t>
            </w:r>
          </w:p>
          <w:p>
            <w:pPr>
              <w:spacing w:after="40" w:before="40" w:line="280"/>
            </w:pPr>
            <w:r>
              <w:t xml:space="preserve">  — Threat modeling mandatory for every design.</w:t>
            </w:r>
          </w:p>
          <w:p>
            <w:pPr>
              <w:spacing w:after="40" w:before="40" w:line="280"/>
            </w:pPr>
            <w:r>
              <w:t xml:space="preserve">  — Principle of least privilege applied everywhere.</w:t>
            </w:r>
          </w:p>
          <w:p>
            <w:pPr>
              <w:spacing w:after="40" w:before="40" w:line="280"/>
            </w:pPr>
            <w:r>
              <w:t xml:space="preserve">  — Encryption at rest (AES-256) and in transit (TLS 1.3) by default.</w:t>
            </w:r>
          </w:p>
          <w:p>
            <w:pPr>
              <w:spacing w:after="40" w:before="40" w:line="280"/>
            </w:pPr>
            <w:r>
              <w:t xml:space="preserve">  — Security architects participate in every compliance review.</w:t>
            </w:r>
          </w:p>
          <w:p>
            <w:pPr>
              <w:spacing w:after="40" w:before="40" w:line="280"/>
            </w:pPr>
            <w:r>
              <w:t xml:space="preserve">  — Zero-trust network posture.</w:t>
            </w:r>
          </w:p>
          <w:p>
            <w:pPr>
              <w:spacing w:after="40" w:before="40" w:line="280"/>
            </w:pPr>
            <w:r>
              <w:t xml:space="preserve">Related standards: STD-SEC-001 through STD-SEC-034.</w:t>
            </w:r>
          </w:p>
          <w:p>
            <w:pPr>
              <w:spacing w:after="40" w:before="40" w:line="280"/>
            </w:pPr>
            <w:r>
              <w:t xml:space="preserve">Owner: CISO.</w:t>
            </w:r>
          </w:p>
          <w:p>
            <w:pPr>
              <w:spacing w:after="40" w:before="40" w:line="280"/>
            </w:pPr>
            <w:r>
              <w:t xml:space="preserve">Status: Approved. Version 4. Last reviewed 2026-Q1.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MISTAKES</w:t>
            </w:r>
          </w:p>
          <w:p>
            <w:pPr>
              <w:spacing w:after="40" w:before="40" w:line="280"/>
            </w:pPr>
            <w:r>
              <w:t xml:space="preserve">Do not exceed 25 principles. Enterprises with 40+ principles have functionally zero — nobody can recall or apply that many.</w:t>
            </w:r>
          </w:p>
          <w:p>
            <w:pPr>
              <w:spacing w:after="40" w:before="40" w:line="280"/>
            </w:pPr>
            <w:r>
              <w:t xml:space="preserve">Do not write principles as standards. "All Java must be Java 21" is a standard, not a principle. A principle must be enduring; standards evolve.</w:t>
            </w:r>
          </w:p>
          <w:p>
            <w:pPr>
              <w:spacing w:after="40" w:before="40" w:line="280"/>
            </w:pPr>
            <w:r>
              <w:t xml:space="preserve">Never publish principles without Implications. Without them, a principle is an empty slogan.</w:t>
            </w:r>
          </w:p>
        </w:tc>
      </w:tr>
    </w:tbl>
    <w:p>
      <w:pPr>
        <w:pStyle w:val="Heading1"/>
        <w:pageBreakBefore/>
        <w:spacing w:after="180" w:before="360"/>
      </w:pPr>
      <w:r>
        <w:t xml:space="preserve">6. Stakeholder Map</w:t>
      </w:r>
    </w:p>
    <w:p>
      <w:pPr>
        <w:pStyle w:val="Heading2"/>
        <w:spacing w:after="120" w:before="260"/>
      </w:pPr>
      <w:r>
        <w:t xml:space="preserve">6.1 Purpose</w:t>
      </w:r>
    </w:p>
    <w:p>
      <w:pPr>
        <w:spacing w:after="80" w:before="80" w:line="300"/>
        <w:jc w:val="both"/>
      </w:pPr>
      <w:r>
        <w:t xml:space="preserve">The Stakeholder Map identifies and classifies people and groups who influence or are influenced by the architecture. Produced in Phase A and refined throughout the engagement. It drives the Communications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Starting any engagement — Phase A is the right time.</w:t>
            </w:r>
          </w:p>
          <w:p>
            <w:pPr>
              <w:spacing w:after="40" w:before="40" w:line="280"/>
            </w:pPr>
            <w:r>
              <w:t xml:space="preserve">Detecting friction from an unexpected source.</w:t>
            </w:r>
          </w:p>
          <w:p>
            <w:pPr>
              <w:spacing w:after="40" w:before="40" w:line="280"/>
            </w:pPr>
            <w:r>
              <w:t xml:space="preserve">Major reorganization or leadership change.</w:t>
            </w:r>
          </w:p>
        </w:tc>
      </w:tr>
    </w:tbl>
    <w:p>
      <w:pPr>
        <w:pStyle w:val="Heading2"/>
        <w:spacing w:after="120" w:before="260"/>
      </w:pPr>
      <w:r>
        <w:t xml:space="preserve">6.2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Stakeholder Map — Template (catalog form)</w:t>
            </w:r>
          </w:p>
          <w:p>
            <w:pPr>
              <w:spacing w:after="40" w:before="40" w:line="280"/>
            </w:pPr>
            <w:r>
              <w:t xml:space="preserve">For each stakeholder (individual or group), capture:</w:t>
            </w:r>
          </w:p>
          <w:p>
            <w:pPr>
              <w:spacing w:after="40" w:before="40" w:line="280"/>
            </w:pPr>
            <w:r>
              <w:t xml:space="preserve">  — Name / Group</w:t>
            </w:r>
          </w:p>
          <w:p>
            <w:pPr>
              <w:spacing w:after="40" w:before="40" w:line="280"/>
            </w:pPr>
            <w:r>
              <w:t xml:space="preserve">  — Role / Title</w:t>
            </w:r>
          </w:p>
          <w:p>
            <w:pPr>
              <w:spacing w:after="40" w:before="40" w:line="280"/>
            </w:pPr>
            <w:r>
              <w:t xml:space="preserve">  — Power (H/M/L)</w:t>
            </w:r>
          </w:p>
          <w:p>
            <w:pPr>
              <w:spacing w:after="40" w:before="40" w:line="280"/>
            </w:pPr>
            <w:r>
              <w:t xml:space="preserve">  — Interest (H/M/L)</w:t>
            </w:r>
          </w:p>
          <w:p>
            <w:pPr>
              <w:spacing w:after="40" w:before="40" w:line="280"/>
            </w:pPr>
            <w:r>
              <w:t xml:space="preserve">  — Attitude (Supporter / Neutral / Skeptic / Blocker)</w:t>
            </w:r>
          </w:p>
          <w:p>
            <w:pPr>
              <w:spacing w:after="40" w:before="40" w:line="280"/>
            </w:pPr>
            <w:r>
              <w:t xml:space="preserve">  — Primary Concerns</w:t>
            </w:r>
          </w:p>
          <w:p>
            <w:pPr>
              <w:spacing w:after="40" w:before="40" w:line="280"/>
            </w:pPr>
            <w:r>
              <w:t xml:space="preserve">  — Engagement Mode (Manage Closely / Keep Satisfied / Keep Informed / Monitor)</w:t>
            </w:r>
          </w:p>
          <w:p>
            <w:pPr>
              <w:spacing w:after="40" w:before="40" w:line="280"/>
            </w:pPr>
            <w:r>
              <w:t xml:space="preserve">  — Preferred Communication Channel</w:t>
            </w:r>
          </w:p>
          <w:p>
            <w:pPr>
              <w:spacing w:after="40" w:before="40" w:line="280"/>
            </w:pPr>
            <w:r>
              <w:t xml:space="preserve">  — Frequency</w:t>
            </w:r>
          </w:p>
          <w:p>
            <w:pPr>
              <w:spacing w:after="40" w:before="40" w:line="280"/>
            </w:pPr>
            <w:r>
              <w:t xml:space="preserve">  — Owner (who maintains the relationship)</w:t>
            </w:r>
          </w:p>
        </w:tc>
      </w:tr>
    </w:tbl>
    <w:p>
      <w:pPr>
        <w:pStyle w:val="Heading2"/>
        <w:spacing w:after="120" w:before="260"/>
      </w:pPr>
      <w:r>
        <w:t xml:space="preserve">6.3 Worked Example — Horizon Bank Payments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400"/>
        <w:gridCol w:w="1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Stakeholder</w:t>
            </w:r>
          </w:p>
        </w:tc>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Power / Interest</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Attitude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Concern</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Engagement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Sarah Chen (COO, Sponsor)</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 / H</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outcomes; regulatory deadline</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Manage Closely — weekly 1:1, monthly steering</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David Okafor (CIO)</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 / H</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risk; cost</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Manage Closely — bi-weekly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Carolyn Wood (CFO)</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 / 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Neutral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Cost, NPV, benefit realization</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Satisfied — monthly</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Aisha Jones (CRO)</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 / H</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Skeptic</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Operational risk; resilience</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Manage Closely — bi-weekly; evidence-heavy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Maria Rossi (Dir Payments)</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 / H</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Feature completeness; broker satisfaction</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Manage Closely — weekly</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Head of Retail</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 / H</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Customer experience; branch impact</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Keep Informed — monthly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Head of Corporate</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 / 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Neutral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Corporate client SLAs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Informed — monthly</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DPO + CISO</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 / H</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protection; security controls</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Manage Closely — embedded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FCA / Regulator</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 / 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External observer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consumer protection</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Satisfied — quarterly formal</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Works Council</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 / H</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Neutral</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Staff role changes; branch future</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Keep Informed — quarterly consultations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 (guild)</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 / H</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Supporter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Technical coherence</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Keep Informed — fortnightly guild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Update the Stakeholder Map at least quarterly; attitudes change as the programme progresses. A supporter who loses confidence becomes a blocker — and you want to see that coming.</w:t>
            </w:r>
          </w:p>
          <w:p>
            <w:pPr>
              <w:spacing w:after="40" w:before="40" w:line="280"/>
            </w:pPr>
            <w:r>
              <w:t xml:space="preserve">Never combine Power, Interest, and Attitude into one score. They drive different engagement choices — keep them separate.</w:t>
            </w:r>
          </w:p>
        </w:tc>
      </w:tr>
    </w:tbl>
    <w:p>
      <w:pPr>
        <w:pStyle w:val="Heading1"/>
        <w:pageBreakBefore/>
        <w:spacing w:after="180" w:before="360"/>
      </w:pPr>
      <w:r>
        <w:t xml:space="preserve">7. Communications Plan</w:t>
      </w:r>
    </w:p>
    <w:p>
      <w:pPr>
        <w:pStyle w:val="Heading2"/>
        <w:spacing w:after="120" w:before="260"/>
      </w:pPr>
      <w:r>
        <w:t xml:space="preserve">7.1 Purpose</w:t>
      </w:r>
    </w:p>
    <w:p>
      <w:pPr>
        <w:spacing w:after="80" w:before="80" w:line="300"/>
        <w:jc w:val="both"/>
      </w:pPr>
      <w:r>
        <w:t xml:space="preserve">The Communications Plan translates the Stakeholder Map into concrete communications: who gets what message, through what channel, at what frequency, from whom. Produced in Phase A. The single most underrated EA deliverable — strong communications often save programmes that weaker engagements would lose.</w:t>
      </w:r>
    </w:p>
    <w:p>
      <w:pPr>
        <w:pStyle w:val="Heading2"/>
        <w:spacing w:after="120" w:before="260"/>
      </w:pPr>
      <w:r>
        <w:t xml:space="preserve">7.2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Communications Plan — Template</w:t>
            </w:r>
          </w:p>
          <w:p>
            <w:pPr>
              <w:spacing w:after="40" w:before="40" w:line="280"/>
            </w:pPr>
            <w:r>
              <w:t xml:space="preserve">1. Engagement objectives — what must communications achieve?</w:t>
            </w:r>
          </w:p>
          <w:p>
            <w:pPr>
              <w:spacing w:after="40" w:before="40" w:line="280"/>
            </w:pPr>
            <w:r>
              <w:t xml:space="preserve">2. Key messages — what must every audience understand?</w:t>
            </w:r>
          </w:p>
          <w:p>
            <w:pPr>
              <w:spacing w:after="40" w:before="40" w:line="280"/>
            </w:pPr>
            <w:r>
              <w:t xml:space="preserve">3. Audience map (from Stakeholder Map)</w:t>
            </w:r>
          </w:p>
          <w:p>
            <w:pPr>
              <w:spacing w:after="40" w:before="40" w:line="280"/>
            </w:pPr>
            <w:r>
              <w:t xml:space="preserve">4. Channel plan — for each audience, preferred channel(s)</w:t>
            </w:r>
          </w:p>
          <w:p>
            <w:pPr>
              <w:spacing w:after="40" w:before="40" w:line="280"/>
            </w:pPr>
            <w:r>
              <w:t xml:space="preserve">5. Cadence — frequency per audience</w:t>
            </w:r>
          </w:p>
          <w:p>
            <w:pPr>
              <w:spacing w:after="40" w:before="40" w:line="280"/>
            </w:pPr>
            <w:r>
              <w:t xml:space="preserve">6. Content inventory — standing artifacts (dashboard, deck, one-pager)</w:t>
            </w:r>
          </w:p>
          <w:p>
            <w:pPr>
              <w:spacing w:after="40" w:before="40" w:line="280"/>
            </w:pPr>
            <w:r>
              <w:t xml:space="preserve">7. Responsibilities — who communicates with whom</w:t>
            </w:r>
          </w:p>
          <w:p>
            <w:pPr>
              <w:spacing w:after="40" w:before="40" w:line="280"/>
            </w:pPr>
            <w:r>
              <w:t xml:space="preserve">8. Feedback mechanisms — how input is captured</w:t>
            </w:r>
          </w:p>
          <w:p>
            <w:pPr>
              <w:spacing w:after="40" w:before="40" w:line="280"/>
            </w:pPr>
            <w:r>
              <w:t xml:space="preserve">9. Escalation paths</w:t>
            </w:r>
          </w:p>
          <w:p>
            <w:pPr>
              <w:spacing w:after="40" w:before="40" w:line="280"/>
            </w:pPr>
            <w:r>
              <w:t xml:space="preserve">10. Review — when is the plan itself re-evaluated?</w:t>
            </w:r>
          </w:p>
        </w:tc>
      </w:tr>
    </w:tbl>
    <w:p>
      <w:pPr>
        <w:pStyle w:val="Heading2"/>
        <w:spacing w:after="120" w:before="260"/>
      </w:pPr>
      <w:r>
        <w:t xml:space="preserve">7.3 Worked Example — Horizon Bank Payments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1500"/>
        <w:gridCol w:w="10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Audience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Message</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Channel</w:t>
            </w:r>
          </w:p>
        </w:tc>
        <w:tc>
          <w:tcPr>
            <w:tcW w:type="dxa" w:w="1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Cadence</w:t>
            </w:r>
          </w:p>
        </w:tc>
        <w:tc>
          <w:tcPr>
            <w:tcW w:type="dxa" w:w="10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Owner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COO (Sponsor)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progress vs. goals; risk changes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1:1 meeting + dashboard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Weekly</w:t>
            </w:r>
          </w:p>
        </w:tc>
        <w:tc>
          <w:tcPr>
            <w:tcW w:type="dxa" w:w="1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Lead Architect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Steering Committee</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Capability heat map + RAG; risk; asks</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60-min meeting + deck</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Monthly</w:t>
            </w:r>
          </w:p>
        </w:tc>
        <w:tc>
          <w:tcPr>
            <w:tcW w:type="dxa" w:w="1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Lead Architect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CFO</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NPV, burn-down, benefit tracking</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Email + quarterly 30-min</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Monthly + quarterly</w:t>
            </w:r>
          </w:p>
        </w:tc>
        <w:tc>
          <w:tcPr>
            <w:tcW w:type="dxa" w:w="1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Programme Manager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CRO / CISO</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Risk posture; control evidence; incidents</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Embedded + monthly review</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 monthly</w:t>
            </w:r>
          </w:p>
        </w:tc>
        <w:tc>
          <w:tcPr>
            <w:tcW w:type="dxa" w:w="1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Architect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Works Council</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People impact; role changes; training</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 consultation; printed memo</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w:t>
            </w:r>
          </w:p>
        </w:tc>
        <w:tc>
          <w:tcPr>
            <w:tcW w:type="dxa" w:w="1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Sponsor + HR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Design decisions; ADRs; standards</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Guild + Slack + GitHub</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Fortnightly + continuous</w:t>
            </w:r>
          </w:p>
        </w:tc>
        <w:tc>
          <w:tcPr>
            <w:tcW w:type="dxa" w:w="1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Chief Architect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Regulator (FCA)</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status; milestone evidence</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Formal quarterly report</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w:t>
            </w:r>
          </w:p>
        </w:tc>
        <w:tc>
          <w:tcPr>
            <w:tcW w:type="dxa" w:w="1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Officer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All staff</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Programme progress; upcoming changes</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Newsletter + town hall</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Monthly + semi-annual</w:t>
            </w:r>
          </w:p>
        </w:tc>
        <w:tc>
          <w:tcPr>
            <w:tcW w:type="dxa" w:w="1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Programme Comms</w:t>
            </w:r>
          </w:p>
        </w:tc>
      </w:tr>
    </w:tbl>
    <w:p>
      <w:pPr>
        <w:pStyle w:val="Heading1"/>
        <w:pageBreakBefore/>
        <w:spacing w:after="180" w:before="360"/>
      </w:pPr>
      <w:r>
        <w:t xml:space="preserve">8. Business Capability Map &amp; Heat Map</w:t>
      </w:r>
    </w:p>
    <w:p>
      <w:pPr>
        <w:pStyle w:val="Heading2"/>
        <w:spacing w:after="120" w:before="260"/>
      </w:pPr>
      <w:r>
        <w:t xml:space="preserve">8.1 Purpose</w:t>
      </w:r>
    </w:p>
    <w:p>
      <w:pPr>
        <w:spacing w:after="80" w:before="80" w:line="300"/>
        <w:jc w:val="both"/>
      </w:pPr>
      <w:r>
        <w:t xml:space="preserve">The Business Capability Map is the hierarchical catalog of what the business can do. The Heat Map colors capabilities by an assessment dimension (maturity, importance, gap, cost). Together they are the signature artifacts of Capability-Based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USE WHEN</w:t>
            </w:r>
          </w:p>
          <w:p>
            <w:pPr>
              <w:spacing w:after="40" w:before="40" w:line="280"/>
            </w:pPr>
            <w:r>
              <w:t xml:space="preserve">Phase B of any engagement.</w:t>
            </w:r>
          </w:p>
          <w:p>
            <w:pPr>
              <w:spacing w:after="40" w:before="40" w:line="280"/>
            </w:pPr>
            <w:r>
              <w:t xml:space="preserve">Standing up a new EA practice (build once, reuse always).</w:t>
            </w:r>
          </w:p>
          <w:p>
            <w:pPr>
              <w:spacing w:after="40" w:before="40" w:line="280"/>
            </w:pPr>
            <w:r>
              <w:t xml:space="preserve">Strategic investment prioritization.</w:t>
            </w:r>
          </w:p>
          <w:p>
            <w:pPr>
              <w:spacing w:after="40" w:before="40" w:line="280"/>
            </w:pPr>
            <w:r>
              <w:t xml:space="preserve">Board-level communication about enterprise state.</w:t>
            </w:r>
          </w:p>
        </w:tc>
      </w:tr>
    </w:tbl>
    <w:p>
      <w:pPr>
        <w:pStyle w:val="Heading2"/>
        <w:spacing w:after="120" w:before="260"/>
      </w:pPr>
      <w:r>
        <w:t xml:space="preserve">8.2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Business Capability Map — Catalog Template</w:t>
            </w:r>
          </w:p>
          <w:p>
            <w:pPr>
              <w:spacing w:after="40" w:before="40" w:line="280"/>
            </w:pPr>
            <w:r>
              <w:t xml:space="preserve">For each capability at each level (L1 → L2 → L3):</w:t>
            </w:r>
          </w:p>
          <w:p>
            <w:pPr>
              <w:spacing w:after="40" w:before="40" w:line="280"/>
            </w:pPr>
            <w:r>
              <w:t xml:space="preserve">  — ID (e.g., CAP-PAY-003)</w:t>
            </w:r>
          </w:p>
          <w:p>
            <w:pPr>
              <w:spacing w:after="40" w:before="40" w:line="280"/>
            </w:pPr>
            <w:r>
              <w:t xml:space="preserve">  — Name (noun phrase)</w:t>
            </w:r>
          </w:p>
          <w:p>
            <w:pPr>
              <w:spacing w:after="40" w:before="40" w:line="280"/>
            </w:pPr>
            <w:r>
              <w:t xml:space="preserve">  — Description (1–2 sentences)</w:t>
            </w:r>
          </w:p>
          <w:p>
            <w:pPr>
              <w:spacing w:after="40" w:before="40" w:line="280"/>
            </w:pPr>
            <w:r>
              <w:t xml:space="preserve">  — Parent capability</w:t>
            </w:r>
          </w:p>
          <w:p>
            <w:pPr>
              <w:spacing w:after="40" w:before="40" w:line="280"/>
            </w:pPr>
            <w:r>
              <w:t xml:space="preserve">  — Owner (business accountable)</w:t>
            </w:r>
          </w:p>
          <w:p>
            <w:pPr>
              <w:spacing w:after="40" w:before="40" w:line="280"/>
            </w:pPr>
            <w:r>
              <w:t xml:space="preserve">  — Level (1/2/3)</w:t>
            </w:r>
          </w:p>
          <w:p>
            <w:pPr>
              <w:spacing w:after="40" w:before="40" w:line="280"/>
            </w:pPr>
            <w:r>
              <w:t xml:space="preserve">For heat map, add per capability:</w:t>
            </w:r>
          </w:p>
          <w:p>
            <w:pPr>
              <w:spacing w:after="40" w:before="40" w:line="280"/>
            </w:pPr>
            <w:r>
              <w:t xml:space="preserve">  — Maturity (1–5)</w:t>
            </w:r>
          </w:p>
          <w:p>
            <w:pPr>
              <w:spacing w:after="40" w:before="40" w:line="280"/>
            </w:pPr>
            <w:r>
              <w:t xml:space="preserve">  — Performance (1–5)</w:t>
            </w:r>
          </w:p>
          <w:p>
            <w:pPr>
              <w:spacing w:after="40" w:before="40" w:line="280"/>
            </w:pPr>
            <w:r>
              <w:t xml:space="preserve">  — Strategic Importance (1–5)</w:t>
            </w:r>
          </w:p>
          <w:p>
            <w:pPr>
              <w:spacing w:after="40" w:before="40" w:line="280"/>
            </w:pPr>
            <w:r>
              <w:t xml:space="preserve">  — Cost band (£ or 1–5 relative)</w:t>
            </w:r>
          </w:p>
          <w:p>
            <w:pPr>
              <w:spacing w:after="40" w:before="40" w:line="280"/>
            </w:pPr>
            <w:r>
              <w:t xml:space="preserve">  — Differentiation (Commodity / Standard / Differentiating)</w:t>
            </w:r>
          </w:p>
          <w:p>
            <w:pPr>
              <w:spacing w:after="40" w:before="40" w:line="280"/>
            </w:pPr>
            <w:r>
              <w:t xml:space="preserve">  — Gap (target maturity – current maturity)</w:t>
            </w:r>
          </w:p>
        </w:tc>
      </w:tr>
    </w:tbl>
    <w:p>
      <w:pPr>
        <w:pStyle w:val="Heading2"/>
        <w:spacing w:after="120" w:before="260"/>
      </w:pPr>
      <w:r>
        <w:t xml:space="preserve">8.3 Worked Example — Horizon Bank Payments (L2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200"/>
        <w:gridCol w:w="1200"/>
        <w:gridCol w:w="760"/>
        <w:gridCol w:w="100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Capability</w:t>
            </w:r>
          </w:p>
        </w:tc>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Maturity</w:t>
            </w:r>
          </w:p>
        </w:tc>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Importance</w:t>
            </w:r>
          </w:p>
        </w:tc>
        <w:tc>
          <w:tcPr>
            <w:tcW w:type="dxa" w:w="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Gap</w:t>
            </w:r>
          </w:p>
        </w:tc>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Heat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CAP-PAY-001</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Initiation</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Amber</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CAP-PAY-002</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Execution</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Red</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CAP-PAY-003</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Scheme Integration (SEPA/FPS/FedNow)</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Red</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CAP-PAY-004</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Settlement</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Amber</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CAP-PAY-005</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 Detection</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Red</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CAP-PAY-006</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AML &amp; Sanctions Screening</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0</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Green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CAP-PAY-007</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Exceptions Handling</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Amber</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CAP-PAY-008</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Reconciliation</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0</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Green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CAP-PAY-009</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Reporting</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Green</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CAP-PAY-010</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Unified Customer Payments View</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Build in three levels — no more. Deeper decomposition becomes a process taxonomy and loses the capability abstraction.</w:t>
            </w:r>
          </w:p>
          <w:p>
            <w:pPr>
              <w:spacing w:after="40" w:before="40" w:line="280"/>
            </w:pPr>
            <w:r>
              <w:t xml:space="preserve">Color by ONE dimension per map. Trying to show maturity + importance + cost on one map produces confusion. If you need both, produce two maps side by side.</w:t>
            </w:r>
          </w:p>
          <w:p>
            <w:pPr>
              <w:spacing w:after="40" w:before="40" w:line="280"/>
            </w:pPr>
            <w:r>
              <w:t xml:space="preserve">Use industry references (BIAN for banking, eTOM for telecom, ACORD for insurance) as a starting point. Saves months.</w:t>
            </w:r>
          </w:p>
        </w:tc>
      </w:tr>
    </w:tbl>
    <w:p>
      <w:pPr>
        <w:pStyle w:val="Heading1"/>
        <w:pageBreakBefore/>
        <w:spacing w:after="180" w:before="360"/>
      </w:pPr>
      <w:r>
        <w:t xml:space="preserve">9. Value Stream Map</w:t>
      </w:r>
    </w:p>
    <w:p>
      <w:pPr>
        <w:pStyle w:val="Heading2"/>
        <w:spacing w:after="120" w:before="260"/>
      </w:pPr>
      <w:r>
        <w:t xml:space="preserve">9.1 Purpose</w:t>
      </w:r>
    </w:p>
    <w:p>
      <w:pPr>
        <w:spacing w:after="80" w:before="80" w:line="300"/>
        <w:jc w:val="both"/>
      </w:pPr>
      <w:r>
        <w:t xml:space="preserve">A Value Stream Map shows the end-to-end sequence of stages that deliver value to a stakeholder. Complements the Capability Map — where capabilities are inside-out (what the business does), value streams are outside-in (how value reaches a stakeholder). Stages consume capabilities.</w:t>
      </w:r>
    </w:p>
    <w:p>
      <w:pPr>
        <w:pStyle w:val="Heading2"/>
        <w:spacing w:after="120" w:before="260"/>
      </w:pPr>
      <w:r>
        <w:t xml:space="preserve">9.2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Value Stream — Template</w:t>
            </w:r>
          </w:p>
          <w:p>
            <w:pPr>
              <w:spacing w:after="40" w:before="40" w:line="280"/>
            </w:pPr>
            <w:r>
              <w:t xml:space="preserve">1. Stakeholder (the recipient of value)</w:t>
            </w:r>
          </w:p>
          <w:p>
            <w:pPr>
              <w:spacing w:after="40" w:before="40" w:line="280"/>
            </w:pPr>
            <w:r>
              <w:t xml:space="preserve">2. Trigger (what initiates the stream)</w:t>
            </w:r>
          </w:p>
          <w:p>
            <w:pPr>
              <w:spacing w:after="40" w:before="40" w:line="280"/>
            </w:pPr>
            <w:r>
              <w:t xml:space="preserve">3. Value proposition (what value is delivered)</w:t>
            </w:r>
          </w:p>
          <w:p>
            <w:pPr>
              <w:spacing w:after="40" w:before="40" w:line="280"/>
            </w:pPr>
            <w:r>
              <w:t xml:space="preserve">4. Stages in sequence, each with:</w:t>
            </w:r>
          </w:p>
          <w:p>
            <w:pPr>
              <w:spacing w:after="40" w:before="40" w:line="280"/>
            </w:pPr>
            <w:r>
              <w:t xml:space="preserve">   — Stage name (noun phrase)</w:t>
            </w:r>
          </w:p>
          <w:p>
            <w:pPr>
              <w:spacing w:after="40" w:before="40" w:line="280"/>
            </w:pPr>
            <w:r>
              <w:t xml:space="preserve">   — Capabilities consumed</w:t>
            </w:r>
          </w:p>
          <w:p>
            <w:pPr>
              <w:spacing w:after="40" w:before="40" w:line="280"/>
            </w:pPr>
            <w:r>
              <w:t xml:space="preserve">   — Entry criteria</w:t>
            </w:r>
          </w:p>
          <w:p>
            <w:pPr>
              <w:spacing w:after="40" w:before="40" w:line="280"/>
            </w:pPr>
            <w:r>
              <w:t xml:space="preserve">   — Exit criteria</w:t>
            </w:r>
          </w:p>
          <w:p>
            <w:pPr>
              <w:spacing w:after="40" w:before="40" w:line="280"/>
            </w:pPr>
            <w:r>
              <w:t xml:space="preserve">   — Typical duration</w:t>
            </w:r>
          </w:p>
          <w:p>
            <w:pPr>
              <w:spacing w:after="40" w:before="40" w:line="280"/>
            </w:pPr>
            <w:r>
              <w:t xml:space="preserve">   — Value added at this stage</w:t>
            </w:r>
          </w:p>
          <w:p>
            <w:pPr>
              <w:spacing w:after="40" w:before="40" w:line="280"/>
            </w:pPr>
            <w:r>
              <w:t xml:space="preserve">5. Overall stream metrics (lead time, cycle time, conversion)</w:t>
            </w:r>
          </w:p>
          <w:p>
            <w:pPr>
              <w:spacing w:after="40" w:before="40" w:line="280"/>
            </w:pPr>
            <w:r>
              <w:t xml:space="preserve">6. Pain points (current state)</w:t>
            </w:r>
          </w:p>
          <w:p>
            <w:pPr>
              <w:spacing w:after="40" w:before="40" w:line="280"/>
            </w:pPr>
            <w:r>
              <w:t xml:space="preserve">7. Target state</w:t>
            </w:r>
          </w:p>
        </w:tc>
      </w:tr>
    </w:tbl>
    <w:p>
      <w:pPr>
        <w:pStyle w:val="Heading2"/>
        <w:spacing w:after="120" w:before="260"/>
      </w:pPr>
      <w:r>
        <w:t xml:space="preserve">9.3 Worked Example — "Make a Payment" Value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Value Stream — Make a Payment (Retail Customer)</w:t>
            </w:r>
          </w:p>
          <w:p>
            <w:pPr>
              <w:spacing w:after="40" w:before="40" w:line="280"/>
            </w:pPr>
            <w:r>
              <w:t xml:space="preserve">Stakeholder: Retail customer.</w:t>
            </w:r>
          </w:p>
          <w:p>
            <w:pPr>
              <w:spacing w:after="40" w:before="40" w:line="280"/>
            </w:pPr>
            <w:r>
              <w:t xml:space="preserve">Trigger: Customer initiates payment via mobile app, online banking, or branch.</w:t>
            </w:r>
          </w:p>
          <w:p>
            <w:pPr>
              <w:spacing w:after="40" w:before="40" w:line="280"/>
            </w:pPr>
            <w:r>
              <w:t xml:space="preserve">Value proposition: funds move to beneficiary reliably, fast, securely.</w:t>
            </w:r>
          </w:p>
          <w:p>
            <w:pPr>
              <w:spacing w:after="40" w:before="40" w:line="280"/>
            </w:pPr>
            <w:r>
              <w:t xml:space="preserve">Stages:</w:t>
            </w:r>
          </w:p>
          <w:p>
            <w:pPr>
              <w:spacing w:after="40" w:before="40" w:line="280"/>
            </w:pPr>
            <w:r>
              <w:t xml:space="preserve">  1. Payment Initiation — capability CAP-PAY-001 — entry: authenticated customer — exit: instruction captured.</w:t>
            </w:r>
          </w:p>
          <w:p>
            <w:pPr>
              <w:spacing w:after="40" w:before="40" w:line="280"/>
            </w:pPr>
            <w:r>
              <w:t xml:space="preserve">  2. Validation &amp; Enrichment — CAP-PAY-001 + data services — exit: fully validated instruction.</w:t>
            </w:r>
          </w:p>
          <w:p>
            <w:pPr>
              <w:spacing w:after="40" w:before="40" w:line="280"/>
            </w:pPr>
            <w:r>
              <w:t xml:space="preserve">  3. Fraud &amp; AML Screening — CAP-PAY-005, CAP-PAY-006 — exit: cleared or flagged.</w:t>
            </w:r>
          </w:p>
          <w:p>
            <w:pPr>
              <w:spacing w:after="40" w:before="40" w:line="280"/>
            </w:pPr>
            <w:r>
              <w:t xml:space="preserve">  4. Scheme Routing — CAP-PAY-003 — exit: correct scheme selected (SEPA Instant / UK FPS / BACS / FedNow / SWIFT).</w:t>
            </w:r>
          </w:p>
          <w:p>
            <w:pPr>
              <w:spacing w:after="40" w:before="40" w:line="280"/>
            </w:pPr>
            <w:r>
              <w:t xml:space="preserve">  5. Execution — CAP-PAY-002 — exit: payment dispatched to scheme.</w:t>
            </w:r>
          </w:p>
          <w:p>
            <w:pPr>
              <w:spacing w:after="40" w:before="40" w:line="280"/>
            </w:pPr>
            <w:r>
              <w:t xml:space="preserve">  6. Settlement — CAP-PAY-004 — exit: settled in ledger.</w:t>
            </w:r>
          </w:p>
          <w:p>
            <w:pPr>
              <w:spacing w:after="40" w:before="40" w:line="280"/>
            </w:pPr>
            <w:r>
              <w:t xml:space="preserve">  7. Confirmation &amp; Notification — CAP-PAY-009 — exit: customer notified; receipt issued.</w:t>
            </w:r>
          </w:p>
          <w:p>
            <w:pPr>
              <w:spacing w:after="40" w:before="40" w:line="280"/>
            </w:pPr>
            <w:r>
              <w:t xml:space="preserve">Baseline metrics: lead time 8s (p99 45s); conversion 97.2%; pain points include fragmented customer visibility and scheme-specific silos.</w:t>
            </w:r>
          </w:p>
          <w:p>
            <w:pPr>
              <w:spacing w:after="40" w:before="40" w:line="280"/>
            </w:pPr>
            <w:r>
              <w:t xml:space="preserve">Target metrics: lead time &lt;3s (p99 &lt;5s); conversion 99.5%; unified customer-facing receipt.</w:t>
            </w:r>
          </w:p>
        </w:tc>
      </w:tr>
    </w:tbl>
    <w:p>
      <w:pPr>
        <w:pStyle w:val="Heading1"/>
        <w:pageBreakBefore/>
        <w:spacing w:after="180" w:before="360"/>
      </w:pPr>
      <w:r>
        <w:t xml:space="preserve">10. Business Service Catalog</w:t>
      </w:r>
    </w:p>
    <w:p>
      <w:pPr>
        <w:pStyle w:val="Heading2"/>
        <w:spacing w:after="120" w:before="260"/>
      </w:pPr>
      <w:r>
        <w:t xml:space="preserve">10.1 Purpose</w:t>
      </w:r>
    </w:p>
    <w:p>
      <w:pPr>
        <w:spacing w:after="80" w:before="80" w:line="300"/>
        <w:jc w:val="both"/>
      </w:pPr>
      <w:r>
        <w:t xml:space="preserve">The Business Service Catalog inventories the discrete business services offered to consumers (internal or external). Business Services are the bridge between business capabilities and application implementation.</w:t>
      </w:r>
    </w:p>
    <w:p>
      <w:pPr>
        <w:pStyle w:val="Heading2"/>
        <w:spacing w:after="120" w:before="260"/>
      </w:pPr>
      <w:r>
        <w:t xml:space="preserve">10.2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Business Service Catalog — Entry Template</w:t>
            </w:r>
          </w:p>
          <w:p>
            <w:pPr>
              <w:spacing w:after="40" w:before="40" w:line="280"/>
            </w:pPr>
            <w:r>
              <w:t xml:space="preserve">ID, Name, Description</w:t>
            </w:r>
          </w:p>
          <w:p>
            <w:pPr>
              <w:spacing w:after="40" w:before="40" w:line="280"/>
            </w:pPr>
            <w:r>
              <w:t xml:space="preserve">Delivering Capability</w:t>
            </w:r>
          </w:p>
          <w:p>
            <w:pPr>
              <w:spacing w:after="40" w:before="40" w:line="280"/>
            </w:pPr>
            <w:r>
              <w:t xml:space="preserve">Consumer(s) — who uses this service</w:t>
            </w:r>
          </w:p>
          <w:p>
            <w:pPr>
              <w:spacing w:after="40" w:before="40" w:line="280"/>
            </w:pPr>
            <w:r>
              <w:t xml:space="preserve">Type — internal / customer-facing / partner-facing</w:t>
            </w:r>
          </w:p>
          <w:p>
            <w:pPr>
              <w:spacing w:after="40" w:before="40" w:line="280"/>
            </w:pPr>
            <w:r>
              <w:t xml:space="preserve">SLA / Service Quality attributes</w:t>
            </w:r>
          </w:p>
          <w:p>
            <w:pPr>
              <w:spacing w:after="40" w:before="40" w:line="280"/>
            </w:pPr>
            <w:r>
              <w:t xml:space="preserve">Realizing application(s)</w:t>
            </w:r>
          </w:p>
          <w:p>
            <w:pPr>
              <w:spacing w:after="40" w:before="40" w:line="280"/>
            </w:pPr>
            <w:r>
              <w:t xml:space="preserve">Owner</w:t>
            </w:r>
          </w:p>
          <w:p>
            <w:pPr>
              <w:spacing w:after="40" w:before="40" w:line="280"/>
            </w:pPr>
            <w:r>
              <w:t xml:space="preserve">Status — Plan / Build / Run / Retire</w:t>
            </w:r>
          </w:p>
        </w:tc>
      </w:tr>
    </w:tbl>
    <w:p>
      <w:pPr>
        <w:pStyle w:val="Heading2"/>
        <w:spacing w:after="120" w:before="260"/>
      </w:pPr>
      <w:r>
        <w:t xml:space="preserve">10.3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800"/>
        <w:gridCol w:w="17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Service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Consumer</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SLA</w:t>
            </w:r>
          </w:p>
        </w:tc>
        <w:tc>
          <w:tcPr>
            <w:tcW w:type="dxa" w:w="1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Realizing App</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BS-PAY-01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Initiate Payment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Mobile App, Online Banking, Branch Teller</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p99 &lt;3s; 99.95% avail</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v2</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BS-PAY-02</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Lookup Payment Status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Mobile App, Customer Service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p99 &lt;500ms</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Gateway v2</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BS-PAY-03</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Issue Refund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Service, Disputes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p99 &lt;2s</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v2</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BS-PAY-04</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Publish Payment Event</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Fraud Engine, Analytics, Notifications</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p99 &lt;100ms; at-least-once</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Event Broker (Kafka)</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BS-CUS-01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Retrieve Customer Profile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All customer-facing apps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p99 &lt;300ms</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MDM</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BS-CUS-02</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Update Customer Preferences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Mobile App, Online Banking</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p99 &lt;1s</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Customer MDM</w:t>
            </w:r>
          </w:p>
        </w:tc>
      </w:tr>
    </w:tbl>
    <w:p>
      <w:pPr>
        <w:pStyle w:val="Heading1"/>
        <w:pageBreakBefore/>
        <w:spacing w:after="180" w:before="360"/>
      </w:pPr>
      <w:r>
        <w:t xml:space="preserve">11. Application Portfolio Catalog (with TIME)</w:t>
      </w:r>
    </w:p>
    <w:p>
      <w:pPr>
        <w:pStyle w:val="Heading2"/>
        <w:spacing w:after="120" w:before="260"/>
      </w:pPr>
      <w:r>
        <w:t xml:space="preserve">11.1 Purpose</w:t>
      </w:r>
    </w:p>
    <w:p>
      <w:pPr>
        <w:spacing w:after="80" w:before="80" w:line="300"/>
        <w:jc w:val="both"/>
      </w:pPr>
      <w:r>
        <w:t xml:space="preserve">The Application Portfolio Catalog is the inventory of every application, with metadata supporting lifecycle, rationalization, and TIME analysis (Tolerate / Invest / Migrate / Eliminate).</w:t>
      </w:r>
    </w:p>
    <w:p>
      <w:pPr>
        <w:pStyle w:val="Heading2"/>
        <w:spacing w:after="120" w:before="260"/>
      </w:pPr>
      <w:r>
        <w:t xml:space="preserve">11.2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Application Portfolio — Entry Template</w:t>
            </w:r>
          </w:p>
          <w:p>
            <w:pPr>
              <w:spacing w:after="40" w:before="40" w:line="280"/>
            </w:pPr>
            <w:r>
              <w:t xml:space="preserve">ID, Name, Description</w:t>
            </w:r>
          </w:p>
          <w:p>
            <w:pPr>
              <w:spacing w:after="40" w:before="40" w:line="280"/>
            </w:pPr>
            <w:r>
              <w:t xml:space="preserve">Business capability supported (link to CAP IDs)</w:t>
            </w:r>
          </w:p>
          <w:p>
            <w:pPr>
              <w:spacing w:after="40" w:before="40" w:line="280"/>
            </w:pPr>
            <w:r>
              <w:t xml:space="preserve">Owner (business + technical)</w:t>
            </w:r>
          </w:p>
          <w:p>
            <w:pPr>
              <w:spacing w:after="40" w:before="40" w:line="280"/>
            </w:pPr>
            <w:r>
              <w:t xml:space="preserve">Vendor / In-house</w:t>
            </w:r>
          </w:p>
          <w:p>
            <w:pPr>
              <w:spacing w:after="40" w:before="40" w:line="280"/>
            </w:pPr>
            <w:r>
              <w:t xml:space="preserve">Version in production</w:t>
            </w:r>
          </w:p>
          <w:p>
            <w:pPr>
              <w:spacing w:after="40" w:before="40" w:line="280"/>
            </w:pPr>
            <w:r>
              <w:t xml:space="preserve">Deployment (where it runs)</w:t>
            </w:r>
          </w:p>
          <w:p>
            <w:pPr>
              <w:spacing w:after="40" w:before="40" w:line="280"/>
            </w:pPr>
            <w:r>
              <w:t xml:space="preserve">Users — count and role profile</w:t>
            </w:r>
          </w:p>
          <w:p>
            <w:pPr>
              <w:spacing w:after="40" w:before="40" w:line="280"/>
            </w:pPr>
            <w:r>
              <w:t xml:space="preserve">Annual run cost</w:t>
            </w:r>
          </w:p>
          <w:p>
            <w:pPr>
              <w:spacing w:after="40" w:before="40" w:line="280"/>
            </w:pPr>
            <w:r>
              <w:t xml:space="preserve">TIME classification (Tolerate / Invest / Migrate / Eliminate)</w:t>
            </w:r>
          </w:p>
          <w:p>
            <w:pPr>
              <w:spacing w:after="40" w:before="40" w:line="280"/>
            </w:pPr>
            <w:r>
              <w:t xml:space="preserve">Technical fit score (1–5)</w:t>
            </w:r>
          </w:p>
          <w:p>
            <w:pPr>
              <w:spacing w:after="40" w:before="40" w:line="280"/>
            </w:pPr>
            <w:r>
              <w:t xml:space="preserve">Business value score (1–5)</w:t>
            </w:r>
          </w:p>
          <w:p>
            <w:pPr>
              <w:spacing w:after="40" w:before="40" w:line="280"/>
            </w:pPr>
            <w:r>
              <w:t xml:space="preserve">Lifecycle state (Plan / Build / Run / Retire)</w:t>
            </w:r>
          </w:p>
          <w:p>
            <w:pPr>
              <w:spacing w:after="40" w:before="40" w:line="280"/>
            </w:pPr>
            <w:r>
              <w:t xml:space="preserve">Target state (desired end state)</w:t>
            </w:r>
          </w:p>
          <w:p>
            <w:pPr>
              <w:spacing w:after="40" w:before="40" w:line="280"/>
            </w:pPr>
            <w:r>
              <w:t xml:space="preserve">Retirement date (if applicable)</w:t>
            </w:r>
          </w:p>
        </w:tc>
      </w:tr>
    </w:tbl>
    <w:p>
      <w:pPr>
        <w:pStyle w:val="Heading2"/>
        <w:spacing w:after="120" w:before="260"/>
      </w:pPr>
      <w:r>
        <w:t xml:space="preserve">11.3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800"/>
        <w:gridCol w:w="19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Application</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TIME</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Tech Fit / Biz Value</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Next Action</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APP-0034</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v1 (legacy Java)</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Migrate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 / 5</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Replace with v2 by Q3 2027</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APP-0042</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Branch Teller System (Mainframe)</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Eliminate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 / 2</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Retire by 2028 with branch transformation</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APP-0058</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MDM (Informatica)</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Invest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4 / 5</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Expand; add payment attributes</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APP-0061</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Murex (Treasury)</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Tolerate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 / 4</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Maintain; out of scope for this programme</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APP-0082</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FraudGuard ML Service</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Invest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 / 5</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Expand to real-time</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APP-0099</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Old Excel-based Recon Tool</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Eliminate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 / 1</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Retire immediately; replace with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Tag every application with the capability it supports. An application supporting no capability is either hidden or should be retired.</w:t>
            </w:r>
          </w:p>
          <w:p>
            <w:pPr>
              <w:spacing w:after="40" w:before="40" w:line="280"/>
            </w:pPr>
            <w:r>
              <w:t xml:space="preserve">Publish TIME decisions as a formal output; every classification implies an investment or retirement decision and deserves governance.</w:t>
            </w:r>
          </w:p>
        </w:tc>
      </w:tr>
    </w:tbl>
    <w:p>
      <w:pPr>
        <w:pStyle w:val="Heading1"/>
        <w:pageBreakBefore/>
        <w:spacing w:after="180" w:before="360"/>
      </w:pPr>
      <w:r>
        <w:t xml:space="preserve">12. Interface Catalog</w:t>
      </w:r>
    </w:p>
    <w:p>
      <w:pPr>
        <w:pStyle w:val="Heading2"/>
        <w:spacing w:after="120" w:before="260"/>
      </w:pPr>
      <w:r>
        <w:t xml:space="preserve">12.1 Purpose</w:t>
      </w:r>
    </w:p>
    <w:p>
      <w:pPr>
        <w:spacing w:after="80" w:before="80" w:line="300"/>
        <w:jc w:val="both"/>
      </w:pPr>
      <w:r>
        <w:t xml:space="preserve">The Interface Catalog inventories every interface between applications — APIs, events, files, message queues, database links. Critical for impact analysis and integration strategy.</w:t>
      </w:r>
    </w:p>
    <w:p>
      <w:pPr>
        <w:pStyle w:val="Heading2"/>
        <w:spacing w:after="120" w:before="260"/>
      </w:pPr>
      <w:r>
        <w:t xml:space="preserve">12.2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Interface Catalog — Entry</w:t>
            </w:r>
          </w:p>
          <w:p>
            <w:pPr>
              <w:spacing w:after="40" w:before="40" w:line="280"/>
            </w:pPr>
            <w:r>
              <w:t xml:space="preserve">Interface ID</w:t>
            </w:r>
          </w:p>
          <w:p>
            <w:pPr>
              <w:spacing w:after="40" w:before="40" w:line="280"/>
            </w:pPr>
            <w:r>
              <w:t xml:space="preserve">Producer application</w:t>
            </w:r>
          </w:p>
          <w:p>
            <w:pPr>
              <w:spacing w:after="40" w:before="40" w:line="280"/>
            </w:pPr>
            <w:r>
              <w:t xml:space="preserve">Consumer application(s)</w:t>
            </w:r>
          </w:p>
          <w:p>
            <w:pPr>
              <w:spacing w:after="40" w:before="40" w:line="280"/>
            </w:pPr>
            <w:r>
              <w:t xml:space="preserve">Type (REST API / SOAP / GraphQL / Event / File / DB / Other)</w:t>
            </w:r>
          </w:p>
          <w:p>
            <w:pPr>
              <w:spacing w:after="40" w:before="40" w:line="280"/>
            </w:pPr>
            <w:r>
              <w:t xml:space="preserve">Data entities exchanged</w:t>
            </w:r>
          </w:p>
          <w:p>
            <w:pPr>
              <w:spacing w:after="40" w:before="40" w:line="280"/>
            </w:pPr>
            <w:r>
              <w:t xml:space="preserve">Frequency / volume</w:t>
            </w:r>
          </w:p>
          <w:p>
            <w:pPr>
              <w:spacing w:after="40" w:before="40" w:line="280"/>
            </w:pPr>
            <w:r>
              <w:t xml:space="preserve">Protocol / standard</w:t>
            </w:r>
          </w:p>
          <w:p>
            <w:pPr>
              <w:spacing w:after="40" w:before="40" w:line="280"/>
            </w:pPr>
            <w:r>
              <w:t xml:space="preserve">Security (authN, authZ, encryption)</w:t>
            </w:r>
          </w:p>
          <w:p>
            <w:pPr>
              <w:spacing w:after="40" w:before="40" w:line="280"/>
            </w:pPr>
            <w:r>
              <w:t xml:space="preserve">SLA</w:t>
            </w:r>
          </w:p>
          <w:p>
            <w:pPr>
              <w:spacing w:after="40" w:before="40" w:line="280"/>
            </w:pPr>
            <w:r>
              <w:t xml:space="preserve">Documentation link</w:t>
            </w:r>
          </w:p>
          <w:p>
            <w:pPr>
              <w:spacing w:after="40" w:before="40" w:line="280"/>
            </w:pPr>
            <w:r>
              <w:t xml:space="preserve">Status (Approved / Deprecated / Temporary)</w:t>
            </w:r>
          </w:p>
        </w:tc>
      </w:tr>
    </w:tbl>
    <w:p>
      <w:pPr>
        <w:pStyle w:val="Heading2"/>
        <w:spacing w:after="120" w:before="260"/>
      </w:pPr>
      <w:r>
        <w:t xml:space="preserve">12.3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2100"/>
        <w:gridCol w:w="15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Producer → Consumer</w:t>
            </w:r>
          </w:p>
        </w:tc>
        <w:tc>
          <w:tcPr>
            <w:tcW w:type="dxa" w:w="1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Type</w:t>
            </w:r>
          </w:p>
        </w:tc>
        <w:tc>
          <w:tcPr>
            <w:tcW w:type="dxa" w:w="21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Data</w:t>
            </w:r>
          </w:p>
        </w:tc>
        <w:tc>
          <w:tcPr>
            <w:tcW w:type="dxa" w:w="1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Status</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IF-001</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 Customer MDM</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REST API</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lookup</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IF-002</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Gateway → Kafka [payment.events.v1]</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Event</w:t>
            </w:r>
          </w:p>
        </w:tc>
        <w:tc>
          <w:tcPr>
            <w:tcW w:type="dxa" w:w="2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initiated/executed/failed</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Approved</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IF-003</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Kafka [payment.events.v1] → Fraud ML Service</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Event</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event</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IF-004</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Gateway → Mainframe (legacy)</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MQ</w:t>
            </w:r>
          </w:p>
        </w:tc>
        <w:tc>
          <w:tcPr>
            <w:tcW w:type="dxa" w:w="2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Settlement instruction</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Deprecated — remove by Q3 2027</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IF-005</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MDM → Data Warehouse</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CDC stream</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 updates</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IF-006</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Mobile App → Payment Gateway</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REST API (via API Gateway)</w:t>
            </w:r>
          </w:p>
        </w:tc>
        <w:tc>
          <w:tcPr>
            <w:tcW w:type="dxa" w:w="2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instruction</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Approved</w:t>
            </w:r>
          </w:p>
        </w:tc>
      </w:tr>
    </w:tbl>
    <w:p>
      <w:pPr>
        <w:pStyle w:val="Heading1"/>
        <w:pageBreakBefore/>
        <w:spacing w:after="180" w:before="360"/>
      </w:pPr>
      <w:r>
        <w:t xml:space="preserve">13. Data Entity Catalog</w:t>
      </w:r>
    </w:p>
    <w:p>
      <w:pPr>
        <w:pStyle w:val="Heading2"/>
        <w:spacing w:after="120" w:before="260"/>
      </w:pPr>
      <w:r>
        <w:t xml:space="preserve">13.1 Purpose</w:t>
      </w:r>
    </w:p>
    <w:p>
      <w:pPr>
        <w:spacing w:after="80" w:before="80" w:line="300"/>
        <w:jc w:val="both"/>
      </w:pPr>
      <w:r>
        <w:t xml:space="preserve">Inventory of conceptual and logical data entities owned by the enterprise. Feeds the CRUD matrix, data classification, and data strategy.</w:t>
      </w:r>
    </w:p>
    <w:p>
      <w:pPr>
        <w:pStyle w:val="Heading2"/>
        <w:spacing w:after="120" w:before="260"/>
      </w:pPr>
      <w:r>
        <w:t xml:space="preserve">13.2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Data Entity Catalog — Entry</w:t>
            </w:r>
          </w:p>
          <w:p>
            <w:pPr>
              <w:spacing w:after="40" w:before="40" w:line="280"/>
            </w:pPr>
            <w:r>
              <w:t xml:space="preserve">Entity ID (e.g., ENT-CUS-001)</w:t>
            </w:r>
          </w:p>
          <w:p>
            <w:pPr>
              <w:spacing w:after="40" w:before="40" w:line="280"/>
            </w:pPr>
            <w:r>
              <w:t xml:space="preserve">Name</w:t>
            </w:r>
          </w:p>
          <w:p>
            <w:pPr>
              <w:spacing w:after="40" w:before="40" w:line="280"/>
            </w:pPr>
            <w:r>
              <w:t xml:space="preserve">Description</w:t>
            </w:r>
          </w:p>
          <w:p>
            <w:pPr>
              <w:spacing w:after="40" w:before="40" w:line="280"/>
            </w:pPr>
            <w:r>
              <w:t xml:space="preserve">Business owner (data steward)</w:t>
            </w:r>
          </w:p>
          <w:p>
            <w:pPr>
              <w:spacing w:after="40" w:before="40" w:line="280"/>
            </w:pPr>
            <w:r>
              <w:t xml:space="preserve">System of record</w:t>
            </w:r>
          </w:p>
          <w:p>
            <w:pPr>
              <w:spacing w:after="40" w:before="40" w:line="280"/>
            </w:pPr>
            <w:r>
              <w:t xml:space="preserve">Classification (Public / Internal / Confidential / Restricted)</w:t>
            </w:r>
          </w:p>
          <w:p>
            <w:pPr>
              <w:spacing w:after="40" w:before="40" w:line="280"/>
            </w:pPr>
            <w:r>
              <w:t xml:space="preserve">Key attributes (summary)</w:t>
            </w:r>
          </w:p>
          <w:p>
            <w:pPr>
              <w:spacing w:after="40" w:before="40" w:line="280"/>
            </w:pPr>
            <w:r>
              <w:t xml:space="preserve">Primary identifier</w:t>
            </w:r>
          </w:p>
          <w:p>
            <w:pPr>
              <w:spacing w:after="40" w:before="40" w:line="280"/>
            </w:pPr>
            <w:r>
              <w:t xml:space="preserve">Lifecycle (retention, archival, destruction)</w:t>
            </w:r>
          </w:p>
          <w:p>
            <w:pPr>
              <w:spacing w:after="40" w:before="40" w:line="280"/>
            </w:pPr>
            <w:r>
              <w:t xml:space="preserve">Regulatory flags (PII, PHI, PCI, other)</w:t>
            </w:r>
          </w:p>
          <w:p>
            <w:pPr>
              <w:spacing w:after="40" w:before="40" w:line="280"/>
            </w:pPr>
            <w:r>
              <w:t xml:space="preserve">Relationships to other entities</w:t>
            </w:r>
          </w:p>
        </w:tc>
      </w:tr>
    </w:tbl>
    <w:p>
      <w:pPr>
        <w:pStyle w:val="Heading2"/>
        <w:spacing w:after="120" w:before="260"/>
      </w:pPr>
      <w:r>
        <w:t xml:space="preserve">13.3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800"/>
        <w:gridCol w:w="17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Entity</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Owner</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Classification</w:t>
            </w:r>
          </w:p>
        </w:tc>
        <w:tc>
          <w:tcPr>
            <w:tcW w:type="dxa" w:w="1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Retention</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ENT-CUS-001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CDO + Head of Retail</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Confidential (PII)</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 life of relationship + 7 yrs</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ENT-PAY-001</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Instruction</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Head of Payments</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Confidential (PCI-adjacent)</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7 yrs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ENT-PAY-002</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Execution Event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Head of Payments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Confidential</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7 yrs</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ENT-ACC-001</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Account</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Head of Retail Operations</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Confidential</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 life of relationship + 10 yrs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ENT-FRD-001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 Signal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Head of Fraud Prevention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Restricted</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 yrs</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ENT-CNS-001</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Consent Record</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DPO</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Restricted (GDPR)</w:t>
            </w:r>
          </w:p>
        </w:tc>
        <w:tc>
          <w:tcPr>
            <w:tcW w:type="dxa" w:w="1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7 yrs after withdrawal</w:t>
            </w:r>
          </w:p>
        </w:tc>
      </w:tr>
    </w:tbl>
    <w:p>
      <w:pPr>
        <w:pStyle w:val="Heading1"/>
        <w:pageBreakBefore/>
        <w:spacing w:after="180" w:before="360"/>
      </w:pPr>
      <w:r>
        <w:t xml:space="preserve">14. CRUD Matrix — Data Entity × Business Function</w:t>
      </w:r>
    </w:p>
    <w:p>
      <w:pPr>
        <w:pStyle w:val="Heading2"/>
        <w:spacing w:after="120" w:before="260"/>
      </w:pPr>
      <w:r>
        <w:t xml:space="preserve">14.1 Purpose</w:t>
      </w:r>
    </w:p>
    <w:p>
      <w:pPr>
        <w:spacing w:after="80" w:before="80" w:line="300"/>
        <w:jc w:val="both"/>
      </w:pPr>
      <w:r>
        <w:t xml:space="preserve">The CRUD Matrix maps which business functions Create, Read, Update, or Delete which data entities. Reveals data ownership, integration needs, and governance responsibilities. The signature Phase C (Data) artifact.</w:t>
      </w:r>
    </w:p>
    <w:p>
      <w:pPr>
        <w:pStyle w:val="Heading2"/>
        <w:spacing w:after="120" w:before="260"/>
      </w:pPr>
      <w:r>
        <w:t xml:space="preserve">14.2 Template</w:t>
      </w:r>
    </w:p>
    <w:p>
      <w:pPr>
        <w:spacing w:after="80" w:before="80" w:line="300"/>
        <w:jc w:val="both"/>
      </w:pPr>
      <w:r>
        <w:t xml:space="preserve">Rows = Data Entities. Columns = Business Functions. Cells contain some combination of C, R, U, D. Multiple letters are allowed (e.g., "CRUD" or "RU"). Each Create should be owned by exactly one function — multiple Creates for the same entity signals duplication.</w:t>
      </w:r>
    </w:p>
    <w:p>
      <w:pPr>
        <w:pStyle w:val="Heading2"/>
        <w:spacing w:after="120" w:before="260"/>
      </w:pPr>
      <w:r>
        <w:t xml:space="preserve">14.3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1400"/>
        <w:gridCol w:w="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Entity \ Function</w:t>
            </w:r>
          </w:p>
        </w:tc>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Customer Onboarding</w:t>
            </w:r>
          </w:p>
        </w:tc>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Payment Initiation</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Fraud Detection</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Customer Service</w:t>
            </w:r>
          </w:p>
        </w:tc>
        <w:tc>
          <w:tcPr>
            <w:tcW w:type="dxa" w:w="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Reporting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Customer</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R, U</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 U</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Account</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R, U</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 U</w:t>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Instruction</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R, U</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 Execution Event</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 Signal</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R, U</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Consent Record</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R, U</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 U</w:t>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One Create per entity is the health rule. If two or more functions show Create for the same entity, you have data duplication or poorly defined ownership.</w:t>
            </w:r>
          </w:p>
          <w:p>
            <w:pPr>
              <w:spacing w:after="40" w:before="40" w:line="280"/>
            </w:pPr>
            <w:r>
              <w:t xml:space="preserve">Deletes should be rare. Most entities are retained for regulatory reasons and marked inactive rather than deleted.</w:t>
            </w:r>
          </w:p>
        </w:tc>
      </w:tr>
    </w:tbl>
    <w:p>
      <w:pPr>
        <w:pStyle w:val="Heading1"/>
        <w:pageBreakBefore/>
        <w:spacing w:after="180" w:before="360"/>
      </w:pPr>
      <w:r>
        <w:t xml:space="preserve">15. Application / Data Matrix</w:t>
      </w:r>
    </w:p>
    <w:p>
      <w:pPr>
        <w:pStyle w:val="Heading2"/>
        <w:spacing w:after="120" w:before="260"/>
      </w:pPr>
      <w:r>
        <w:t xml:space="preserve">15.1 Purpose</w:t>
      </w:r>
    </w:p>
    <w:p>
      <w:pPr>
        <w:spacing w:after="80" w:before="80" w:line="300"/>
        <w:jc w:val="both"/>
      </w:pPr>
      <w:r>
        <w:t xml:space="preserve">Which applications consume or produce which data entities. Critical for impact analysis ("if we change Customer, which apps are affected?") and for rationalization.</w:t>
      </w:r>
    </w:p>
    <w:p>
      <w:pPr>
        <w:pStyle w:val="Heading2"/>
        <w:spacing w:after="120" w:before="260"/>
      </w:pPr>
      <w:r>
        <w:t xml:space="preserve">15.2 Worked Example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1400"/>
        <w:gridCol w:w="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 \ Entity</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Customer</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Account</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Payment Instr.</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Payment Event</w:t>
            </w:r>
          </w:p>
        </w:tc>
        <w:tc>
          <w:tcPr>
            <w:tcW w:type="dxa" w:w="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Fraud Signal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v2</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CRUD</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Customer MDM</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CRUD</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FraudGuard ML</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CRUD</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Mobile App</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Warehouse</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Core Ledger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CRUD</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w:t>
            </w:r>
          </w:p>
        </w:tc>
        <w:tc>
          <w:tcPr>
            <w:tcW w:type="dxa" w:w="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w:r>
          </w:p>
        </w:tc>
      </w:tr>
    </w:tbl>
    <w:p>
      <w:pPr>
        <w:pStyle w:val="Heading1"/>
        <w:pageBreakBefore/>
        <w:spacing w:after="180" w:before="360"/>
      </w:pPr>
      <w:r>
        <w:t xml:space="preserve">16. Application / Technology Matrix</w:t>
      </w:r>
    </w:p>
    <w:p>
      <w:pPr>
        <w:pStyle w:val="Heading2"/>
        <w:spacing w:after="120" w:before="260"/>
      </w:pPr>
      <w:r>
        <w:t xml:space="preserve">16.1 Purpose</w:t>
      </w:r>
    </w:p>
    <w:p>
      <w:pPr>
        <w:spacing w:after="80" w:before="80" w:line="300"/>
        <w:jc w:val="both"/>
      </w:pPr>
      <w:r>
        <w:t xml:space="preserve">Which applications run on which technology components. Drives technology rationalization, consolidation, and impact analysis.</w:t>
      </w:r>
    </w:p>
    <w:p>
      <w:pPr>
        <w:pStyle w:val="Heading2"/>
        <w:spacing w:after="120" w:before="260"/>
      </w:pPr>
      <w:r>
        <w:t xml:space="preserve">16.2 Worked Example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700"/>
        <w:gridCol w:w="1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 \ Tech</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Runtime</w:t>
            </w:r>
          </w:p>
        </w:tc>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Data Store</w:t>
            </w:r>
          </w:p>
        </w:tc>
        <w:tc>
          <w:tcPr>
            <w:tcW w:type="dxa" w:w="17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Messaging</w:t>
            </w:r>
          </w:p>
        </w:tc>
        <w:tc>
          <w:tcPr>
            <w:tcW w:type="dxa" w:w="1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Identity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v2</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AKS (Kubernetes)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PostgreSQL 16</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Kafka + REST</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Okta</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Customer MDM</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Informatica MDM on VM</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Oracle 19c (target: Postgres)</w:t>
            </w:r>
          </w:p>
        </w:tc>
        <w:tc>
          <w:tcPr>
            <w:tcW w:type="dxa" w:w="1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Kafka (publish)</w:t>
            </w:r>
          </w:p>
        </w:tc>
        <w:tc>
          <w:tcPr>
            <w:tcW w:type="dxa" w:w="1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Okta</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Mobile App (backend)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AKS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PostgreSQL 16</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REST</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Okta (B2C)</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FraudGuard ML</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AKS + Azure ML</w:t>
            </w:r>
          </w:p>
        </w:tc>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Redis + S3 equivalent</w:t>
            </w:r>
          </w:p>
        </w:tc>
        <w:tc>
          <w:tcPr>
            <w:tcW w:type="dxa" w:w="17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Kafka (consume)</w:t>
            </w:r>
          </w:p>
        </w:tc>
        <w:tc>
          <w:tcPr>
            <w:tcW w:type="dxa" w:w="1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Okta (service)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Warehouse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Synapse Analytics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Synapse / Delta</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CDC via Kafka</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Entra ID</w:t>
            </w:r>
          </w:p>
        </w:tc>
      </w:tr>
    </w:tbl>
    <w:p>
      <w:pPr>
        <w:pStyle w:val="Heading1"/>
        <w:pageBreakBefore/>
        <w:spacing w:after="180" w:before="360"/>
      </w:pPr>
      <w:r>
        <w:t xml:space="preserve">17. Technology Standards Catalog</w:t>
      </w:r>
    </w:p>
    <w:p>
      <w:pPr>
        <w:pStyle w:val="Heading2"/>
        <w:spacing w:after="120" w:before="260"/>
      </w:pPr>
      <w:r>
        <w:t xml:space="preserve">17.1 Purpose</w:t>
      </w:r>
    </w:p>
    <w:p>
      <w:pPr>
        <w:spacing w:after="80" w:before="80" w:line="300"/>
        <w:jc w:val="both"/>
      </w:pPr>
      <w:r>
        <w:t xml:space="preserve">Lists the approved technologies, with lifecycle status. Part of the Standards Information Base (SIB). Referenced by every Compliance Review.</w:t>
      </w:r>
    </w:p>
    <w:p>
      <w:pPr>
        <w:pStyle w:val="Heading2"/>
        <w:spacing w:after="120" w:before="260"/>
      </w:pPr>
      <w:r>
        <w:t xml:space="preserve">17.2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Standard Entry</w:t>
            </w:r>
          </w:p>
          <w:p>
            <w:pPr>
              <w:spacing w:after="40" w:before="40" w:line="280"/>
            </w:pPr>
            <w:r>
              <w:t xml:space="preserve">Standard ID (e.g., STD-TECH-022)</w:t>
            </w:r>
          </w:p>
          <w:p>
            <w:pPr>
              <w:spacing w:after="40" w:before="40" w:line="280"/>
            </w:pPr>
            <w:r>
              <w:t xml:space="preserve">Category (from TRM)</w:t>
            </w:r>
          </w:p>
          <w:p>
            <w:pPr>
              <w:spacing w:after="40" w:before="40" w:line="280"/>
            </w:pPr>
            <w:r>
              <w:t xml:space="preserve">Product / technology name + version</w:t>
            </w:r>
          </w:p>
          <w:p>
            <w:pPr>
              <w:spacing w:after="40" w:before="40" w:line="280"/>
            </w:pPr>
            <w:r>
              <w:t xml:space="preserve">Vendor</w:t>
            </w:r>
          </w:p>
          <w:p>
            <w:pPr>
              <w:spacing w:after="40" w:before="40" w:line="280"/>
            </w:pPr>
            <w:r>
              <w:t xml:space="preserve">Status (Proposed / Emerging / Approved / Retained / Deprecated / Retired)</w:t>
            </w:r>
          </w:p>
          <w:p>
            <w:pPr>
              <w:spacing w:after="40" w:before="40" w:line="280"/>
            </w:pPr>
            <w:r>
              <w:t xml:space="preserve">Effective from</w:t>
            </w:r>
          </w:p>
          <w:p>
            <w:pPr>
              <w:spacing w:after="40" w:before="40" w:line="280"/>
            </w:pPr>
            <w:r>
              <w:t xml:space="preserve">Next review date</w:t>
            </w:r>
          </w:p>
          <w:p>
            <w:pPr>
              <w:spacing w:after="40" w:before="40" w:line="280"/>
            </w:pPr>
            <w:r>
              <w:t xml:space="preserve">Owner</w:t>
            </w:r>
          </w:p>
          <w:p>
            <w:pPr>
              <w:spacing w:after="40" w:before="40" w:line="280"/>
            </w:pPr>
            <w:r>
              <w:t xml:space="preserve">Rationale — why is this the standard?</w:t>
            </w:r>
          </w:p>
          <w:p>
            <w:pPr>
              <w:spacing w:after="40" w:before="40" w:line="280"/>
            </w:pPr>
            <w:r>
              <w:t xml:space="preserve">Use cases — when to use it</w:t>
            </w:r>
          </w:p>
          <w:p>
            <w:pPr>
              <w:spacing w:after="40" w:before="40" w:line="280"/>
            </w:pPr>
            <w:r>
              <w:t xml:space="preserve">Restrictions — when NOT to use it</w:t>
            </w:r>
          </w:p>
          <w:p>
            <w:pPr>
              <w:spacing w:after="40" w:before="40" w:line="280"/>
            </w:pPr>
            <w:r>
              <w:t xml:space="preserve">Related principles</w:t>
            </w:r>
          </w:p>
        </w:tc>
      </w:tr>
    </w:tbl>
    <w:p>
      <w:pPr>
        <w:pStyle w:val="Heading2"/>
        <w:spacing w:after="120" w:before="260"/>
      </w:pPr>
      <w:r>
        <w:t xml:space="preserve">17.3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2800"/>
        <w:gridCol w:w="15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ID</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Technology</w:t>
            </w:r>
          </w:p>
        </w:tc>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Status</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Use</w:t>
            </w:r>
          </w:p>
        </w:tc>
        <w:tc>
          <w:tcPr>
            <w:tcW w:type="dxa" w:w="1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Review</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STD-TECH-022</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PostgreSQL 16</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Default transactional RDBMS</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2027-Q3</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STD-TECH-023</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Oracle DB 19c</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Retained</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Legacy only; not for new apps</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2026-Q4</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STD-TECH-030</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Apache Kafka (Confluent)</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Event backbone</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2027-Q1</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STD-TECH-040</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Kubernetes (AKS)</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Container orchestration</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2027-Q1</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STD-TECH-055</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Okta</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Workforce + B2C identity</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2027-Q2</w:t>
            </w:r>
          </w:p>
        </w:tc>
      </w:tr>
      <w:tr>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STD-TECH-060</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OpenAPI 3.1</w:t>
            </w:r>
          </w:p>
        </w:tc>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API specifications</w:t>
            </w:r>
          </w:p>
        </w:tc>
        <w:tc>
          <w:tcPr>
            <w:tcW w:type="dxa" w:w="1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2027-Q1</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STD-TECH-075</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Azure Bedrock / OpenAI</w:t>
            </w:r>
          </w:p>
        </w:tc>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Emerging</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Gen-AI workloads (pilot only)</w:t>
            </w:r>
          </w:p>
        </w:tc>
        <w:tc>
          <w:tcPr>
            <w:tcW w:type="dxa" w:w="1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2026-Q4</w:t>
            </w:r>
          </w:p>
        </w:tc>
      </w:tr>
    </w:tbl>
    <w:p>
      <w:pPr>
        <w:pStyle w:val="Heading1"/>
        <w:pageBreakBefore/>
        <w:spacing w:after="180" w:before="360"/>
      </w:pPr>
      <w:r>
        <w:t xml:space="preserve">18. Consolidated Gaps, Solutions &amp; Dependencies Matrix</w:t>
      </w:r>
    </w:p>
    <w:p>
      <w:pPr>
        <w:pStyle w:val="Heading2"/>
        <w:spacing w:after="120" w:before="260"/>
      </w:pPr>
      <w:r>
        <w:t xml:space="preserve">18.1 Purpose</w:t>
      </w:r>
    </w:p>
    <w:p>
      <w:pPr>
        <w:spacing w:after="80" w:before="80" w:line="300"/>
        <w:jc w:val="both"/>
      </w:pPr>
      <w:r>
        <w:t xml:space="preserve">The master Phase E artifact: every gap identified in Phase B, C, D listed with its proposed solution and dependencies on other solutions. The basis for work packages, transition architectures, and the Roadmap.</w:t>
      </w:r>
    </w:p>
    <w:p>
      <w:pPr>
        <w:pStyle w:val="Heading2"/>
        <w:spacing w:after="120" w:before="260"/>
      </w:pPr>
      <w:r>
        <w:t xml:space="preserve">18.2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CGSD Matrix — Entry</w:t>
            </w:r>
          </w:p>
          <w:p>
            <w:pPr>
              <w:spacing w:after="40" w:before="40" w:line="280"/>
            </w:pPr>
            <w:r>
              <w:t xml:space="preserve">Gap ID</w:t>
            </w:r>
          </w:p>
          <w:p>
            <w:pPr>
              <w:spacing w:after="40" w:before="40" w:line="280"/>
            </w:pPr>
            <w:r>
              <w:t xml:space="preserve">Domain (B/D/A/T)</w:t>
            </w:r>
          </w:p>
          <w:p>
            <w:pPr>
              <w:spacing w:after="40" w:before="40" w:line="280"/>
            </w:pPr>
            <w:r>
              <w:t xml:space="preserve">Gap description — what is missing or inadequate</w:t>
            </w:r>
          </w:p>
          <w:p>
            <w:pPr>
              <w:spacing w:after="40" w:before="40" w:line="280"/>
            </w:pPr>
            <w:r>
              <w:t xml:space="preserve">Source (which ADM phase identified it)</w:t>
            </w:r>
          </w:p>
          <w:p>
            <w:pPr>
              <w:spacing w:after="40" w:before="40" w:line="280"/>
            </w:pPr>
            <w:r>
              <w:t xml:space="preserve">Proposed solution</w:t>
            </w:r>
          </w:p>
          <w:p>
            <w:pPr>
              <w:spacing w:after="40" w:before="40" w:line="280"/>
            </w:pPr>
            <w:r>
              <w:t xml:space="preserve">Solution type (ABB/SBB/Process/People)</w:t>
            </w:r>
          </w:p>
          <w:p>
            <w:pPr>
              <w:spacing w:after="40" w:before="40" w:line="280"/>
            </w:pPr>
            <w:r>
              <w:t xml:space="preserve">Work package (where this solution will be delivered)</w:t>
            </w:r>
          </w:p>
          <w:p>
            <w:pPr>
              <w:spacing w:after="40" w:before="40" w:line="280"/>
            </w:pPr>
            <w:r>
              <w:t xml:space="preserve">Dependencies (other gap IDs this depends on)</w:t>
            </w:r>
          </w:p>
          <w:p>
            <w:pPr>
              <w:spacing w:after="40" w:before="40" w:line="280"/>
            </w:pPr>
            <w:r>
              <w:t xml:space="preserve">Priority (H/M/L)</w:t>
            </w:r>
          </w:p>
          <w:p>
            <w:pPr>
              <w:spacing w:after="40" w:before="40" w:line="280"/>
            </w:pPr>
            <w:r>
              <w:t xml:space="preserve">Owner</w:t>
            </w:r>
          </w:p>
        </w:tc>
      </w:tr>
    </w:tbl>
    <w:p>
      <w:pPr>
        <w:pStyle w:val="Heading2"/>
        <w:spacing w:after="120" w:before="260"/>
      </w:pPr>
      <w:r>
        <w:t xml:space="preserve">18.3 Worked Example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600"/>
        <w:gridCol w:w="1400"/>
        <w:gridCol w:w="116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Gap ID</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Gap</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w:t>
            </w:r>
          </w:p>
        </w:tc>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WP</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Depends On</w:t>
            </w:r>
          </w:p>
        </w:tc>
        <w:tc>
          <w:tcPr>
            <w:tcW w:type="dxa" w:w="1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Priority</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GAP-001</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 unified customer payments view</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Build aggregation service via MDM</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WP-3</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1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GAP-002</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SEPA Instant scheme connector</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Build SEPA scheme adapter microservice</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WP-5</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GAP-004</w:t>
            </w:r>
          </w:p>
        </w:tc>
        <w:tc>
          <w:tcPr>
            <w:tcW w:type="dxa" w:w="1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GAP-003</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Fraud model is batch (daily)</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Move to real-time streaming scoring</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WP-6</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GAP-007</w:t>
            </w:r>
          </w:p>
        </w:tc>
        <w:tc>
          <w:tcPr>
            <w:tcW w:type="dxa" w:w="1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GAP-004</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enterprise event backbone in Payments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Deploy Kafka / Confluent platform</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WP-2</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1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GAP-005</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Legacy mainframe payment module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Retire; replace with Payment Gateway v2</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WP-8</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GAP-002, GAP-004</w:t>
            </w:r>
          </w:p>
        </w:tc>
        <w:tc>
          <w:tcPr>
            <w:tcW w:type="dxa" w:w="1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r>
      <w:tr>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GAP-006</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API gateway for partner access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Deploy Apigee X</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WP-4</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1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w:t>
            </w:r>
          </w:p>
        </w:tc>
      </w:tr>
      <w:tr>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GAP-007</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 ML platform</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Deploy Azure ML</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WP-6</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1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r>
    </w:tbl>
    <w:p>
      <w:pPr>
        <w:pStyle w:val="Heading1"/>
        <w:pageBreakBefore/>
        <w:spacing w:after="180" w:before="360"/>
      </w:pPr>
      <w:r>
        <w:t xml:space="preserve">19. Transition Architecture Definition</w:t>
      </w:r>
    </w:p>
    <w:p>
      <w:pPr>
        <w:pStyle w:val="Heading2"/>
        <w:spacing w:after="120" w:before="260"/>
      </w:pPr>
      <w:r>
        <w:t xml:space="preserve">19.1 Purpose</w:t>
      </w:r>
    </w:p>
    <w:p>
      <w:pPr>
        <w:spacing w:after="80" w:before="80" w:line="300"/>
        <w:jc w:val="both"/>
      </w:pPr>
      <w:r>
        <w:t xml:space="preserve">A Transition Architecture describes an interim state between baseline and target, delivering value incrementally. Produced in Phase E. Each transition is a checkpoint — both to deliver value and to reduce risk.</w:t>
      </w:r>
    </w:p>
    <w:p>
      <w:pPr>
        <w:pStyle w:val="Heading2"/>
        <w:spacing w:after="120" w:before="260"/>
      </w:pPr>
      <w:r>
        <w:t xml:space="preserve">19.2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Transition Architecture — Template</w:t>
            </w:r>
          </w:p>
          <w:p>
            <w:pPr>
              <w:spacing w:after="40" w:before="40" w:line="280"/>
            </w:pPr>
            <w:r>
              <w:t xml:space="preserve">1. Transition name and number (e.g., T1, T2, T3)</w:t>
            </w:r>
          </w:p>
          <w:p>
            <w:pPr>
              <w:spacing w:after="40" w:before="40" w:line="280"/>
            </w:pPr>
            <w:r>
              <w:t xml:space="preserve">2. Target date</w:t>
            </w:r>
          </w:p>
          <w:p>
            <w:pPr>
              <w:spacing w:after="40" w:before="40" w:line="280"/>
            </w:pPr>
            <w:r>
              <w:t xml:space="preserve">3. Capabilities at this transition state (with maturity deltas vs. baseline and target)</w:t>
            </w:r>
          </w:p>
          <w:p>
            <w:pPr>
              <w:spacing w:after="40" w:before="40" w:line="280"/>
            </w:pPr>
            <w:r>
              <w:t xml:space="preserve">4. Business view — what the business can do after this transition</w:t>
            </w:r>
          </w:p>
          <w:p>
            <w:pPr>
              <w:spacing w:after="40" w:before="40" w:line="280"/>
            </w:pPr>
            <w:r>
              <w:t xml:space="preserve">5. Data view — what data is managed and flowing</w:t>
            </w:r>
          </w:p>
          <w:p>
            <w:pPr>
              <w:spacing w:after="40" w:before="40" w:line="280"/>
            </w:pPr>
            <w:r>
              <w:t xml:space="preserve">6. Application view — what applications exist / have been retired</w:t>
            </w:r>
          </w:p>
          <w:p>
            <w:pPr>
              <w:spacing w:after="40" w:before="40" w:line="280"/>
            </w:pPr>
            <w:r>
              <w:t xml:space="preserve">7. Technology view — what technology is running</w:t>
            </w:r>
          </w:p>
          <w:p>
            <w:pPr>
              <w:spacing w:after="40" w:before="40" w:line="280"/>
            </w:pPr>
            <w:r>
              <w:t xml:space="preserve">8. Business value realized at this transition</w:t>
            </w:r>
          </w:p>
          <w:p>
            <w:pPr>
              <w:spacing w:after="40" w:before="40" w:line="280"/>
            </w:pPr>
            <w:r>
              <w:t xml:space="preserve">9. Risks reduced / introduced</w:t>
            </w:r>
          </w:p>
          <w:p>
            <w:pPr>
              <w:spacing w:after="40" w:before="40" w:line="280"/>
            </w:pPr>
            <w:r>
              <w:t xml:space="preserve">10. Gates to the next transition</w:t>
            </w:r>
          </w:p>
        </w:tc>
      </w:tr>
    </w:tbl>
    <w:p>
      <w:pPr>
        <w:pStyle w:val="Heading2"/>
        <w:spacing w:after="120" w:before="260"/>
      </w:pPr>
      <w:r>
        <w:t xml:space="preserve">19.3 Worked Example — Horizon Bank Payments: Transition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Transition T1 — SEPA Instant Live (Month 9)</w:t>
            </w:r>
          </w:p>
          <w:p>
            <w:pPr>
              <w:spacing w:after="40" w:before="40" w:line="280"/>
            </w:pPr>
            <w:r>
              <w:t xml:space="preserve">Capabilities:</w:t>
            </w:r>
          </w:p>
          <w:p>
            <w:pPr>
              <w:spacing w:after="40" w:before="40" w:line="280"/>
            </w:pPr>
            <w:r>
              <w:t xml:space="preserve">  — CAP-PAY-003 Scheme Integration: maturity 1 → 3 (SEPA Instant live; UK FPS, FedNow pending).</w:t>
            </w:r>
          </w:p>
          <w:p>
            <w:pPr>
              <w:spacing w:after="40" w:before="40" w:line="280"/>
            </w:pPr>
            <w:r>
              <w:t xml:space="preserve">  — CAP-PAY-002 Payment Execution: maturity 2 → 3.</w:t>
            </w:r>
          </w:p>
          <w:p>
            <w:pPr>
              <w:spacing w:after="40" w:before="40" w:line="280"/>
            </w:pPr>
            <w:r>
              <w:t xml:space="preserve">  — CAP-PAY-005 Fraud Detection: maturity 2 → 3 (pilot streaming model live).</w:t>
            </w:r>
          </w:p>
          <w:p>
            <w:pPr>
              <w:spacing w:after="40" w:before="40" w:line="280"/>
            </w:pPr>
            <w:r>
              <w:t xml:space="preserve">Business: SEPA Instant available to retail + corporate customers in eurozone.</w:t>
            </w:r>
          </w:p>
          <w:p>
            <w:pPr>
              <w:spacing w:after="40" w:before="40" w:line="280"/>
            </w:pPr>
            <w:r>
              <w:t xml:space="preserve">Data: Kafka event backbone deployed; Customer MDM extended with payment attributes.</w:t>
            </w:r>
          </w:p>
          <w:p>
            <w:pPr>
              <w:spacing w:after="40" w:before="40" w:line="280"/>
            </w:pPr>
            <w:r>
              <w:t xml:space="preserve">Applications: Payment Gateway v2 live alongside legacy; SEPA adapter microservice in production.</w:t>
            </w:r>
          </w:p>
          <w:p>
            <w:pPr>
              <w:spacing w:after="40" w:before="40" w:line="280"/>
            </w:pPr>
            <w:r>
              <w:t xml:space="preserve">Technology: AKS cluster live in West Europe; Kafka cluster live; Azure ML pilot environment.</w:t>
            </w:r>
          </w:p>
          <w:p>
            <w:pPr>
              <w:spacing w:after="40" w:before="40" w:line="280"/>
            </w:pPr>
            <w:r>
              <w:t xml:space="preserve">Business value: ~7% of total payment volume on new platform; £4M annualized uplift.</w:t>
            </w:r>
          </w:p>
          <w:p>
            <w:pPr>
              <w:spacing w:after="40" w:before="40" w:line="280"/>
            </w:pPr>
            <w:r>
              <w:t xml:space="preserve">Risks reduced: instant-payment regulatory risk partially mitigated; platform proven.</w:t>
            </w:r>
          </w:p>
          <w:p>
            <w:pPr>
              <w:spacing w:after="40" w:before="40" w:line="280"/>
            </w:pPr>
            <w:r>
              <w:t xml:space="preserve">Gates to T2: T1 stable 30 days; volume &gt;5%; no P1 incidents; CFO Risk sign-off.</w:t>
            </w:r>
          </w:p>
        </w:tc>
      </w:tr>
    </w:tbl>
    <w:p>
      <w:pPr>
        <w:pStyle w:val="Heading1"/>
        <w:pageBreakBefore/>
        <w:spacing w:after="180" w:before="360"/>
      </w:pPr>
      <w:r>
        <w:t xml:space="preserve">20. Architecture Roadmap</w:t>
      </w:r>
    </w:p>
    <w:p>
      <w:pPr>
        <w:pStyle w:val="Heading2"/>
        <w:spacing w:after="120" w:before="260"/>
      </w:pPr>
      <w:r>
        <w:t xml:space="preserve">20.1 Purpose</w:t>
      </w:r>
    </w:p>
    <w:p>
      <w:pPr>
        <w:spacing w:after="80" w:before="80" w:line="300"/>
        <w:jc w:val="both"/>
      </w:pPr>
      <w:r>
        <w:t xml:space="preserve">Time-phased sequence of work packages and transitions delivering the target architecture. Produced in Phase E; finalized in Phase F. The single most-communicated EA artifact to stakeholders.</w:t>
      </w:r>
    </w:p>
    <w:p>
      <w:pPr>
        <w:pStyle w:val="Heading2"/>
        <w:spacing w:after="120" w:before="260"/>
      </w:pPr>
      <w:r>
        <w:t xml:space="preserve">20.2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 Roadmap — Template</w:t>
            </w:r>
          </w:p>
          <w:p>
            <w:pPr>
              <w:spacing w:after="40" w:before="40" w:line="280"/>
            </w:pPr>
            <w:r>
              <w:t xml:space="preserve">1. Roadmap title + version + date</w:t>
            </w:r>
          </w:p>
          <w:p>
            <w:pPr>
              <w:spacing w:after="40" w:before="40" w:line="280"/>
            </w:pPr>
            <w:r>
              <w:t xml:space="preserve">2. Horizon (typically 1–3 years)</w:t>
            </w:r>
          </w:p>
          <w:p>
            <w:pPr>
              <w:spacing w:after="40" w:before="40" w:line="280"/>
            </w:pPr>
            <w:r>
              <w:t xml:space="preserve">3. Swim-lanes (typically by capability, by business unit, or by domain)</w:t>
            </w:r>
          </w:p>
          <w:p>
            <w:pPr>
              <w:spacing w:after="40" w:before="40" w:line="280"/>
            </w:pPr>
            <w:r>
              <w:t xml:space="preserve">4. Work packages (sized and sequenced)</w:t>
            </w:r>
          </w:p>
          <w:p>
            <w:pPr>
              <w:spacing w:after="40" w:before="40" w:line="280"/>
            </w:pPr>
            <w:r>
              <w:t xml:space="preserve">5. Transitions marked on the timeline (T1, T2, T3...)</w:t>
            </w:r>
          </w:p>
          <w:p>
            <w:pPr>
              <w:spacing w:after="40" w:before="40" w:line="280"/>
            </w:pPr>
            <w:r>
              <w:t xml:space="preserve">6. Dependencies between work packages</w:t>
            </w:r>
          </w:p>
          <w:p>
            <w:pPr>
              <w:spacing w:after="40" w:before="40" w:line="280"/>
            </w:pPr>
            <w:r>
              <w:t xml:space="preserve">7. Key milestones (regulatory, business, architecture)</w:t>
            </w:r>
          </w:p>
          <w:p>
            <w:pPr>
              <w:spacing w:after="40" w:before="40" w:line="280"/>
            </w:pPr>
            <w:r>
              <w:t xml:space="preserve">8. Resource / investment profile</w:t>
            </w:r>
          </w:p>
          <w:p>
            <w:pPr>
              <w:spacing w:after="40" w:before="40" w:line="280"/>
            </w:pPr>
            <w:r>
              <w:t xml:space="preserve">9. Risks and assumptions</w:t>
            </w:r>
          </w:p>
        </w:tc>
      </w:tr>
    </w:tbl>
    <w:p>
      <w:pPr>
        <w:pStyle w:val="Heading2"/>
        <w:spacing w:after="120" w:before="260"/>
      </w:pPr>
      <w:r>
        <w:t xml:space="preserve">20.3 Worked Example — Horizon Bank Payments Roadmap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600"/>
        <w:gridCol w:w="29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Work Package</w:t>
            </w:r>
          </w:p>
        </w:tc>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Start</w:t>
            </w:r>
          </w:p>
        </w:tc>
        <w:tc>
          <w:tcPr>
            <w:tcW w:type="dxa" w:w="1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End</w:t>
            </w:r>
          </w:p>
        </w:tc>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Transition</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Owner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WP-1: Cloud Landing Zone (Azure)</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M1</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M3</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pre-T1</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Platform team</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WP-2: Event Backbone (Kafka)</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M2</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M6</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T1</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Platform team</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WP-3: Customer MDM extension</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M3</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M8</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T1</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team</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WP-4: API Gateway (Apigee X)</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M4</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M7</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T1</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Integration team</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WP-5: SEPA Instant Connector</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M5</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M9</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T1</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Payments team</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WP-6: Fraud ML Platform</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M6</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M12</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T1→T2</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Fraud + Data Science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WP-7: Payment Gateway v2 core</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M4</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M14</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T2</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Payments team</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WP-8: UK FPS + Legacy Retirement</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M10</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M18</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T2</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Payments team</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WP-9: FedNow Connector</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M18</w:t>
            </w:r>
          </w:p>
        </w:tc>
        <w:tc>
          <w:tcPr>
            <w:tcW w:type="dxa" w:w="1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M24</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T3</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Payments team</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WP-10: Mainframe Decommission</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M20</w:t>
            </w:r>
          </w:p>
        </w:tc>
        <w:tc>
          <w:tcPr>
            <w:tcW w:type="dxa" w:w="1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M30</w:t>
            </w:r>
          </w:p>
        </w:tc>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T3</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Platform team</w:t>
            </w:r>
          </w:p>
        </w:tc>
      </w:tr>
    </w:tbl>
    <w:p>
      <w:pPr>
        <w:pStyle w:val="Heading1"/>
        <w:pageBreakBefore/>
        <w:spacing w:after="180" w:before="360"/>
      </w:pPr>
      <w:r>
        <w:t xml:space="preserve">21. Architecture Decision Record (ADR)</w:t>
      </w:r>
    </w:p>
    <w:p>
      <w:pPr>
        <w:pStyle w:val="Heading2"/>
        <w:spacing w:after="120" w:before="260"/>
      </w:pPr>
      <w:r>
        <w:t xml:space="preserve">21.1 Purpose</w:t>
      </w:r>
    </w:p>
    <w:p>
      <w:pPr>
        <w:spacing w:after="80" w:before="80" w:line="300"/>
        <w:jc w:val="both"/>
      </w:pPr>
      <w:r>
        <w:t xml:space="preserve">Captures a single significant architectural decision, its context, alternatives, and consequences. The Nygard template is the de facto standard. ADRs are immutable once accepted and live close to the code they govern.</w:t>
      </w:r>
    </w:p>
    <w:p>
      <w:pPr>
        <w:pStyle w:val="Heading2"/>
        <w:spacing w:after="120" w:before="260"/>
      </w:pPr>
      <w:r>
        <w:t xml:space="preserve">21.2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ADR — Nygard Template</w:t>
            </w:r>
          </w:p>
          <w:p>
            <w:pPr>
              <w:spacing w:after="40" w:before="40" w:line="280"/>
            </w:pPr>
            <w:r>
              <w:t xml:space="preserve"># ADR-NNNN — &lt;Decision Title&gt;</w:t>
            </w:r>
          </w:p>
          <w:p>
            <w:pPr>
              <w:spacing w:after="40" w:before="40" w:line="280"/>
            </w:pPr>
            <w:r>
              <w:t xml:space="preserve"/>
            </w:r>
          </w:p>
          <w:p>
            <w:pPr>
              <w:spacing w:after="40" w:before="40" w:line="280"/>
            </w:pPr>
            <w:r>
              <w:t xml:space="preserve">Status: Proposed | Accepted | Deprecated | Superseded by ADR-NNNN</w:t>
            </w:r>
          </w:p>
          <w:p>
            <w:pPr>
              <w:spacing w:after="40" w:before="40" w:line="280"/>
            </w:pPr>
            <w:r>
              <w:t xml:space="preserve">Date: YYYY-MM-DD</w:t>
            </w:r>
          </w:p>
          <w:p>
            <w:pPr>
              <w:spacing w:after="40" w:before="40" w:line="280"/>
            </w:pPr>
            <w:r>
              <w:t xml:space="preserve">Deciders: &lt;names&gt;</w:t>
            </w:r>
          </w:p>
          <w:p>
            <w:pPr>
              <w:spacing w:after="40" w:before="40" w:line="280"/>
            </w:pPr>
            <w:r>
              <w:t xml:space="preserve"/>
            </w:r>
          </w:p>
          <w:p>
            <w:pPr>
              <w:spacing w:after="40" w:before="40" w:line="280"/>
            </w:pPr>
            <w:r>
              <w:t xml:space="preserve">## Context</w:t>
            </w:r>
          </w:p>
          <w:p>
            <w:pPr>
              <w:spacing w:after="40" w:before="40" w:line="280"/>
            </w:pPr>
            <w:r>
              <w:t xml:space="preserve">What is the issue? Describe the forces at play — business, technical, organizational — creating the need for this decision. Factual, not opinionated.</w:t>
            </w:r>
          </w:p>
          <w:p>
            <w:pPr>
              <w:spacing w:after="40" w:before="40" w:line="280"/>
            </w:pPr>
            <w:r>
              <w:t xml:space="preserve"/>
            </w:r>
          </w:p>
          <w:p>
            <w:pPr>
              <w:spacing w:after="40" w:before="40" w:line="280"/>
            </w:pPr>
            <w:r>
              <w:t xml:space="preserve">## Decision</w:t>
            </w:r>
          </w:p>
          <w:p>
            <w:pPr>
              <w:spacing w:after="40" w:before="40" w:line="280"/>
            </w:pPr>
            <w:r>
              <w:t xml:space="preserve">"We will..." — state the decision in the present tense.</w:t>
            </w:r>
          </w:p>
          <w:p>
            <w:pPr>
              <w:spacing w:after="40" w:before="40" w:line="280"/>
            </w:pPr>
            <w:r>
              <w:t xml:space="preserve"/>
            </w:r>
          </w:p>
          <w:p>
            <w:pPr>
              <w:spacing w:after="40" w:before="40" w:line="280"/>
            </w:pPr>
            <w:r>
              <w:t xml:space="preserve">## Alternatives Considered</w:t>
            </w:r>
          </w:p>
          <w:p>
            <w:pPr>
              <w:spacing w:after="40" w:before="40" w:line="280"/>
            </w:pPr>
            <w:r>
              <w:t xml:space="preserve">What options were weighed? Why were they rejected? Include the non-obvious alternatives.</w:t>
            </w:r>
          </w:p>
          <w:p>
            <w:pPr>
              <w:spacing w:after="40" w:before="40" w:line="280"/>
            </w:pPr>
            <w:r>
              <w:t xml:space="preserve"/>
            </w:r>
          </w:p>
          <w:p>
            <w:pPr>
              <w:spacing w:after="40" w:before="40" w:line="280"/>
            </w:pPr>
            <w:r>
              <w:t xml:space="preserve">## Consequences</w:t>
            </w:r>
          </w:p>
          <w:p>
            <w:pPr>
              <w:spacing w:after="40" w:before="40" w:line="280"/>
            </w:pPr>
            <w:r>
              <w:t xml:space="preserve">What becomes easier and what becomes harder? Describe positive, negative, and neutral consequences. Be honest about trade-offs.</w:t>
            </w:r>
          </w:p>
          <w:p>
            <w:pPr>
              <w:spacing w:after="40" w:before="40" w:line="280"/>
            </w:pPr>
            <w:r>
              <w:t xml:space="preserve"/>
            </w:r>
          </w:p>
          <w:p>
            <w:pPr>
              <w:spacing w:after="40" w:before="40" w:line="280"/>
            </w:pPr>
            <w:r>
              <w:t xml:space="preserve">## Compliance / Links</w:t>
            </w:r>
          </w:p>
          <w:p>
            <w:pPr>
              <w:spacing w:after="40" w:before="40" w:line="280"/>
            </w:pPr>
            <w:r>
              <w:t xml:space="preserve">Related principles (PRIN-*), standards (STD-*), dispensations (DISP-*), related ADRs.</w:t>
            </w:r>
          </w:p>
        </w:tc>
      </w:tr>
    </w:tbl>
    <w:p>
      <w:pPr>
        <w:pStyle w:val="Heading2"/>
        <w:spacing w:after="120" w:before="260"/>
      </w:pPr>
      <w:r>
        <w:t xml:space="preserve">21.3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ADR-0024 — Event-Driven Communication for Inter-Service Messaging</w:t>
            </w:r>
          </w:p>
          <w:p>
            <w:pPr>
              <w:spacing w:after="40" w:before="40" w:line="280"/>
            </w:pPr>
            <w:r>
              <w:t xml:space="preserve">Status: Accepted</w:t>
            </w:r>
          </w:p>
          <w:p>
            <w:pPr>
              <w:spacing w:after="40" w:before="40" w:line="280"/>
            </w:pPr>
            <w:r>
              <w:t xml:space="preserve">Date: 2026-02-14</w:t>
            </w:r>
          </w:p>
          <w:p>
            <w:pPr>
              <w:spacing w:after="40" w:before="40" w:line="280"/>
            </w:pPr>
            <w:r>
              <w:t xml:space="preserve">Deciders: Lead Architect (Payments), Platform Architect, CISO delegate</w:t>
            </w:r>
          </w:p>
          <w:p>
            <w:pPr>
              <w:spacing w:after="40" w:before="40" w:line="280"/>
            </w:pPr>
            <w:r>
              <w:t xml:space="preserve"/>
            </w:r>
          </w:p>
          <w:p>
            <w:pPr>
              <w:spacing w:after="40" w:before="40" w:line="280"/>
            </w:pPr>
            <w:r>
              <w:t xml:space="preserve">## Context</w:t>
            </w:r>
          </w:p>
          <w:p>
            <w:pPr>
              <w:spacing w:after="40" w:before="40" w:line="280"/>
            </w:pPr>
            <w:r>
              <w:t xml:space="preserve">Payment Gateway v2 will integrate with Fraud ML, Customer MDM, Analytics, and Notifications. REST-only coupling creates cascading failures and scaling bottlenecks. PRIN-APP-007 (Loosely Coupled) applies. Kafka is the approved enterprise event backbone (STD-TECH-030).</w:t>
            </w:r>
          </w:p>
          <w:p>
            <w:pPr>
              <w:spacing w:after="40" w:before="40" w:line="280"/>
            </w:pPr>
            <w:r>
              <w:t xml:space="preserve"/>
            </w:r>
          </w:p>
          <w:p>
            <w:pPr>
              <w:spacing w:after="40" w:before="40" w:line="280"/>
            </w:pPr>
            <w:r>
              <w:t xml:space="preserve">## Decision</w:t>
            </w:r>
          </w:p>
          <w:p>
            <w:pPr>
              <w:spacing w:after="40" w:before="40" w:line="280"/>
            </w:pPr>
            <w:r>
              <w:t xml:space="preserve">We will use Kafka for asynchronous inter-service communication for all non-blocking operations in the Payments domain. Synchronous REST is retained only where a blocking response is needed by the caller (e.g., Payment Initiation API).</w:t>
            </w:r>
          </w:p>
          <w:p>
            <w:pPr>
              <w:spacing w:after="40" w:before="40" w:line="280"/>
            </w:pPr>
            <w:r>
              <w:t xml:space="preserve"/>
            </w:r>
          </w:p>
          <w:p>
            <w:pPr>
              <w:spacing w:after="40" w:before="40" w:line="280"/>
            </w:pPr>
            <w:r>
              <w:t xml:space="preserve">## Alternatives Considered</w:t>
            </w:r>
          </w:p>
          <w:p>
            <w:pPr>
              <w:spacing w:after="40" w:before="40" w:line="280"/>
            </w:pPr>
            <w:r>
              <w:t xml:space="preserve">— Stay with REST: rejected — does not solve coupling or cascading failures.</w:t>
            </w:r>
          </w:p>
          <w:p>
            <w:pPr>
              <w:spacing w:after="40" w:before="40" w:line="280"/>
            </w:pPr>
            <w:r>
              <w:t xml:space="preserve">— RabbitMQ: rejected — not on enterprise standards; duplicates Kafka capability.</w:t>
            </w:r>
          </w:p>
          <w:p>
            <w:pPr>
              <w:spacing w:after="40" w:before="40" w:line="280"/>
            </w:pPr>
            <w:r>
              <w:t xml:space="preserve">— Azure Service Bus: rejected — inconsistent with existing Kafka-first strategy.</w:t>
            </w:r>
          </w:p>
          <w:p>
            <w:pPr>
              <w:spacing w:after="40" w:before="40" w:line="280"/>
            </w:pPr>
            <w:r>
              <w:t xml:space="preserve"/>
            </w:r>
          </w:p>
          <w:p>
            <w:pPr>
              <w:spacing w:after="40" w:before="40" w:line="280"/>
            </w:pPr>
            <w:r>
              <w:t xml:space="preserve">## Consequences</w:t>
            </w:r>
          </w:p>
          <w:p>
            <w:pPr>
              <w:spacing w:after="40" w:before="40" w:line="280"/>
            </w:pPr>
            <w:r>
              <w:t xml:space="preserve">Positive: reduced coupling, higher resilience, clearer event history, easier analytics.</w:t>
            </w:r>
          </w:p>
          <w:p>
            <w:pPr>
              <w:spacing w:after="40" w:before="40" w:line="280"/>
            </w:pPr>
            <w:r>
              <w:t xml:space="preserve">Negative: eventual consistency adds debugging complexity; schema registry required; ordering guarantees must be explicit.</w:t>
            </w:r>
          </w:p>
          <w:p>
            <w:pPr>
              <w:spacing w:after="40" w:before="40" w:line="280"/>
            </w:pPr>
            <w:r>
              <w:t xml:space="preserve">Neutral: developer training needed on Kafka patterns.</w:t>
            </w:r>
          </w:p>
          <w:p>
            <w:pPr>
              <w:spacing w:after="40" w:before="40" w:line="280"/>
            </w:pPr>
            <w:r>
              <w:t xml:space="preserve"/>
            </w:r>
          </w:p>
          <w:p>
            <w:pPr>
              <w:spacing w:after="40" w:before="40" w:line="280"/>
            </w:pPr>
            <w:r>
              <w:t xml:space="preserve">## Compliance / Links</w:t>
            </w:r>
          </w:p>
          <w:p>
            <w:pPr>
              <w:spacing w:after="40" w:before="40" w:line="280"/>
            </w:pPr>
            <w:r>
              <w:t xml:space="preserve">PRIN-APP-007; STD-TECH-030; STD-APP-017 (Events); supersedes ADR-0011.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MISTAKES</w:t>
            </w:r>
          </w:p>
          <w:p>
            <w:pPr>
              <w:spacing w:after="40" w:before="40" w:line="280"/>
            </w:pPr>
            <w:r>
              <w:t xml:space="preserve">Never edit an Accepted ADR. Always supersede with a new ADR that references the old one. Editing destroys history and undermines trust.</w:t>
            </w:r>
          </w:p>
          <w:p>
            <w:pPr>
              <w:spacing w:after="40" w:before="40" w:line="280"/>
            </w:pPr>
            <w:r>
              <w:t xml:space="preserve">Don't write ADRs for trivial decisions. If it's reversible in 30 minutes, it's not an ADR.</w:t>
            </w:r>
          </w:p>
        </w:tc>
      </w:tr>
    </w:tbl>
    <w:p>
      <w:pPr>
        <w:pStyle w:val="Heading1"/>
        <w:pageBreakBefore/>
        <w:spacing w:after="180" w:before="360"/>
      </w:pPr>
      <w:r>
        <w:t xml:space="preserve">22. Compliance Review Report</w:t>
      </w:r>
    </w:p>
    <w:p>
      <w:pPr>
        <w:pStyle w:val="Heading2"/>
        <w:spacing w:after="120" w:before="260"/>
      </w:pPr>
      <w:r>
        <w:t xml:space="preserve">22.1 Purpose</w:t>
      </w:r>
    </w:p>
    <w:p>
      <w:pPr>
        <w:spacing w:after="80" w:before="80" w:line="300"/>
        <w:jc w:val="both"/>
      </w:pPr>
      <w:r>
        <w:t xml:space="preserve">Records a formal assessment of a project or design against the approved architecture. Produced in Phase G at each stage gate. The output classifies the project on the six TOGAF compliance levels.</w:t>
      </w:r>
    </w:p>
    <w:p>
      <w:pPr>
        <w:pStyle w:val="Heading2"/>
        <w:spacing w:after="120" w:before="260"/>
      </w:pPr>
      <w:r>
        <w:t xml:space="preserve">22.2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Compliance Review Report — Template</w:t>
            </w:r>
          </w:p>
          <w:p>
            <w:pPr>
              <w:spacing w:after="40" w:before="40" w:line="280"/>
            </w:pPr>
            <w:r>
              <w:t xml:space="preserve">1. Report ID (e.g., CR-2026-047)</w:t>
            </w:r>
          </w:p>
          <w:p>
            <w:pPr>
              <w:spacing w:after="40" w:before="40" w:line="280"/>
            </w:pPr>
            <w:r>
              <w:t xml:space="preserve">2. Project / design being reviewed</w:t>
            </w:r>
          </w:p>
          <w:p>
            <w:pPr>
              <w:spacing w:after="40" w:before="40" w:line="280"/>
            </w:pPr>
            <w:r>
              <w:t xml:space="preserve">3. Review date</w:t>
            </w:r>
          </w:p>
          <w:p>
            <w:pPr>
              <w:spacing w:after="40" w:before="40" w:line="280"/>
            </w:pPr>
            <w:r>
              <w:t xml:space="preserve">4. Review team</w:t>
            </w:r>
          </w:p>
          <w:p>
            <w:pPr>
              <w:spacing w:after="40" w:before="40" w:line="280"/>
            </w:pPr>
            <w:r>
              <w:t xml:space="preserve">5. Scope of review (which aspects)</w:t>
            </w:r>
          </w:p>
          <w:p>
            <w:pPr>
              <w:spacing w:after="40" w:before="40" w:line="280"/>
            </w:pPr>
            <w:r>
              <w:t xml:space="preserve">6. Evidence examined (documents, interviews, demos, artifacts)</w:t>
            </w:r>
          </w:p>
          <w:p>
            <w:pPr>
              <w:spacing w:after="40" w:before="40" w:line="280"/>
            </w:pPr>
            <w:r>
              <w:t xml:space="preserve">7. Findings (one per compliance area):</w:t>
            </w:r>
          </w:p>
          <w:p>
            <w:pPr>
              <w:spacing w:after="40" w:before="40" w:line="280"/>
            </w:pPr>
            <w:r>
              <w:t xml:space="preserve">   — Area (e.g., API design, data classification, deployment topology)</w:t>
            </w:r>
          </w:p>
          <w:p>
            <w:pPr>
              <w:spacing w:after="40" w:before="40" w:line="280"/>
            </w:pPr>
            <w:r>
              <w:t xml:space="preserve">   — Classification (Irrelevant / Consistent / Compliant / Conformant / Fully Conformant / Non-conformant)</w:t>
            </w:r>
          </w:p>
          <w:p>
            <w:pPr>
              <w:spacing w:after="40" w:before="40" w:line="280"/>
            </w:pPr>
            <w:r>
              <w:t xml:space="preserve">   — Evidence and reasoning</w:t>
            </w:r>
          </w:p>
          <w:p>
            <w:pPr>
              <w:spacing w:after="40" w:before="40" w:line="280"/>
            </w:pPr>
            <w:r>
              <w:t xml:space="preserve">   — Remediation if applicable</w:t>
            </w:r>
          </w:p>
          <w:p>
            <w:pPr>
              <w:spacing w:after="40" w:before="40" w:line="280"/>
            </w:pPr>
            <w:r>
              <w:t xml:space="preserve">8. Overall classification</w:t>
            </w:r>
          </w:p>
          <w:p>
            <w:pPr>
              <w:spacing w:after="40" w:before="40" w:line="280"/>
            </w:pPr>
            <w:r>
              <w:t xml:space="preserve">9. Decision (Approved / Approved with Conditions / Rejected)</w:t>
            </w:r>
          </w:p>
          <w:p>
            <w:pPr>
              <w:spacing w:after="40" w:before="40" w:line="280"/>
            </w:pPr>
            <w:r>
              <w:t xml:space="preserve">10. Action items with owners and dates</w:t>
            </w:r>
          </w:p>
          <w:p>
            <w:pPr>
              <w:spacing w:after="40" w:before="40" w:line="280"/>
            </w:pPr>
            <w:r>
              <w:t xml:space="preserve">11. Dispensations granted (if any)</w:t>
            </w:r>
          </w:p>
          <w:p>
            <w:pPr>
              <w:spacing w:after="40" w:before="40" w:line="280"/>
            </w:pPr>
            <w:r>
              <w:t xml:space="preserve">12. Signatures / next review date</w:t>
            </w:r>
          </w:p>
        </w:tc>
      </w:tr>
    </w:tbl>
    <w:p>
      <w:pPr>
        <w:pStyle w:val="Heading2"/>
        <w:spacing w:after="120" w:before="260"/>
      </w:pPr>
      <w:r>
        <w:t xml:space="preserve">22.3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CR-2026-047 — Payment Gateway v2 Design Review</w:t>
            </w:r>
          </w:p>
          <w:p>
            <w:pPr>
              <w:spacing w:after="40" w:before="40" w:line="280"/>
            </w:pPr>
            <w:r>
              <w:t xml:space="preserve">Project: Payment Gateway v2 (WP-7)</w:t>
            </w:r>
          </w:p>
          <w:p>
            <w:pPr>
              <w:spacing w:after="40" w:before="40" w:line="280"/>
            </w:pPr>
            <w:r>
              <w:t xml:space="preserve">Date: 2026-04-12</w:t>
            </w:r>
          </w:p>
          <w:p>
            <w:pPr>
              <w:spacing w:after="40" w:before="40" w:line="280"/>
            </w:pPr>
            <w:r>
              <w:t xml:space="preserve">Review team: Chief Architect (chair), Data Architect, Security Architect, Applications Architect</w:t>
            </w:r>
          </w:p>
          <w:p>
            <w:pPr>
              <w:spacing w:after="40" w:before="40" w:line="280"/>
            </w:pPr>
            <w:r>
              <w:t xml:space="preserve">Scope: API design, data model, deployment topology, security model, monitoring</w:t>
            </w:r>
          </w:p>
          <w:p>
            <w:pPr>
              <w:spacing w:after="40" w:before="40" w:line="280"/>
            </w:pPr>
            <w:r>
              <w:t xml:space="preserve">Evidence: API specs (OpenAPI 3.1), data model, deployment diagrams, threat model, SBOM</w:t>
            </w:r>
          </w:p>
          <w:p>
            <w:pPr>
              <w:spacing w:after="40" w:before="40" w:line="280"/>
            </w:pPr>
            <w:r>
              <w:t xml:space="preserve"/>
            </w:r>
          </w:p>
          <w:p>
            <w:pPr>
              <w:spacing w:after="40" w:before="40" w:line="280"/>
            </w:pPr>
            <w:r>
              <w:t xml:space="preserve">Findings:</w:t>
            </w:r>
          </w:p>
          <w:p>
            <w:pPr>
              <w:spacing w:after="40" w:before="40" w:line="280"/>
            </w:pPr>
            <w:r>
              <w:t xml:space="preserve">— API design: Compliant (uses Apigee X gateway, OAuth2, rate limiting, versioning per STD-APP-003).</w:t>
            </w:r>
          </w:p>
          <w:p>
            <w:pPr>
              <w:spacing w:after="40" w:before="40" w:line="280"/>
            </w:pPr>
            <w:r>
              <w:t xml:space="preserve">— Data model: Non-conformant — introduces a local Customer entity instead of using Customer MDM (violates PRIN-DATA-001 and STD-DATA-012).</w:t>
            </w:r>
          </w:p>
          <w:p>
            <w:pPr>
              <w:spacing w:after="40" w:before="40" w:line="280"/>
            </w:pPr>
            <w:r>
              <w:t xml:space="preserve">— Deployment: Conformant (AKS, standard tagging, approved region).</w:t>
            </w:r>
          </w:p>
          <w:p>
            <w:pPr>
              <w:spacing w:after="40" w:before="40" w:line="280"/>
            </w:pPr>
            <w:r>
              <w:t xml:space="preserve">— Security: Compliant (meets baseline; missing automated SBOM generation).</w:t>
            </w:r>
          </w:p>
          <w:p>
            <w:pPr>
              <w:spacing w:after="40" w:before="40" w:line="280"/>
            </w:pPr>
            <w:r>
              <w:t xml:space="preserve">— Monitoring: Compliant (Datadog + App Insights).</w:t>
            </w:r>
          </w:p>
          <w:p>
            <w:pPr>
              <w:spacing w:after="40" w:before="40" w:line="280"/>
            </w:pPr>
            <w:r>
              <w:t xml:space="preserve"/>
            </w:r>
          </w:p>
          <w:p>
            <w:pPr>
              <w:spacing w:after="40" w:before="40" w:line="280"/>
            </w:pPr>
            <w:r>
              <w:t xml:space="preserve">Overall: Approved with Conditions.</w:t>
            </w:r>
          </w:p>
          <w:p>
            <w:pPr>
              <w:spacing w:after="40" w:before="40" w:line="280"/>
            </w:pPr>
            <w:r>
              <w:t xml:space="preserve">Conditions:</w:t>
            </w:r>
          </w:p>
          <w:p>
            <w:pPr>
              <w:spacing w:after="40" w:before="40" w:line="280"/>
            </w:pPr>
            <w:r>
              <w:t xml:space="preserve">  — Integrate with Customer MDM within 60 days (remove local Customer entity).</w:t>
            </w:r>
          </w:p>
          <w:p>
            <w:pPr>
              <w:spacing w:after="40" w:before="40" w:line="280"/>
            </w:pPr>
            <w:r>
              <w:t xml:space="preserve">  — Implement SBOM generation in CI before GA.</w:t>
            </w:r>
          </w:p>
          <w:p>
            <w:pPr>
              <w:spacing w:after="40" w:before="40" w:line="280"/>
            </w:pPr>
            <w:r>
              <w:t xml:space="preserve">Decision: Approved with Conditions.</w:t>
            </w:r>
          </w:p>
          <w:p>
            <w:pPr>
              <w:spacing w:after="40" w:before="40" w:line="280"/>
            </w:pPr>
            <w:r>
              <w:t xml:space="preserve">Action items:</w:t>
            </w:r>
          </w:p>
          <w:p>
            <w:pPr>
              <w:spacing w:after="40" w:before="40" w:line="280"/>
            </w:pPr>
            <w:r>
              <w:t xml:space="preserve">  — A1: Team Lead to deliver MDM integration plan by 2026-04-19 (10 days).</w:t>
            </w:r>
          </w:p>
          <w:p>
            <w:pPr>
              <w:spacing w:after="40" w:before="40" w:line="280"/>
            </w:pPr>
            <w:r>
              <w:t xml:space="preserve">  — A2: DevOps Lead to deliver SBOM pipeline by 2026-05-15 (33 days).</w:t>
            </w:r>
          </w:p>
          <w:p>
            <w:pPr>
              <w:spacing w:after="40" w:before="40" w:line="280"/>
            </w:pPr>
            <w:r>
              <w:t xml:space="preserve">Dispensations: none granted.</w:t>
            </w:r>
          </w:p>
          <w:p>
            <w:pPr>
              <w:spacing w:after="40" w:before="40" w:line="280"/>
            </w:pPr>
            <w:r>
              <w:t xml:space="preserve">Next review: 2026-06-15 (GA gate).</w:t>
            </w:r>
          </w:p>
        </w:tc>
      </w:tr>
    </w:tbl>
    <w:p>
      <w:pPr>
        <w:pStyle w:val="Heading1"/>
        <w:pageBreakBefore/>
        <w:spacing w:after="180" w:before="360"/>
      </w:pPr>
      <w:r>
        <w:t xml:space="preserve">23. Dispensation Record</w:t>
      </w:r>
    </w:p>
    <w:p>
      <w:pPr>
        <w:pStyle w:val="Heading2"/>
        <w:spacing w:after="120" w:before="260"/>
      </w:pPr>
      <w:r>
        <w:t xml:space="preserve">23.1 Purpose</w:t>
      </w:r>
    </w:p>
    <w:p>
      <w:pPr>
        <w:spacing w:after="80" w:before="80" w:line="300"/>
        <w:jc w:val="both"/>
      </w:pPr>
      <w:r>
        <w:t xml:space="preserve">Formal, time-bound permission to deviate from a principle, standard, or reference architecture. Issued by the Architecture Board. Always has an expiry date and a remediation plan.</w:t>
      </w:r>
    </w:p>
    <w:p>
      <w:pPr>
        <w:pStyle w:val="Heading2"/>
        <w:spacing w:after="120" w:before="260"/>
      </w:pPr>
      <w:r>
        <w:t xml:space="preserve">23.2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Dispensation Record — Template</w:t>
            </w:r>
          </w:p>
          <w:p>
            <w:pPr>
              <w:spacing w:after="40" w:before="40" w:line="280"/>
            </w:pPr>
            <w:r>
              <w:t xml:space="preserve">1. Dispensation ID</w:t>
            </w:r>
          </w:p>
          <w:p>
            <w:pPr>
              <w:spacing w:after="40" w:before="40" w:line="280"/>
            </w:pPr>
            <w:r>
              <w:t xml:space="preserve">2. Requestor (programme / team / sponsor)</w:t>
            </w:r>
          </w:p>
          <w:p>
            <w:pPr>
              <w:spacing w:after="40" w:before="40" w:line="280"/>
            </w:pPr>
            <w:r>
              <w:t xml:space="preserve">3. Date of request</w:t>
            </w:r>
          </w:p>
          <w:p>
            <w:pPr>
              <w:spacing w:after="40" w:before="40" w:line="280"/>
            </w:pPr>
            <w:r>
              <w:t xml:space="preserve">4. Deviation — which principle or standard is being deviated from</w:t>
            </w:r>
          </w:p>
          <w:p>
            <w:pPr>
              <w:spacing w:after="40" w:before="40" w:line="280"/>
            </w:pPr>
            <w:r>
              <w:t xml:space="preserve">5. Description of deviation — what exactly is being done differently</w:t>
            </w:r>
          </w:p>
          <w:p>
            <w:pPr>
              <w:spacing w:after="40" w:before="40" w:line="280"/>
            </w:pPr>
            <w:r>
              <w:t xml:space="preserve">6. Rationale — why the deviation is needed</w:t>
            </w:r>
          </w:p>
          <w:p>
            <w:pPr>
              <w:spacing w:after="40" w:before="40" w:line="280"/>
            </w:pPr>
            <w:r>
              <w:t xml:space="preserve">7. Alternatives considered and rejected</w:t>
            </w:r>
          </w:p>
          <w:p>
            <w:pPr>
              <w:spacing w:after="40" w:before="40" w:line="280"/>
            </w:pPr>
            <w:r>
              <w:t xml:space="preserve">8. Risk assessment (likelihood, impact, mitigations)</w:t>
            </w:r>
          </w:p>
          <w:p>
            <w:pPr>
              <w:spacing w:after="40" w:before="40" w:line="280"/>
            </w:pPr>
            <w:r>
              <w:t xml:space="preserve">9. Cost of conformance vs. cost of deviation</w:t>
            </w:r>
          </w:p>
          <w:p>
            <w:pPr>
              <w:spacing w:after="40" w:before="40" w:line="280"/>
            </w:pPr>
            <w:r>
              <w:t xml:space="preserve">10. Duration (must be finite)</w:t>
            </w:r>
          </w:p>
          <w:p>
            <w:pPr>
              <w:spacing w:after="40" w:before="40" w:line="280"/>
            </w:pPr>
            <w:r>
              <w:t xml:space="preserve">11. Remediation plan — how and when conformance is restored</w:t>
            </w:r>
          </w:p>
          <w:p>
            <w:pPr>
              <w:spacing w:after="40" w:before="40" w:line="280"/>
            </w:pPr>
            <w:r>
              <w:t xml:space="preserve">12. Interim controls — what mitigates risk during the dispensation</w:t>
            </w:r>
          </w:p>
          <w:p>
            <w:pPr>
              <w:spacing w:after="40" w:before="40" w:line="280"/>
            </w:pPr>
            <w:r>
              <w:t xml:space="preserve">13. Decision (Granted / Granted with Modifications / Declined)</w:t>
            </w:r>
          </w:p>
          <w:p>
            <w:pPr>
              <w:spacing w:after="40" w:before="40" w:line="280"/>
            </w:pPr>
            <w:r>
              <w:t xml:space="preserve">14. Conditions</w:t>
            </w:r>
          </w:p>
          <w:p>
            <w:pPr>
              <w:spacing w:after="40" w:before="40" w:line="280"/>
            </w:pPr>
            <w:r>
              <w:t xml:space="preserve">15. Expiry date</w:t>
            </w:r>
          </w:p>
          <w:p>
            <w:pPr>
              <w:spacing w:after="40" w:before="40" w:line="280"/>
            </w:pPr>
            <w:r>
              <w:t xml:space="preserve">16. Signatures + Board decision reference</w:t>
            </w:r>
          </w:p>
        </w:tc>
      </w:tr>
    </w:tbl>
    <w:p>
      <w:pPr>
        <w:pStyle w:val="Heading2"/>
        <w:spacing w:after="120" w:before="260"/>
      </w:pPr>
      <w:r>
        <w:t xml:space="preserve">23.3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DISP-2026-014 — PCI Tokenization on-prem</w:t>
            </w:r>
          </w:p>
          <w:p>
            <w:pPr>
              <w:spacing w:after="40" w:before="40" w:line="280"/>
            </w:pPr>
            <w:r>
              <w:t xml:space="preserve">Requestor: Payments Modernization Programme</w:t>
            </w:r>
          </w:p>
          <w:p>
            <w:pPr>
              <w:spacing w:after="40" w:before="40" w:line="280"/>
            </w:pPr>
            <w:r>
              <w:t xml:space="preserve">Deviation: PRIN-TECH-004 (Cloud-First)</w:t>
            </w:r>
          </w:p>
          <w:p>
            <w:pPr>
              <w:spacing w:after="40" w:before="40" w:line="280"/>
            </w:pPr>
            <w:r>
              <w:t xml:space="preserve">Description: PCI card tokenization service deployed on-prem because Azure Dedicated HSM is not yet PCI certified for our required scheme set.</w:t>
            </w:r>
          </w:p>
          <w:p>
            <w:pPr>
              <w:spacing w:after="40" w:before="40" w:line="280"/>
            </w:pPr>
            <w:r>
              <w:t xml:space="preserve">Rationale: FedNow regulatory deadline does not permit waiting for cloud HSM certification (expected Q2 2027).</w:t>
            </w:r>
          </w:p>
          <w:p>
            <w:pPr>
              <w:spacing w:after="40" w:before="40" w:line="280"/>
            </w:pPr>
            <w:r>
              <w:t xml:space="preserve">Alternatives rejected: delay FedNow launch (regulatory breach); host-your-own-HSM in cloud with workaround (rejected on risk by CISO).</w:t>
            </w:r>
          </w:p>
          <w:p>
            <w:pPr>
              <w:spacing w:after="40" w:before="40" w:line="280"/>
            </w:pPr>
            <w:r>
              <w:t xml:space="preserve">Risk: Medium — on-prem adds operational burden; mitigated by existing DC SLA and extended support contract.</w:t>
            </w:r>
          </w:p>
          <w:p>
            <w:pPr>
              <w:spacing w:after="40" w:before="40" w:line="280"/>
            </w:pPr>
            <w:r>
              <w:t xml:space="preserve">Cost: on-prem one-off £1.2M + £400k/yr run; cloud equivalent at maturity £600k/yr.</w:t>
            </w:r>
          </w:p>
          <w:p>
            <w:pPr>
              <w:spacing w:after="40" w:before="40" w:line="280"/>
            </w:pPr>
            <w:r>
              <w:t xml:space="preserve">Duration: 9 months (2026-03-01 to 2026-12-01).</w:t>
            </w:r>
          </w:p>
          <w:p>
            <w:pPr>
              <w:spacing w:after="40" w:before="40" w:line="280"/>
            </w:pPr>
            <w:r>
              <w:t xml:space="preserve">Remediation: migrate to Azure Dedicated HSM as soon as PCI cert is confirmed; plan in JIRA epic PAY-1442.</w:t>
            </w:r>
          </w:p>
          <w:p>
            <w:pPr>
              <w:spacing w:after="40" w:before="40" w:line="280"/>
            </w:pPr>
            <w:r>
              <w:t xml:space="preserve">Interim controls: monthly status report to AB; dual-key custody; SOC 2 independent audit.</w:t>
            </w:r>
          </w:p>
          <w:p>
            <w:pPr>
              <w:spacing w:after="40" w:before="40" w:line="280"/>
            </w:pPr>
            <w:r>
              <w:t xml:space="preserve">Decision: Granted with Modifications.</w:t>
            </w:r>
          </w:p>
          <w:p>
            <w:pPr>
              <w:spacing w:after="40" w:before="40" w:line="280"/>
            </w:pPr>
            <w:r>
              <w:t xml:space="preserve">Conditions: monthly report; automatic lapse on 2026-12-01; migration plan updated quarterly.</w:t>
            </w:r>
          </w:p>
          <w:p>
            <w:pPr>
              <w:spacing w:after="40" w:before="40" w:line="280"/>
            </w:pPr>
            <w:r>
              <w:t xml:space="preserve">Expiry: 2026-12-01.</w:t>
            </w:r>
          </w:p>
          <w:p>
            <w:pPr>
              <w:spacing w:after="40" w:before="40" w:line="280"/>
            </w:pPr>
            <w:r>
              <w:t xml:space="preserve">Approved: Architecture Board 2026-02-22.</w:t>
            </w:r>
          </w:p>
        </w:tc>
      </w:tr>
    </w:tbl>
    <w:p>
      <w:pPr>
        <w:pStyle w:val="Heading1"/>
        <w:pageBreakBefore/>
        <w:spacing w:after="180" w:before="360"/>
      </w:pPr>
      <w:r>
        <w:t xml:space="preserve">24. Architecture Contract</w:t>
      </w:r>
    </w:p>
    <w:p>
      <w:pPr>
        <w:pStyle w:val="Heading2"/>
        <w:spacing w:after="120" w:before="260"/>
      </w:pPr>
      <w:r>
        <w:t xml:space="preserve">24.1 Purpose</w:t>
      </w:r>
    </w:p>
    <w:p>
      <w:pPr>
        <w:spacing w:after="80" w:before="80" w:line="300"/>
        <w:jc w:val="both"/>
      </w:pPr>
      <w:r>
        <w:t xml:space="preserve">Binding agreement between the architecture function and the implementation team specifying scope, conformance obligations, acceptance, and governance. Produced in Phase G. The operational heart of implementation governance.</w:t>
      </w:r>
    </w:p>
    <w:p>
      <w:pPr>
        <w:pStyle w:val="Heading2"/>
        <w:spacing w:after="120" w:before="260"/>
      </w:pPr>
      <w:r>
        <w:t xml:space="preserve">24.2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 Contract — Template</w:t>
            </w:r>
          </w:p>
          <w:p>
            <w:pPr>
              <w:spacing w:after="40" w:before="40" w:line="280"/>
            </w:pPr>
            <w:r>
              <w:t xml:space="preserve">1. Contract ID and parties (architecture function + development partner)</w:t>
            </w:r>
          </w:p>
          <w:p>
            <w:pPr>
              <w:spacing w:after="40" w:before="40" w:line="280"/>
            </w:pPr>
            <w:r>
              <w:t xml:space="preserve">2. Scope and time window</w:t>
            </w:r>
          </w:p>
          <w:p>
            <w:pPr>
              <w:spacing w:after="40" w:before="40" w:line="280"/>
            </w:pPr>
            <w:r>
              <w:t xml:space="preserve">3. Principles bound (by ID)</w:t>
            </w:r>
          </w:p>
          <w:p>
            <w:pPr>
              <w:spacing w:after="40" w:before="40" w:line="280"/>
            </w:pPr>
            <w:r>
              <w:t xml:space="preserve">4. Standards bound (by ID, from SIB)</w:t>
            </w:r>
          </w:p>
          <w:p>
            <w:pPr>
              <w:spacing w:after="40" w:before="40" w:line="280"/>
            </w:pPr>
            <w:r>
              <w:t xml:space="preserve">5. Reference architectures adopted</w:t>
            </w:r>
          </w:p>
          <w:p>
            <w:pPr>
              <w:spacing w:after="40" w:before="40" w:line="280"/>
            </w:pPr>
            <w:r>
              <w:t xml:space="preserve">6. Conformance requirements — specific, testable obligations</w:t>
            </w:r>
          </w:p>
          <w:p>
            <w:pPr>
              <w:spacing w:after="40" w:before="40" w:line="280"/>
            </w:pPr>
            <w:r>
              <w:t xml:space="preserve">7. Architecture delivery measures — KPIs, SLOs, NFRs</w:t>
            </w:r>
          </w:p>
          <w:p>
            <w:pPr>
              <w:spacing w:after="40" w:before="40" w:line="280"/>
            </w:pPr>
            <w:r>
              <w:t xml:space="preserve">8. Phased deliverables and gates</w:t>
            </w:r>
          </w:p>
          <w:p>
            <w:pPr>
              <w:spacing w:after="40" w:before="40" w:line="280"/>
            </w:pPr>
            <w:r>
              <w:t xml:space="preserve">9. Joint working plan (architect engagement per sprint/stage)</w:t>
            </w:r>
          </w:p>
          <w:p>
            <w:pPr>
              <w:spacing w:after="40" w:before="40" w:line="280"/>
            </w:pPr>
            <w:r>
              <w:t xml:space="preserve">10. Dispute resolution / escalation</w:t>
            </w:r>
          </w:p>
          <w:p>
            <w:pPr>
              <w:spacing w:after="40" w:before="40" w:line="280"/>
            </w:pPr>
            <w:r>
              <w:t xml:space="preserve">11. Change control procedures</w:t>
            </w:r>
          </w:p>
          <w:p>
            <w:pPr>
              <w:spacing w:after="40" w:before="40" w:line="280"/>
            </w:pPr>
            <w:r>
              <w:t xml:space="preserve">12. Signatures + effective date</w:t>
            </w:r>
          </w:p>
        </w:tc>
      </w:tr>
    </w:tbl>
    <w:p>
      <w:pPr>
        <w:pStyle w:val="Heading2"/>
        <w:spacing w:after="120" w:before="260"/>
      </w:pPr>
      <w:r>
        <w:t xml:space="preserve">24.3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AC-2026-003 — Payment Gateway v2 Architecture Contract</w:t>
            </w:r>
          </w:p>
          <w:p>
            <w:pPr>
              <w:spacing w:after="40" w:before="40" w:line="280"/>
            </w:pPr>
            <w:r>
              <w:t xml:space="preserve">Parties: Chief Architect (EA function) + Head of Delivery (Payments Platform Team).</w:t>
            </w:r>
          </w:p>
          <w:p>
            <w:pPr>
              <w:spacing w:after="40" w:before="40" w:line="280"/>
            </w:pPr>
            <w:r>
              <w:t xml:space="preserve">Scope: build, test, deploy, operate Payment Gateway v2 for 18 months.</w:t>
            </w:r>
          </w:p>
          <w:p>
            <w:pPr>
              <w:spacing w:after="40" w:before="40" w:line="280"/>
            </w:pPr>
            <w:r>
              <w:t xml:space="preserve">Principles bound: PRIN-DATA-001, PRIN-APP-007, PRIN-SEC-003, PRIN-TECH-004.</w:t>
            </w:r>
          </w:p>
          <w:p>
            <w:pPr>
              <w:spacing w:after="40" w:before="40" w:line="280"/>
            </w:pPr>
            <w:r>
              <w:t xml:space="preserve">Standards bound: STD-APP-003 (API), STD-APP-017 (Events), STD-DATA-012 (MDM), STD-TECH-022 (PostgreSQL), STD-TECH-030 (Kafka), STD-TECH-040 (AKS), STD-TECH-055 (Okta), STD-SEC-007 (TLS 1.3).</w:t>
            </w:r>
          </w:p>
          <w:p>
            <w:pPr>
              <w:spacing w:after="40" w:before="40" w:line="280"/>
            </w:pPr>
            <w:r>
              <w:t xml:space="preserve">Reference architectures: III-RM Brokering pattern; enterprise event-driven reference.</w:t>
            </w:r>
          </w:p>
          <w:p>
            <w:pPr>
              <w:spacing w:after="40" w:before="40" w:line="280"/>
            </w:pPr>
            <w:r>
              <w:t xml:space="preserve">Conformance requirements:</w:t>
            </w:r>
          </w:p>
          <w:p>
            <w:pPr>
              <w:spacing w:after="40" w:before="40" w:line="280"/>
            </w:pPr>
            <w:r>
              <w:t xml:space="preserve">  — All inter-service comms via API Gateway or Kafka (no direct DB access).</w:t>
            </w:r>
          </w:p>
          <w:p>
            <w:pPr>
              <w:spacing w:after="40" w:before="40" w:line="280"/>
            </w:pPr>
            <w:r>
              <w:t xml:space="preserve">  — Customer entity sourced from Customer MDM only (no local copy).</w:t>
            </w:r>
          </w:p>
          <w:p>
            <w:pPr>
              <w:spacing w:after="40" w:before="40" w:line="280"/>
            </w:pPr>
            <w:r>
              <w:t xml:space="preserve">  — OAuth2 + mTLS for all service-to-service calls.</w:t>
            </w:r>
          </w:p>
          <w:p>
            <w:pPr>
              <w:spacing w:after="40" w:before="40" w:line="280"/>
            </w:pPr>
            <w:r>
              <w:t xml:space="preserve">  — TLS 1.3 only; encryption at rest AES-256 with customer-managed keys.</w:t>
            </w:r>
          </w:p>
          <w:p>
            <w:pPr>
              <w:spacing w:after="40" w:before="40" w:line="280"/>
            </w:pPr>
            <w:r>
              <w:t xml:space="preserve">  — Deployment on approved AKS cluster with standard tags.</w:t>
            </w:r>
          </w:p>
          <w:p>
            <w:pPr>
              <w:spacing w:after="40" w:before="40" w:line="280"/>
            </w:pPr>
            <w:r>
              <w:t xml:space="preserve">Delivery measures:</w:t>
            </w:r>
          </w:p>
          <w:p>
            <w:pPr>
              <w:spacing w:after="40" w:before="40" w:line="280"/>
            </w:pPr>
            <w:r>
              <w:t xml:space="preserve">  — API p99 &lt;3s; service availability 99.95%; RTO 4h; RPO 15m.</w:t>
            </w:r>
          </w:p>
          <w:p>
            <w:pPr>
              <w:spacing w:after="40" w:before="40" w:line="280"/>
            </w:pPr>
            <w:r>
              <w:t xml:space="preserve">  — Monthly compliance review with Architecture Board.</w:t>
            </w:r>
          </w:p>
          <w:p>
            <w:pPr>
              <w:spacing w:after="40" w:before="40" w:line="280"/>
            </w:pPr>
            <w:r>
              <w:t xml:space="preserve">Phased deliverables: API spec → contract tests → MVP (internal) → SEPA-live → FPS-live → FedNow-live.</w:t>
            </w:r>
          </w:p>
          <w:p>
            <w:pPr>
              <w:spacing w:after="40" w:before="40" w:line="280"/>
            </w:pPr>
            <w:r>
              <w:t xml:space="preserve">Joint working: Chief Architect attends PI planning; solution architect embedded in squad; weekly office hours.</w:t>
            </w:r>
          </w:p>
          <w:p>
            <w:pPr>
              <w:spacing w:after="40" w:before="40" w:line="280"/>
            </w:pPr>
            <w:r>
              <w:t xml:space="preserve">Escalation: disputes to Architecture Board; unresolved to CIO.</w:t>
            </w:r>
          </w:p>
          <w:p>
            <w:pPr>
              <w:spacing w:after="40" w:before="40" w:line="280"/>
            </w:pPr>
            <w:r>
              <w:t xml:space="preserve">Change control: any change to conformance requirements requires written Board approval.</w:t>
            </w:r>
          </w:p>
          <w:p>
            <w:pPr>
              <w:spacing w:after="40" w:before="40" w:line="280"/>
            </w:pPr>
            <w:r>
              <w:t xml:space="preserve">Signed: 2026-02-24.</w:t>
            </w:r>
          </w:p>
        </w:tc>
      </w:tr>
    </w:tbl>
    <w:p>
      <w:pPr>
        <w:pStyle w:val="Heading1"/>
        <w:pageBreakBefore/>
        <w:spacing w:after="180" w:before="360"/>
      </w:pPr>
      <w:r>
        <w:t xml:space="preserve">25. Change Request</w:t>
      </w:r>
    </w:p>
    <w:p>
      <w:pPr>
        <w:pStyle w:val="Heading2"/>
        <w:spacing w:after="120" w:before="260"/>
      </w:pPr>
      <w:r>
        <w:t xml:space="preserve">25.1 Purpose</w:t>
      </w:r>
    </w:p>
    <w:p>
      <w:pPr>
        <w:spacing w:after="80" w:before="80" w:line="300"/>
        <w:jc w:val="both"/>
      </w:pPr>
      <w:r>
        <w:t xml:space="preserve">Formal proposal to alter the architecture — scope, target, principles, or standards. Produced in Phase H or whenever a new requirement or constraint forces architectural change. Classified as Simplification / Incremental / Re-Architecting.</w:t>
      </w:r>
    </w:p>
    <w:p>
      <w:pPr>
        <w:pStyle w:val="Heading2"/>
        <w:spacing w:after="120" w:before="260"/>
      </w:pPr>
      <w:r>
        <w:t xml:space="preserve">25.2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Change Request — Template</w:t>
            </w:r>
          </w:p>
          <w:p>
            <w:pPr>
              <w:spacing w:after="40" w:before="40" w:line="280"/>
            </w:pPr>
            <w:r>
              <w:t xml:space="preserve">1. Change Request ID</w:t>
            </w:r>
          </w:p>
          <w:p>
            <w:pPr>
              <w:spacing w:after="40" w:before="40" w:line="280"/>
            </w:pPr>
            <w:r>
              <w:t xml:space="preserve">2. Date raised</w:t>
            </w:r>
          </w:p>
          <w:p>
            <w:pPr>
              <w:spacing w:after="40" w:before="40" w:line="280"/>
            </w:pPr>
            <w:r>
              <w:t xml:space="preserve">3. Requestor</w:t>
            </w:r>
          </w:p>
          <w:p>
            <w:pPr>
              <w:spacing w:after="40" w:before="40" w:line="280"/>
            </w:pPr>
            <w:r>
              <w:t xml:space="preserve">4. Change driver (what triggered this)</w:t>
            </w:r>
          </w:p>
          <w:p>
            <w:pPr>
              <w:spacing w:after="40" w:before="40" w:line="280"/>
            </w:pPr>
            <w:r>
              <w:t xml:space="preserve">5. Description of proposed change</w:t>
            </w:r>
          </w:p>
          <w:p>
            <w:pPr>
              <w:spacing w:after="40" w:before="40" w:line="280"/>
            </w:pPr>
            <w:r>
              <w:t xml:space="preserve">6. Change classification (Simplification / Incremental / Re-Architecting)</w:t>
            </w:r>
          </w:p>
          <w:p>
            <w:pPr>
              <w:spacing w:after="40" w:before="40" w:line="280"/>
            </w:pPr>
            <w:r>
              <w:t xml:space="preserve">7. Impact assessment:</w:t>
            </w:r>
          </w:p>
          <w:p>
            <w:pPr>
              <w:spacing w:after="40" w:before="40" w:line="280"/>
            </w:pPr>
            <w:r>
              <w:t xml:space="preserve">   — On current architecture</w:t>
            </w:r>
          </w:p>
          <w:p>
            <w:pPr>
              <w:spacing w:after="40" w:before="40" w:line="280"/>
            </w:pPr>
            <w:r>
              <w:t xml:space="preserve">   — On projects in flight</w:t>
            </w:r>
          </w:p>
          <w:p>
            <w:pPr>
              <w:spacing w:after="40" w:before="40" w:line="280"/>
            </w:pPr>
            <w:r>
              <w:t xml:space="preserve">   — On principles and standards</w:t>
            </w:r>
          </w:p>
          <w:p>
            <w:pPr>
              <w:spacing w:after="40" w:before="40" w:line="280"/>
            </w:pPr>
            <w:r>
              <w:t xml:space="preserve">   — On roadmap and transitions</w:t>
            </w:r>
          </w:p>
          <w:p>
            <w:pPr>
              <w:spacing w:after="40" w:before="40" w:line="280"/>
            </w:pPr>
            <w:r>
              <w:t xml:space="preserve">   — On cost and benefit</w:t>
            </w:r>
          </w:p>
          <w:p>
            <w:pPr>
              <w:spacing w:after="40" w:before="40" w:line="280"/>
            </w:pPr>
            <w:r>
              <w:t xml:space="preserve">8. Options considered</w:t>
            </w:r>
          </w:p>
          <w:p>
            <w:pPr>
              <w:spacing w:after="40" w:before="40" w:line="280"/>
            </w:pPr>
            <w:r>
              <w:t xml:space="preserve">9. Recommendation</w:t>
            </w:r>
          </w:p>
          <w:p>
            <w:pPr>
              <w:spacing w:after="40" w:before="40" w:line="280"/>
            </w:pPr>
            <w:r>
              <w:t xml:space="preserve">10. Decision (Accept / Defer / Reject)</w:t>
            </w:r>
          </w:p>
          <w:p>
            <w:pPr>
              <w:spacing w:after="40" w:before="40" w:line="280"/>
            </w:pPr>
            <w:r>
              <w:t xml:space="preserve">11. Owner and next steps</w:t>
            </w:r>
          </w:p>
        </w:tc>
      </w:tr>
    </w:tbl>
    <w:p>
      <w:pPr>
        <w:pStyle w:val="Heading2"/>
        <w:spacing w:after="120" w:before="260"/>
      </w:pPr>
      <w:r>
        <w:t xml:space="preserve">25.3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CR-H-2026-007 — Add AI-Assisted Customer Service Capability</w:t>
            </w:r>
          </w:p>
          <w:p>
            <w:pPr>
              <w:spacing w:after="40" w:before="40" w:line="280"/>
            </w:pPr>
            <w:r>
              <w:t xml:space="preserve">Raised: 2026-03-15 by Head of Customer Service.</w:t>
            </w:r>
          </w:p>
          <w:p>
            <w:pPr>
              <w:spacing w:after="40" w:before="40" w:line="280"/>
            </w:pPr>
            <w:r>
              <w:t xml:space="preserve">Driver: competitor launched AI chat; Board requests equivalent capability by year-end.</w:t>
            </w:r>
          </w:p>
          <w:p>
            <w:pPr>
              <w:spacing w:after="40" w:before="40" w:line="280"/>
            </w:pPr>
            <w:r>
              <w:t xml:space="preserve">Description: add new capability CAP-CS-014 "AI-Assisted Customer Service" supporting conversational assistant for common enquiries including payment status, disputes, and balance information.</w:t>
            </w:r>
          </w:p>
          <w:p>
            <w:pPr>
              <w:spacing w:after="40" w:before="40" w:line="280"/>
            </w:pPr>
            <w:r>
              <w:t xml:space="preserve">Classification: Incremental — extends target architecture; does not change its fundamental shape.</w:t>
            </w:r>
          </w:p>
          <w:p>
            <w:pPr>
              <w:spacing w:after="40" w:before="40" w:line="280"/>
            </w:pPr>
            <w:r>
              <w:t xml:space="preserve">Impact:</w:t>
            </w:r>
          </w:p>
          <w:p>
            <w:pPr>
              <w:spacing w:after="40" w:before="40" w:line="280"/>
            </w:pPr>
            <w:r>
              <w:t xml:space="preserve">  — Architecture: new application component; extends Customer MDM; new event types on Kafka.</w:t>
            </w:r>
          </w:p>
          <w:p>
            <w:pPr>
              <w:spacing w:after="40" w:before="40" w:line="280"/>
            </w:pPr>
            <w:r>
              <w:t xml:space="preserve">  — Projects: no direct impact on Payment Gateway v2; adds new WP-11 (AI Customer Assistant).</w:t>
            </w:r>
          </w:p>
          <w:p>
            <w:pPr>
              <w:spacing w:after="40" w:before="40" w:line="280"/>
            </w:pPr>
            <w:r>
              <w:t xml:space="preserve">  — Principles: adopt PRIN-AI-001 "Human Oversight Required" (new principle proposed).</w:t>
            </w:r>
          </w:p>
          <w:p>
            <w:pPr>
              <w:spacing w:after="40" w:before="40" w:line="280"/>
            </w:pPr>
            <w:r>
              <w:t xml:space="preserve">  — Standards: adopt STD-TECH-075 (Azure Bedrock; currently Emerging).</w:t>
            </w:r>
          </w:p>
          <w:p>
            <w:pPr>
              <w:spacing w:after="40" w:before="40" w:line="280"/>
            </w:pPr>
            <w:r>
              <w:t xml:space="preserve">  — Roadmap: WP-11 added to T2 (month 18); budget £8M.</w:t>
            </w:r>
          </w:p>
          <w:p>
            <w:pPr>
              <w:spacing w:after="40" w:before="40" w:line="280"/>
            </w:pPr>
            <w:r>
              <w:t xml:space="preserve">  — Benefit: ~£14M/yr uplift from reduced contact center volume; NPS +5.</w:t>
            </w:r>
          </w:p>
          <w:p>
            <w:pPr>
              <w:spacing w:after="40" w:before="40" w:line="280"/>
            </w:pPr>
            <w:r>
              <w:t xml:space="preserve">Options:</w:t>
            </w:r>
          </w:p>
          <w:p>
            <w:pPr>
              <w:spacing w:after="40" w:before="40" w:line="280"/>
            </w:pPr>
            <w:r>
              <w:t xml:space="preserve">  — (a) Build with Azure Bedrock (recommended; aligns with cloud strategy).</w:t>
            </w:r>
          </w:p>
          <w:p>
            <w:pPr>
              <w:spacing w:after="40" w:before="40" w:line="280"/>
            </w:pPr>
            <w:r>
              <w:t xml:space="preserve">  — (b) Buy SaaS chatbot product (rejected: data residency concerns).</w:t>
            </w:r>
          </w:p>
          <w:p>
            <w:pPr>
              <w:spacing w:after="40" w:before="40" w:line="280"/>
            </w:pPr>
            <w:r>
              <w:t xml:space="preserve">  — (c) Defer to 2027 (rejected: competitive pressure).</w:t>
            </w:r>
          </w:p>
          <w:p>
            <w:pPr>
              <w:spacing w:after="40" w:before="40" w:line="280"/>
            </w:pPr>
            <w:r>
              <w:t xml:space="preserve">Recommendation: Accept option (a); fund WP-11 in Q3 2026.</w:t>
            </w:r>
          </w:p>
          <w:p>
            <w:pPr>
              <w:spacing w:after="40" w:before="40" w:line="280"/>
            </w:pPr>
            <w:r>
              <w:t xml:space="preserve">Decision: Accepted by Architecture Board 2026-03-22.</w:t>
            </w:r>
          </w:p>
          <w:p>
            <w:pPr>
              <w:spacing w:after="40" w:before="40" w:line="280"/>
            </w:pPr>
            <w:r>
              <w:t xml:space="preserve">Owner: Chief Architect; Architect for WP-11 to be assigned by end of month.</w:t>
            </w:r>
          </w:p>
        </w:tc>
      </w:tr>
    </w:tbl>
    <w:p>
      <w:pPr>
        <w:pStyle w:val="Heading1"/>
        <w:pageBreakBefore/>
        <w:spacing w:after="180" w:before="360"/>
      </w:pPr>
      <w:r>
        <w:t xml:space="preserve">26. Requirements Impact Assessment (RIA)</w:t>
      </w:r>
    </w:p>
    <w:p>
      <w:pPr>
        <w:pStyle w:val="Heading2"/>
        <w:spacing w:after="120" w:before="260"/>
      </w:pPr>
      <w:r>
        <w:t xml:space="preserve">26.1 Purpose</w:t>
      </w:r>
    </w:p>
    <w:p>
      <w:pPr>
        <w:spacing w:after="80" w:before="80" w:line="300"/>
        <w:jc w:val="both"/>
      </w:pPr>
      <w:r>
        <w:t xml:space="preserve">Issued whenever a new or changed requirement arrives. The Requirements Management process — at the center of the ADM — produces RIAs to feed Impact Assessments back into whichever phases are affected.</w:t>
      </w:r>
    </w:p>
    <w:p>
      <w:pPr>
        <w:pStyle w:val="Heading2"/>
        <w:spacing w:after="120" w:before="260"/>
      </w:pPr>
      <w:r>
        <w:t xml:space="preserve">26.2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Requirements Impact Assessment — Template</w:t>
            </w:r>
          </w:p>
          <w:p>
            <w:pPr>
              <w:spacing w:after="40" w:before="40" w:line="280"/>
            </w:pPr>
            <w:r>
              <w:t xml:space="preserve">1. RIA ID</w:t>
            </w:r>
          </w:p>
          <w:p>
            <w:pPr>
              <w:spacing w:after="40" w:before="40" w:line="280"/>
            </w:pPr>
            <w:r>
              <w:t xml:space="preserve">2. Requirement reference (REQ-...)</w:t>
            </w:r>
          </w:p>
          <w:p>
            <w:pPr>
              <w:spacing w:after="40" w:before="40" w:line="280"/>
            </w:pPr>
            <w:r>
              <w:t xml:space="preserve">3. Requirement description (as stated by source)</w:t>
            </w:r>
          </w:p>
          <w:p>
            <w:pPr>
              <w:spacing w:after="40" w:before="40" w:line="280"/>
            </w:pPr>
            <w:r>
              <w:t xml:space="preserve">4. Source of requirement (stakeholder, document, regulator)</w:t>
            </w:r>
          </w:p>
          <w:p>
            <w:pPr>
              <w:spacing w:after="40" w:before="40" w:line="280"/>
            </w:pPr>
            <w:r>
              <w:t xml:space="preserve">5. Date received</w:t>
            </w:r>
          </w:p>
          <w:p>
            <w:pPr>
              <w:spacing w:after="40" w:before="40" w:line="280"/>
            </w:pPr>
            <w:r>
              <w:t xml:space="preserve">6. Classification (functional / non-functional / constraint)</w:t>
            </w:r>
          </w:p>
          <w:p>
            <w:pPr>
              <w:spacing w:after="40" w:before="40" w:line="280"/>
            </w:pPr>
            <w:r>
              <w:t xml:space="preserve">7. Priority (Must / Should / Could)</w:t>
            </w:r>
          </w:p>
          <w:p>
            <w:pPr>
              <w:spacing w:after="40" w:before="40" w:line="280"/>
            </w:pPr>
            <w:r>
              <w:t xml:space="preserve">8. Phases impacted (A/B/C/D/E/F/G/H)</w:t>
            </w:r>
          </w:p>
          <w:p>
            <w:pPr>
              <w:spacing w:after="40" w:before="40" w:line="280"/>
            </w:pPr>
            <w:r>
              <w:t xml:space="preserve">9. Architecture elements affected (principles, standards, capabilities, components)</w:t>
            </w:r>
          </w:p>
          <w:p>
            <w:pPr>
              <w:spacing w:after="40" w:before="40" w:line="280"/>
            </w:pPr>
            <w:r>
              <w:t xml:space="preserve">10. Stakeholders affected</w:t>
            </w:r>
          </w:p>
          <w:p>
            <w:pPr>
              <w:spacing w:after="40" w:before="40" w:line="280"/>
            </w:pPr>
            <w:r>
              <w:t xml:space="preserve">11. Effort to address (estimate)</w:t>
            </w:r>
          </w:p>
          <w:p>
            <w:pPr>
              <w:spacing w:after="40" w:before="40" w:line="280"/>
            </w:pPr>
            <w:r>
              <w:t xml:space="preserve">12. Risks and dependencies introduced</w:t>
            </w:r>
          </w:p>
          <w:p>
            <w:pPr>
              <w:spacing w:after="40" w:before="40" w:line="280"/>
            </w:pPr>
            <w:r>
              <w:t xml:space="preserve">13. Recommendation (Accept / Defer / Reject / Escalate)</w:t>
            </w:r>
          </w:p>
          <w:p>
            <w:pPr>
              <w:spacing w:after="40" w:before="40" w:line="280"/>
            </w:pPr>
            <w:r>
              <w:t xml:space="preserve">14. Decision and rationale</w:t>
            </w:r>
          </w:p>
          <w:p>
            <w:pPr>
              <w:spacing w:after="40" w:before="40" w:line="280"/>
            </w:pPr>
            <w:r>
              <w:t xml:space="preserve">15. Actions arising</w:t>
            </w:r>
          </w:p>
        </w:tc>
      </w:tr>
    </w:tbl>
    <w:p>
      <w:pPr>
        <w:pStyle w:val="Heading2"/>
        <w:spacing w:after="120" w:before="260"/>
      </w:pPr>
      <w:r>
        <w:t xml:space="preserve">26.3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RIA-2026-019 — Customer-Managed Encryption Keys (CMEK)</w:t>
            </w:r>
          </w:p>
          <w:p>
            <w:pPr>
              <w:spacing w:after="40" w:before="40" w:line="280"/>
            </w:pPr>
            <w:r>
              <w:t xml:space="preserve">Requirement: REQ-SEC-0054 — "All PII and payment data must be encrypted with customer-managed keys (not provider-managed) within 12 months."</w:t>
            </w:r>
          </w:p>
          <w:p>
            <w:pPr>
              <w:spacing w:after="40" w:before="40" w:line="280"/>
            </w:pPr>
            <w:r>
              <w:t xml:space="preserve">Source: DPO + CISO (new internal policy responding to regulator guidance).</w:t>
            </w:r>
          </w:p>
          <w:p>
            <w:pPr>
              <w:spacing w:after="40" w:before="40" w:line="280"/>
            </w:pPr>
            <w:r>
              <w:t xml:space="preserve">Received: 2026-03-10</w:t>
            </w:r>
          </w:p>
          <w:p>
            <w:pPr>
              <w:spacing w:after="40" w:before="40" w:line="280"/>
            </w:pPr>
            <w:r>
              <w:t xml:space="preserve">Classification: non-functional (security) — constraint</w:t>
            </w:r>
          </w:p>
          <w:p>
            <w:pPr>
              <w:spacing w:after="40" w:before="40" w:line="280"/>
            </w:pPr>
            <w:r>
              <w:t xml:space="preserve">Priority: Must</w:t>
            </w:r>
          </w:p>
          <w:p>
            <w:pPr>
              <w:spacing w:after="40" w:before="40" w:line="280"/>
            </w:pPr>
            <w:r>
              <w:t xml:space="preserve">Phases impacted: D (current Technology architecture), E (work package affected), F (cost impact), G (compliance reviews).</w:t>
            </w:r>
          </w:p>
          <w:p>
            <w:pPr>
              <w:spacing w:after="40" w:before="40" w:line="280"/>
            </w:pPr>
            <w:r>
              <w:t xml:space="preserve">Elements affected:</w:t>
            </w:r>
          </w:p>
          <w:p>
            <w:pPr>
              <w:spacing w:after="40" w:before="40" w:line="280"/>
            </w:pPr>
            <w:r>
              <w:t xml:space="preserve">  — STD-SEC-014 (Encryption) must be updated.</w:t>
            </w:r>
          </w:p>
          <w:p>
            <w:pPr>
              <w:spacing w:after="40" w:before="40" w:line="280"/>
            </w:pPr>
            <w:r>
              <w:t xml:space="preserve">  — 14 applications currently using provider-managed keys require re-architecture.</w:t>
            </w:r>
          </w:p>
          <w:p>
            <w:pPr>
              <w:spacing w:after="40" w:before="40" w:line="280"/>
            </w:pPr>
            <w:r>
              <w:t xml:space="preserve">  — Customer MDM and Payment Gateway v2 impacted.</w:t>
            </w:r>
          </w:p>
          <w:p>
            <w:pPr>
              <w:spacing w:after="40" w:before="40" w:line="280"/>
            </w:pPr>
            <w:r>
              <w:t xml:space="preserve">Stakeholders: DPO, CISO, Head of Platform, heads of affected applications.</w:t>
            </w:r>
          </w:p>
          <w:p>
            <w:pPr>
              <w:spacing w:after="40" w:before="40" w:line="280"/>
            </w:pPr>
            <w:r>
              <w:t xml:space="preserve">Effort: £1.4M + 7 weeks incremental on the roadmap.</w:t>
            </w:r>
          </w:p>
          <w:p>
            <w:pPr>
              <w:spacing w:after="40" w:before="40" w:line="280"/>
            </w:pPr>
            <w:r>
              <w:t xml:space="preserve">Risks: key management complexity; potential performance impact (pre-evaluation: &lt;2% for symmetric ops); vendor feature availability.</w:t>
            </w:r>
          </w:p>
          <w:p>
            <w:pPr>
              <w:spacing w:after="40" w:before="40" w:line="280"/>
            </w:pPr>
            <w:r>
              <w:t xml:space="preserve">Recommendation: Accept. Update STD-SEC-014; add work package WP-12 to T2; update Roadmap.</w:t>
            </w:r>
          </w:p>
          <w:p>
            <w:pPr>
              <w:spacing w:after="40" w:before="40" w:line="280"/>
            </w:pPr>
            <w:r>
              <w:t xml:space="preserve">Decision: Accepted by Architecture Board 2026-03-20.</w:t>
            </w:r>
          </w:p>
          <w:p>
            <w:pPr>
              <w:spacing w:after="40" w:before="40" w:line="280"/>
            </w:pPr>
            <w:r>
              <w:t xml:space="preserve">Actions:</w:t>
            </w:r>
          </w:p>
          <w:p>
            <w:pPr>
              <w:spacing w:after="40" w:before="40" w:line="280"/>
            </w:pPr>
            <w:r>
              <w:t xml:space="preserve">  — A1: Standards Working Group to update STD-SEC-014 by 2026-04-10.</w:t>
            </w:r>
          </w:p>
          <w:p>
            <w:pPr>
              <w:spacing w:after="40" w:before="40" w:line="280"/>
            </w:pPr>
            <w:r>
              <w:t xml:space="preserve">  — A2: Platform architect to draft WP-12 scope by 2026-04-10.</w:t>
            </w:r>
          </w:p>
          <w:p>
            <w:pPr>
              <w:spacing w:after="40" w:before="40" w:line="280"/>
            </w:pPr>
            <w:r>
              <w:t xml:space="preserve">  — A3: Roadmap update and cost adjustment to sponsor by 2026-04-25.</w:t>
            </w:r>
          </w:p>
        </w:tc>
      </w:tr>
    </w:tbl>
    <w:p>
      <w:pPr>
        <w:pStyle w:val="Heading1"/>
        <w:pageBreakBefore/>
        <w:spacing w:after="180" w:before="360"/>
      </w:pPr>
      <w:r>
        <w:t xml:space="preserve">27. Putting It Together — The Artifact Ecosystem</w:t>
      </w:r>
    </w:p>
    <w:p>
      <w:pPr>
        <w:pStyle w:val="Heading2"/>
        <w:spacing w:after="120" w:before="260"/>
      </w:pPr>
      <w:r>
        <w:t xml:space="preserve">27.1 How the Artifacts Connect</w:t>
      </w:r>
    </w:p>
    <w:p>
      <w:pPr>
        <w:spacing w:after="80" w:before="80" w:line="300"/>
        <w:jc w:val="both"/>
      </w:pPr>
      <w:r>
        <w:t xml:space="preserve">Each artifact in this guide is most valuable not in isolation but in combination. The Repository's compounding value comes from cross-links: ADRs reference principles, which reference standards, which appear in compliance reviews, which trigger dispensations, which reference ADRs. An entry created once is referenced forever.</w:t>
      </w:r>
    </w:p>
    <w:p>
      <w:pPr>
        <w:pStyle w:val="Heading2"/>
        <w:spacing w:after="120" w:before="260"/>
      </w:pPr>
      <w:r>
        <w:t xml:space="preserve">27.2 Cross-Reference Web (Horizon Bank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Artifact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References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Referenced By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PRIN-DATA-001 (Data as Asset)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STD-DATA-012; ADR-0024; AC-2026-003; CR-2026-047</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STD-TECH-030 (Kafka)</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PRIN-APP-007</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ADR-0024; AC-2026-003</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ADR-0024 (Event-Driven)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PRIN-APP-007; STD-TECH-030</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Payment Gateway v2 design docs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AC-2026-003 (Contract)</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All principles/standards bound</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CR-2026-047; DISP-2026-014</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CR-2026-047 (Review)</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AC-2026-003; STD-*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Action items; remediations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DISP-2026-014 (PCI Dispensation)</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PRIN-TECH-004</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AC-2026-003; compliance action items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CAP-PAY-003 (Scheme Integration)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WP-5; T1; Roadmap; Heat Map</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GAP-002 (SEPA Instant)</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CAP-PAY-003</w:t>
            </w:r>
          </w:p>
        </w:tc>
        <w:tc>
          <w:tcPr>
            <w:tcW w:type="dxa" w:w="3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WP-5; Roadmap</w:t>
            </w:r>
          </w:p>
        </w:tc>
      </w:tr>
    </w:tbl>
    <w:p>
      <w:pPr>
        <w:pStyle w:val="Heading2"/>
        <w:spacing w:after="120" w:before="260"/>
      </w:pPr>
      <w:r>
        <w:t xml:space="preserve">27.3 The Repository View</w:t>
      </w:r>
    </w:p>
    <w:p>
      <w:pPr>
        <w:spacing w:after="80" w:before="80" w:line="300"/>
        <w:jc w:val="both"/>
      </w:pPr>
      <w:r>
        <w:t xml:space="preserve">All of these artifacts live in the Architecture Repository (covered in a separate study guide). Each sits in one of the seven content classes: Principles and Standards in the Standards Information Base and Architecture Capability classes; the Landscape artifacts (capability maps, catalogs, matrices, roadmaps) in Architecture Landscape; ADRs and Compliance Reviews in Governance Log; Requirements and RIAs in Requirements Repository; reference templates and patterns in Reference Library.</w:t>
      </w:r>
    </w:p>
    <w:p>
      <w:pPr>
        <w:pStyle w:val="Heading2"/>
        <w:spacing w:after="120" w:before="260"/>
      </w:pPr>
      <w:r>
        <w:t xml:space="preserve">27.4 Using This Guide Sustainably</w:t>
      </w:r>
    </w:p>
    <w:p>
      <w:pPr>
        <w:pStyle w:val="ListParagraph"/>
        <w:numPr>
          <w:ilvl w:val="0"/>
          <w:numId w:val="2"/>
        </w:numPr>
        <w:spacing w:after="40" w:before="40" w:line="280"/>
      </w:pPr>
      <w:r>
        <w:t xml:space="preserve">Keep templates in your Repository's Reference Library; clone them for each new engagement</w:t>
      </w:r>
    </w:p>
    <w:p>
      <w:pPr>
        <w:pStyle w:val="ListParagraph"/>
        <w:numPr>
          <w:ilvl w:val="0"/>
          <w:numId w:val="2"/>
        </w:numPr>
        <w:spacing w:after="40" w:before="40" w:line="280"/>
      </w:pPr>
      <w:r>
        <w:t xml:space="preserve">Give every artifact a stable ID from day one; the ID survives when content moves tools</w:t>
      </w:r>
    </w:p>
    <w:p>
      <w:pPr>
        <w:pStyle w:val="ListParagraph"/>
        <w:numPr>
          <w:ilvl w:val="0"/>
          <w:numId w:val="2"/>
        </w:numPr>
        <w:spacing w:after="40" w:before="40" w:line="280"/>
      </w:pPr>
      <w:r>
        <w:t xml:space="preserve">Cross-link aggressively — broken links are the #1 Repository failure mode</w:t>
      </w:r>
    </w:p>
    <w:p>
      <w:pPr>
        <w:pStyle w:val="ListParagraph"/>
        <w:numPr>
          <w:ilvl w:val="0"/>
          <w:numId w:val="2"/>
        </w:numPr>
        <w:spacing w:after="40" w:before="40" w:line="280"/>
      </w:pPr>
      <w:r>
        <w:t xml:space="preserve">Review templates annually; templates are themselves living artifacts</w:t>
      </w:r>
    </w:p>
    <w:p>
      <w:pPr>
        <w:pStyle w:val="ListParagraph"/>
        <w:numPr>
          <w:ilvl w:val="0"/>
          <w:numId w:val="2"/>
        </w:numPr>
        <w:spacing w:after="40" w:before="40" w:line="280"/>
      </w:pPr>
      <w:r>
        <w:t xml:space="preserve">Retire obsolete artifacts actively; a shrinking Repository during hygiene reviews is healthier than a growing one</w:t>
      </w:r>
    </w:p>
    <w:p>
      <w:pPr>
        <w:pStyle w:val="Heading2"/>
        <w:spacing w:after="120" w:before="260"/>
      </w:pPr>
      <w:r>
        <w:t xml:space="preserve">27.5 Final Tips for Artifact Producers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PRACTICAL TIP</w:t>
            </w:r>
          </w:p>
          <w:p>
            <w:pPr>
              <w:spacing w:after="40" w:before="40" w:line="280"/>
            </w:pPr>
            <w:r>
              <w:t xml:space="preserve">Write artifacts for the reader, not the author. If a stakeholder can't understand it, it hasn't served its purpose — even if it's technically correct.</w:t>
            </w:r>
          </w:p>
          <w:p>
            <w:pPr>
              <w:spacing w:after="40" w:before="40" w:line="280"/>
            </w:pPr>
            <w:r>
              <w:t xml:space="preserve">Keep the total artifact count minimal. Every artifact you produce becomes an artifact you maintain. Fewer, better artifacts beat many half-maintained ones.</w:t>
            </w:r>
          </w:p>
          <w:p>
            <w:pPr>
              <w:spacing w:after="40" w:before="40" w:line="280"/>
            </w:pPr>
            <w:r>
              <w:t xml:space="preserve">Date and version everything. An undated artifact is a liability; a dated artifact is a record.</w:t>
            </w:r>
          </w:p>
          <w:p>
            <w:pPr>
              <w:spacing w:after="40" w:before="40" w:line="280"/>
            </w:pPr>
            <w:r>
              <w:t xml:space="preserve">Make artifacts boring. Elegance draws attention to the artifact; good architecture artifacts draw attention to the decisions they describe.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Practical Artifacts &amp;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Practical Artifacts &amp; Templates</dc:title>
  <dc:creator>Claude</dc:creator>
  <dc:description>A hands-on reference of TOGAF 10 artifacts with templates and worked examples.</dc:description>
  <cp:lastModifiedBy>Un-named</cp:lastModifiedBy>
  <cp:revision>1</cp:revision>
  <dcterms:created xsi:type="dcterms:W3CDTF">2026-04-20T12:17:33.547Z</dcterms:created>
  <dcterms:modified xsi:type="dcterms:W3CDTF">2026-04-20T12:17:33.604Z</dcterms:modified>
</cp:coreProperties>
</file>

<file path=docProps/custom.xml><?xml version="1.0" encoding="utf-8"?>
<Properties xmlns="http://schemas.openxmlformats.org/officeDocument/2006/custom-properties" xmlns:vt="http://schemas.openxmlformats.org/officeDocument/2006/docPropsVTypes"/>
</file>