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400"/>
        <w:jc w:val="center"/>
        <w:rPr/>
      </w:pPr>
      <w:r>
        <w:rPr>
          <w:b/>
          <w:bCs/>
          <w:color w:val="1F4E78"/>
          <w:sz w:val="96"/>
          <w:szCs w:val="96"/>
        </w:rPr>
        <w:t>TOGAF</w:t>
      </w:r>
    </w:p>
    <w:p>
      <w:pPr>
        <w:pStyle w:val="Normal"/>
        <w:spacing w:before="0" w:after="400"/>
        <w:jc w:val="center"/>
        <w:rPr/>
      </w:pPr>
      <w:r>
        <w:rPr>
          <w:b/>
          <w:bCs/>
          <w:color w:val="2E75B6"/>
          <w:sz w:val="44"/>
          <w:szCs w:val="44"/>
        </w:rPr>
        <w:t>Enterprise Architecture Study Guide</w:t>
      </w:r>
    </w:p>
    <w:p>
      <w:pPr>
        <w:pStyle w:val="Normal"/>
        <w:spacing w:before="0" w:after="1600"/>
        <w:jc w:val="center"/>
        <w:rPr/>
      </w:pPr>
      <w:r>
        <w:rPr>
          <w:i/>
          <w:iCs/>
          <w:color w:val="595959"/>
          <w:sz w:val="36"/>
          <w:szCs w:val="36"/>
        </w:rPr>
        <w:t>Module 1: TOGAF Fundamentals</w:t>
      </w:r>
    </w:p>
    <w:p>
      <w:pPr>
        <w:pStyle w:val="Normal"/>
        <w:spacing w:before="0" w:after="200"/>
        <w:jc w:val="center"/>
        <w:rPr/>
      </w:pPr>
      <w:r>
        <w:rPr>
          <w:color w:val="595959"/>
          <w:sz w:val="28"/>
          <w:szCs w:val="28"/>
        </w:rPr>
        <w:t>A Comprehensive, In-Depth Reference</w:t>
      </w:r>
    </w:p>
    <w:p>
      <w:pPr>
        <w:pStyle w:val="Normal"/>
        <w:spacing w:before="0" w:after="200"/>
        <w:jc w:val="center"/>
        <w:rPr/>
      </w:pPr>
      <w:r>
        <w:rPr>
          <w:color w:val="808080"/>
          <w:sz w:val="24"/>
          <w:szCs w:val="24"/>
        </w:rPr>
        <w:t>Covering History, Concepts, Frameworks, and Comparative Analysis</w:t>
      </w:r>
    </w:p>
    <w:p>
      <w:pPr>
        <w:pStyle w:val="Normal"/>
        <w:spacing w:before="2400" w:after="0"/>
        <w:jc w:val="center"/>
        <w:rPr/>
      </w:pPr>
      <w:r>
        <w:rPr>
          <w:i/>
          <w:iCs/>
          <w:color w:val="808080"/>
          <w:sz w:val="22"/>
          <w:szCs w:val="22"/>
        </w:rPr>
        <w:t>Aligned with TOGAF® Standard, 10th Edition (The Open Group)</w:t>
      </w:r>
    </w:p>
    <w:p>
      <w:pPr>
        <w:pStyle w:val="Normal"/>
        <w:rPr/>
      </w:pPr>
      <w:r>
        <w:rPr/>
      </w:r>
      <w:r>
        <w:br w:type="page"/>
      </w:r>
    </w:p>
    <w:p>
      <w:pPr>
        <w:pStyle w:val="Heading1"/>
        <w:spacing w:before="0" w:after="200"/>
        <w:rPr>
          <w:b/>
          <w:bCs/>
          <w:color w:val="1F4E78"/>
        </w:rPr>
      </w:pPr>
      <w:r>
        <w:rPr>
          <w:b/>
          <w:bCs/>
          <w:color w:val="1F4E78"/>
        </w:rPr>
        <w:t>1. What is TOGAF and Why It Exists</w:t>
      </w:r>
    </w:p>
    <w:p>
      <w:pPr>
        <w:pStyle w:val="Heading1"/>
        <w:spacing w:before="0" w:after="200"/>
        <w:rPr>
          <w:b/>
          <w:bCs/>
          <w:color w:val="1F4E78"/>
        </w:rPr>
      </w:pPr>
      <w:r>
        <w:rPr>
          <w:b/>
          <w:bCs/>
          <w:color w:val="1F4E78"/>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396240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3962400"/>
                    </a:xfrm>
                    <a:prstGeom prst="rect">
                      <a:avLst/>
                    </a:prstGeom>
                    <a:noFill/>
                  </pic:spPr>
                </pic:pic>
              </a:graphicData>
            </a:graphic>
          </wp:anchor>
        </w:drawing>
      </w:r>
    </w:p>
    <w:p>
      <w:pPr>
        <w:pStyle w:val="Heading2"/>
        <w:spacing w:before="280" w:after="160"/>
        <w:rPr/>
      </w:pPr>
      <w:r>
        <w:rPr>
          <w:b/>
          <w:bCs/>
          <w:color w:val="2E75B6"/>
        </w:rPr>
        <w:t>1.1 The One-Sentence Definition</w:t>
      </w:r>
    </w:p>
    <w:p>
      <w:pPr>
        <w:pStyle w:val="BodyText"/>
        <w:jc w:val="both"/>
        <w:rPr>
          <w:rFonts w:ascii="DejaVu Serif" w:hAnsi="DejaVu Serif"/>
        </w:rPr>
      </w:pPr>
      <w:r>
        <w:rPr>
          <w:rFonts w:ascii="DejaVu Serif" w:hAnsi="DejaVu Serif"/>
          <w:b/>
          <w:bCs/>
        </w:rPr>
        <w:t>TOGAF</w:t>
      </w:r>
      <w:r>
        <w:rPr>
          <w:rFonts w:ascii="DejaVu Serif" w:hAnsi="DejaVu Serif"/>
        </w:rPr>
        <w:t xml:space="preserve"> (The Open Group Architecture Framework) is a </w:t>
      </w:r>
      <w:r>
        <w:rPr>
          <w:rFonts w:ascii="DejaVu Serif" w:hAnsi="DejaVu Serif"/>
          <w:b/>
          <w:bCs/>
        </w:rPr>
        <w:t>structured</w:t>
      </w:r>
      <w:r>
        <w:rPr>
          <w:rFonts w:ascii="DejaVu Serif" w:hAnsi="DejaVu Serif"/>
        </w:rPr>
        <w:t xml:space="preserve">, vendor-neutral, methodology-driven framework for designing, planning, implementing, and governing an </w:t>
      </w:r>
      <w:r>
        <w:rPr>
          <w:rFonts w:ascii="DejaVu Serif" w:hAnsi="DejaVu Serif"/>
          <w:b/>
          <w:bCs/>
        </w:rPr>
        <w:t>enterprise's</w:t>
      </w:r>
      <w:r>
        <w:rPr>
          <w:rFonts w:ascii="DejaVu Serif" w:hAnsi="DejaVu Serif"/>
        </w:rPr>
        <w:t xml:space="preserve"> information technology architecture in a way that aligns with its business strategy.</w:t>
      </w:r>
    </w:p>
    <w:p>
      <w:pPr>
        <w:pStyle w:val="BodyText"/>
        <w:jc w:val="both"/>
        <w:rPr>
          <w:rFonts w:ascii="DejaVu Serif" w:hAnsi="DejaVu Serif"/>
        </w:rPr>
      </w:pPr>
      <w:r>
        <w:rPr>
          <w:rFonts w:ascii="DejaVu Serif" w:hAnsi="DejaVu Serif"/>
        </w:rPr>
        <w:t xml:space="preserve">Said differently: TOGAF is a </w:t>
      </w:r>
      <w:r>
        <w:rPr>
          <w:rFonts w:ascii="DejaVu Serif" w:hAnsi="DejaVu Serif"/>
          <w:b/>
          <w:bCs/>
        </w:rPr>
        <w:t>recipe</w:t>
      </w:r>
      <w:r>
        <w:rPr>
          <w:rFonts w:ascii="DejaVu Serif" w:hAnsi="DejaVu Serif"/>
        </w:rPr>
        <w:t xml:space="preserve"> </w:t>
      </w:r>
      <w:r>
        <w:rPr>
          <w:rFonts w:ascii="DejaVu Serif" w:hAnsi="DejaVu Serif"/>
          <w:b/>
          <w:bCs/>
        </w:rPr>
        <w:t>book</w:t>
      </w:r>
      <w:r>
        <w:rPr>
          <w:rFonts w:ascii="DejaVu Serif" w:hAnsi="DejaVu Serif"/>
        </w:rPr>
        <w:t xml:space="preserve"> and </w:t>
      </w:r>
      <w:r>
        <w:rPr>
          <w:rFonts w:ascii="DejaVu Serif" w:hAnsi="DejaVu Serif"/>
          <w:b/>
          <w:bCs/>
        </w:rPr>
        <w:t>toolkit</w:t>
      </w:r>
      <w:r>
        <w:rPr>
          <w:rFonts w:ascii="DejaVu Serif" w:hAnsi="DejaVu Serif"/>
        </w:rPr>
        <w:t xml:space="preserve"> that helps an </w:t>
      </w:r>
      <w:r>
        <w:rPr>
          <w:rFonts w:ascii="DejaVu Serif" w:hAnsi="DejaVu Serif"/>
          <w:b/>
          <w:bCs/>
        </w:rPr>
        <w:t>organisation</w:t>
      </w:r>
      <w:r>
        <w:rPr>
          <w:rFonts w:ascii="DejaVu Serif" w:hAnsi="DejaVu Serif"/>
        </w:rPr>
        <w:t xml:space="preserve"> move from its </w:t>
      </w:r>
      <w:r>
        <w:rPr>
          <w:rFonts w:ascii="DejaVu Serif" w:hAnsi="DejaVu Serif"/>
          <w:b/>
          <w:bCs/>
        </w:rPr>
        <w:t>current</w:t>
      </w:r>
      <w:r>
        <w:rPr>
          <w:rFonts w:ascii="DejaVu Serif" w:hAnsi="DejaVu Serif"/>
        </w:rPr>
        <w:t xml:space="preserve"> </w:t>
      </w:r>
      <w:r>
        <w:rPr>
          <w:rFonts w:ascii="DejaVu Serif" w:hAnsi="DejaVu Serif"/>
          <w:b/>
          <w:bCs/>
        </w:rPr>
        <w:t>technology</w:t>
      </w:r>
      <w:r>
        <w:rPr>
          <w:rFonts w:ascii="DejaVu Serif" w:hAnsi="DejaVu Serif"/>
        </w:rPr>
        <w:t xml:space="preserve"> </w:t>
      </w:r>
      <w:r>
        <w:rPr>
          <w:rFonts w:ascii="DejaVu Serif" w:hAnsi="DejaVu Serif"/>
          <w:b/>
          <w:bCs/>
        </w:rPr>
        <w:t>landscape</w:t>
      </w:r>
      <w:r>
        <w:rPr>
          <w:rFonts w:ascii="DejaVu Serif" w:hAnsi="DejaVu Serif"/>
        </w:rPr>
        <w:t xml:space="preserve"> to a </w:t>
      </w:r>
      <w:r>
        <w:rPr>
          <w:rFonts w:ascii="DejaVu Serif" w:hAnsi="DejaVu Serif"/>
          <w:b/>
          <w:bCs/>
        </w:rPr>
        <w:t>desired</w:t>
      </w:r>
      <w:r>
        <w:rPr>
          <w:rFonts w:ascii="DejaVu Serif" w:hAnsi="DejaVu Serif"/>
        </w:rPr>
        <w:t xml:space="preserve"> </w:t>
      </w:r>
      <w:r>
        <w:rPr>
          <w:rFonts w:ascii="DejaVu Serif" w:hAnsi="DejaVu Serif"/>
          <w:b/>
          <w:bCs/>
        </w:rPr>
        <w:t>future</w:t>
      </w:r>
      <w:r>
        <w:rPr>
          <w:rFonts w:ascii="DejaVu Serif" w:hAnsi="DejaVu Serif"/>
        </w:rPr>
        <w:t xml:space="preserve"> technology landscape, </w:t>
      </w:r>
      <w:r>
        <w:rPr>
          <w:rFonts w:ascii="DejaVu Serif" w:hAnsi="DejaVu Serif"/>
          <w:b/>
          <w:bCs/>
        </w:rPr>
        <w:t>without</w:t>
      </w:r>
      <w:r>
        <w:rPr>
          <w:rFonts w:ascii="DejaVu Serif" w:hAnsi="DejaVu Serif"/>
        </w:rPr>
        <w:t xml:space="preserve"> losing </w:t>
      </w:r>
      <w:r>
        <w:rPr>
          <w:rFonts w:ascii="DejaVu Serif" w:hAnsi="DejaVu Serif"/>
          <w:b/>
          <w:bCs/>
        </w:rPr>
        <w:t>sight</w:t>
      </w:r>
      <w:r>
        <w:rPr>
          <w:rFonts w:ascii="DejaVu Serif" w:hAnsi="DejaVu Serif"/>
        </w:rPr>
        <w:t xml:space="preserve"> of </w:t>
      </w:r>
      <w:r>
        <w:rPr>
          <w:rFonts w:ascii="DejaVu Serif" w:hAnsi="DejaVu Serif"/>
          <w:b/>
          <w:bCs/>
        </w:rPr>
        <w:t>why</w:t>
      </w:r>
      <w:r>
        <w:rPr>
          <w:rFonts w:ascii="DejaVu Serif" w:hAnsi="DejaVu Serif"/>
        </w:rPr>
        <w:t xml:space="preserve"> the change is </w:t>
      </w:r>
      <w:r>
        <w:rPr>
          <w:rFonts w:ascii="DejaVu Serif" w:hAnsi="DejaVu Serif"/>
          <w:b/>
          <w:bCs/>
        </w:rPr>
        <w:t>being</w:t>
      </w:r>
      <w:r>
        <w:rPr>
          <w:rFonts w:ascii="DejaVu Serif" w:hAnsi="DejaVu Serif"/>
        </w:rPr>
        <w:t xml:space="preserve"> made (the business), </w:t>
      </w:r>
      <w:r>
        <w:rPr>
          <w:rFonts w:ascii="DejaVu Serif" w:hAnsi="DejaVu Serif"/>
          <w:b/>
          <w:bCs/>
        </w:rPr>
        <w:t>what</w:t>
      </w:r>
      <w:r>
        <w:rPr>
          <w:rFonts w:ascii="DejaVu Serif" w:hAnsi="DejaVu Serif"/>
        </w:rPr>
        <w:t xml:space="preserve"> is being </w:t>
      </w:r>
      <w:r>
        <w:rPr>
          <w:rFonts w:ascii="DejaVu Serif" w:hAnsi="DejaVu Serif"/>
          <w:b/>
          <w:bCs/>
        </w:rPr>
        <w:t>changed</w:t>
      </w:r>
      <w:r>
        <w:rPr>
          <w:rFonts w:ascii="DejaVu Serif" w:hAnsi="DejaVu Serif"/>
        </w:rPr>
        <w:t xml:space="preserve"> (the </w:t>
      </w:r>
      <w:r>
        <w:rPr>
          <w:rFonts w:ascii="DejaVu Serif" w:hAnsi="DejaVu Serif"/>
          <w:b/>
          <w:bCs/>
        </w:rPr>
        <w:t>data</w:t>
      </w:r>
      <w:r>
        <w:rPr>
          <w:rFonts w:ascii="DejaVu Serif" w:hAnsi="DejaVu Serif"/>
        </w:rPr>
        <w:t xml:space="preserve">, </w:t>
      </w:r>
      <w:r>
        <w:rPr>
          <w:rFonts w:ascii="DejaVu Serif" w:hAnsi="DejaVu Serif"/>
          <w:b/>
          <w:bCs/>
        </w:rPr>
        <w:t>applications</w:t>
      </w:r>
      <w:r>
        <w:rPr>
          <w:rFonts w:ascii="DejaVu Serif" w:hAnsi="DejaVu Serif"/>
        </w:rPr>
        <w:t xml:space="preserve">, </w:t>
      </w:r>
      <w:r>
        <w:rPr>
          <w:rFonts w:ascii="DejaVu Serif" w:hAnsi="DejaVu Serif"/>
          <w:b/>
          <w:bCs/>
        </w:rPr>
        <w:t>infrastructure</w:t>
      </w:r>
      <w:r>
        <w:rPr>
          <w:rFonts w:ascii="DejaVu Serif" w:hAnsi="DejaVu Serif"/>
        </w:rPr>
        <w:t xml:space="preserve">), and </w:t>
      </w:r>
      <w:r>
        <w:rPr>
          <w:rFonts w:ascii="DejaVu Serif" w:hAnsi="DejaVu Serif"/>
          <w:b/>
          <w:bCs/>
        </w:rPr>
        <w:t>how</w:t>
      </w:r>
      <w:r>
        <w:rPr>
          <w:rFonts w:ascii="DejaVu Serif" w:hAnsi="DejaVu Serif"/>
        </w:rPr>
        <w:t xml:space="preserve"> the change </w:t>
      </w:r>
      <w:r>
        <w:rPr>
          <w:rFonts w:ascii="DejaVu Serif" w:hAnsi="DejaVu Serif"/>
          <w:b/>
          <w:bCs/>
        </w:rPr>
        <w:t>will</w:t>
      </w:r>
      <w:r>
        <w:rPr>
          <w:rFonts w:ascii="DejaVu Serif" w:hAnsi="DejaVu Serif"/>
        </w:rPr>
        <w:t xml:space="preserve"> be </w:t>
      </w:r>
      <w:r>
        <w:rPr>
          <w:rFonts w:ascii="DejaVu Serif" w:hAnsi="DejaVu Serif"/>
          <w:b/>
          <w:bCs/>
        </w:rPr>
        <w:t>controlled</w:t>
      </w:r>
      <w:r>
        <w:rPr>
          <w:rFonts w:ascii="DejaVu Serif" w:hAnsi="DejaVu Serif"/>
        </w:rPr>
        <w:t xml:space="preserve"> (</w:t>
      </w:r>
      <w:r>
        <w:rPr>
          <w:rFonts w:ascii="DejaVu Serif" w:hAnsi="DejaVu Serif"/>
          <w:b/>
          <w:bCs/>
        </w:rPr>
        <w:t>governance</w:t>
      </w:r>
      <w:r>
        <w:rPr>
          <w:rFonts w:ascii="DejaVu Serif" w:hAnsi="DejaVu Serif"/>
        </w:rPr>
        <w:t>).</w:t>
      </w:r>
    </w:p>
    <w:tbl>
      <w:tblPr>
        <w:tblW w:w="9360" w:type="dxa"/>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Normal"/>
              <w:spacing w:before="0" w:after="60"/>
              <w:rPr/>
            </w:pPr>
            <w:r>
              <w:rPr>
                <w:b/>
                <w:bCs/>
                <w:color w:val="1F4E78"/>
              </w:rPr>
              <w:t xml:space="preserve">🔑 </w:t>
            </w:r>
            <w:r>
              <w:rPr>
                <w:b/>
                <w:bCs/>
                <w:color w:val="1F4E78"/>
              </w:rPr>
              <w:t xml:space="preserve">TOGAF: </w:t>
            </w:r>
            <w:r>
              <w:rPr/>
              <w:t>The Open Group Architecture Framework — a comprehensive, openly published Enterprise Architecture (EA) standard that provides methods, deliverables, reference models, and governance guidance for developing and managing enterprise architectures.</w:t>
            </w:r>
          </w:p>
        </w:tc>
      </w:tr>
    </w:tbl>
    <w:p>
      <w:pPr>
        <w:pStyle w:val="Heading2"/>
        <w:spacing w:before="280" w:after="160"/>
        <w:rPr/>
      </w:pPr>
      <w:r>
        <w:rPr>
          <w:b/>
          <w:bCs/>
          <w:color w:val="2E75B6"/>
        </w:rPr>
        <w:t>1.2 The Purpose of TOGAF</w:t>
      </w:r>
    </w:p>
    <w:p>
      <w:pPr>
        <w:pStyle w:val="BodyText"/>
        <w:jc w:val="both"/>
        <w:rPr>
          <w:rFonts w:ascii="DejaVu Serif" w:hAnsi="DejaVu Serif"/>
        </w:rPr>
      </w:pPr>
      <w:r>
        <w:rPr>
          <w:rFonts w:ascii="DejaVu Serif" w:hAnsi="DejaVu Serif"/>
        </w:rPr>
        <w:t xml:space="preserve">TOGAF exists to solve a fundamental problem in large organisations: as enterprises grow, they </w:t>
      </w:r>
      <w:r>
        <w:rPr>
          <w:rFonts w:ascii="DejaVu Serif" w:hAnsi="DejaVu Serif"/>
          <w:b/>
          <w:bCs/>
        </w:rPr>
        <w:t>accumulate</w:t>
      </w:r>
      <w:r>
        <w:rPr>
          <w:rFonts w:ascii="DejaVu Serif" w:hAnsi="DejaVu Serif"/>
        </w:rPr>
        <w:t xml:space="preserve"> technology, processes, data, and systems in an unplanned way. The result is a tangled landscape that is expensive to run, slow to change, hard to understand, and impossible to </w:t>
      </w:r>
      <w:r>
        <w:rPr>
          <w:rFonts w:ascii="DejaVu Serif" w:hAnsi="DejaVu Serif"/>
          <w:b/>
          <w:bCs/>
        </w:rPr>
        <w:t>govern</w:t>
      </w:r>
      <w:r>
        <w:rPr>
          <w:rFonts w:ascii="DejaVu Serif" w:hAnsi="DejaVu Serif"/>
        </w:rPr>
        <w:t xml:space="preserve">. TOGAF </w:t>
      </w:r>
      <w:r>
        <w:rPr>
          <w:rFonts w:ascii="DejaVu Serif" w:hAnsi="DejaVu Serif"/>
          <w:b/>
          <w:bCs/>
        </w:rPr>
        <w:t>gives</w:t>
      </w:r>
      <w:r>
        <w:rPr>
          <w:rFonts w:ascii="DejaVu Serif" w:hAnsi="DejaVu Serif"/>
        </w:rPr>
        <w:t xml:space="preserve"> organisations a common </w:t>
      </w:r>
      <w:r>
        <w:rPr>
          <w:rFonts w:ascii="DejaVu Serif" w:hAnsi="DejaVu Serif"/>
          <w:b/>
          <w:bCs/>
        </w:rPr>
        <w:t>language</w:t>
      </w:r>
      <w:r>
        <w:rPr>
          <w:rFonts w:ascii="DejaVu Serif" w:hAnsi="DejaVu Serif"/>
        </w:rPr>
        <w:t xml:space="preserve">, a common </w:t>
      </w:r>
      <w:r>
        <w:rPr>
          <w:rFonts w:ascii="DejaVu Serif" w:hAnsi="DejaVu Serif"/>
          <w:b/>
          <w:bCs/>
        </w:rPr>
        <w:t>method</w:t>
      </w:r>
      <w:r>
        <w:rPr>
          <w:rFonts w:ascii="DejaVu Serif" w:hAnsi="DejaVu Serif"/>
        </w:rPr>
        <w:t xml:space="preserve">, and a common </w:t>
      </w:r>
      <w:r>
        <w:rPr>
          <w:rFonts w:ascii="DejaVu Serif" w:hAnsi="DejaVu Serif"/>
          <w:b/>
          <w:bCs/>
        </w:rPr>
        <w:t>set</w:t>
      </w:r>
      <w:r>
        <w:rPr>
          <w:rFonts w:ascii="DejaVu Serif" w:hAnsi="DejaVu Serif"/>
        </w:rPr>
        <w:t xml:space="preserve"> of </w:t>
      </w:r>
      <w:r>
        <w:rPr>
          <w:rFonts w:ascii="DejaVu Serif" w:hAnsi="DejaVu Serif"/>
          <w:b/>
          <w:bCs/>
        </w:rPr>
        <w:t>artefacts</w:t>
      </w:r>
      <w:r>
        <w:rPr>
          <w:rFonts w:ascii="DejaVu Serif" w:hAnsi="DejaVu Serif"/>
        </w:rPr>
        <w:t xml:space="preserve"> so that architecture can be done deliberately rather than accidentally.</w:t>
      </w:r>
    </w:p>
    <w:p>
      <w:pPr>
        <w:pStyle w:val="Heading3"/>
        <w:spacing w:before="220" w:after="120"/>
        <w:rPr/>
      </w:pPr>
      <w:r>
        <w:rPr>
          <w:b/>
          <w:bCs/>
          <w:color w:val="404040"/>
        </w:rPr>
        <w:t>Specific Purposes</w:t>
      </w:r>
    </w:p>
    <w:p>
      <w:pPr>
        <w:pStyle w:val="ListParagraph"/>
        <w:numPr>
          <w:ilvl w:val="0"/>
          <w:numId w:val="2"/>
        </w:numPr>
        <w:spacing w:lineRule="auto" w:line="281" w:before="0" w:after="80"/>
        <w:rPr>
          <w:rFonts w:ascii="DejaVu Serif" w:hAnsi="DejaVu Serif"/>
        </w:rPr>
      </w:pPr>
      <w:r>
        <w:rPr>
          <w:rFonts w:ascii="DejaVu Serif" w:hAnsi="DejaVu Serif"/>
        </w:rPr>
        <w:t xml:space="preserve">Provide a </w:t>
      </w:r>
      <w:r>
        <w:rPr>
          <w:rFonts w:ascii="DejaVu Serif" w:hAnsi="DejaVu Serif"/>
          <w:b/>
          <w:bCs/>
        </w:rPr>
        <w:t>repeatable</w:t>
      </w:r>
      <w:r>
        <w:rPr>
          <w:rFonts w:ascii="DejaVu Serif" w:hAnsi="DejaVu Serif"/>
        </w:rPr>
        <w:t xml:space="preserve"> </w:t>
      </w:r>
      <w:r>
        <w:rPr>
          <w:rFonts w:ascii="DejaVu Serif" w:hAnsi="DejaVu Serif"/>
          <w:b/>
          <w:bCs/>
        </w:rPr>
        <w:t>method</w:t>
      </w:r>
      <w:r>
        <w:rPr>
          <w:rFonts w:ascii="DejaVu Serif" w:hAnsi="DejaVu Serif"/>
        </w:rPr>
        <w:t xml:space="preserve"> (the ADM) for developing architectures.</w:t>
      </w:r>
    </w:p>
    <w:p>
      <w:pPr>
        <w:pStyle w:val="ListParagraph"/>
        <w:numPr>
          <w:ilvl w:val="0"/>
          <w:numId w:val="2"/>
        </w:numPr>
        <w:spacing w:lineRule="auto" w:line="281" w:before="0" w:after="80"/>
        <w:rPr>
          <w:rFonts w:ascii="DejaVu Serif" w:hAnsi="DejaVu Serif"/>
        </w:rPr>
      </w:pPr>
      <w:r>
        <w:rPr>
          <w:rFonts w:ascii="DejaVu Serif" w:hAnsi="DejaVu Serif"/>
        </w:rPr>
        <w:t xml:space="preserve">Provide a common </w:t>
      </w:r>
      <w:r>
        <w:rPr>
          <w:rFonts w:ascii="DejaVu Serif" w:hAnsi="DejaVu Serif"/>
          <w:b/>
          <w:bCs/>
        </w:rPr>
        <w:t>vocabulary</w:t>
      </w:r>
      <w:r>
        <w:rPr>
          <w:rFonts w:ascii="DejaVu Serif" w:hAnsi="DejaVu Serif"/>
        </w:rPr>
        <w:t xml:space="preserve"> so that business, IT, security, and data professionals can communicate </w:t>
      </w:r>
      <w:r>
        <w:rPr>
          <w:rFonts w:ascii="DejaVu Serif" w:hAnsi="DejaVu Serif"/>
          <w:b/>
          <w:bCs/>
        </w:rPr>
        <w:t>without</w:t>
      </w:r>
      <w:r>
        <w:rPr>
          <w:rFonts w:ascii="DejaVu Serif" w:hAnsi="DejaVu Serif"/>
        </w:rPr>
        <w:t xml:space="preserve"> confusion.</w:t>
      </w:r>
    </w:p>
    <w:p>
      <w:pPr>
        <w:pStyle w:val="ListParagraph"/>
        <w:numPr>
          <w:ilvl w:val="0"/>
          <w:numId w:val="2"/>
        </w:numPr>
        <w:spacing w:lineRule="auto" w:line="281" w:before="0" w:after="80"/>
        <w:rPr>
          <w:rFonts w:ascii="DejaVu Serif" w:hAnsi="DejaVu Serif"/>
        </w:rPr>
      </w:pPr>
      <w:r>
        <w:rPr>
          <w:rFonts w:ascii="DejaVu Serif" w:hAnsi="DejaVu Serif"/>
        </w:rPr>
        <w:t xml:space="preserve">Reduce risk and cost in </w:t>
      </w:r>
      <w:r>
        <w:rPr>
          <w:rFonts w:ascii="DejaVu Serif" w:hAnsi="DejaVu Serif"/>
          <w:b/>
          <w:bCs/>
        </w:rPr>
        <w:t>transformation</w:t>
      </w:r>
      <w:r>
        <w:rPr>
          <w:rFonts w:ascii="DejaVu Serif" w:hAnsi="DejaVu Serif"/>
        </w:rPr>
        <w:t xml:space="preserve"> programmes by promoting reuse and discouraging duplication.</w:t>
      </w:r>
    </w:p>
    <w:p>
      <w:pPr>
        <w:pStyle w:val="ListParagraph"/>
        <w:numPr>
          <w:ilvl w:val="0"/>
          <w:numId w:val="2"/>
        </w:numPr>
        <w:spacing w:lineRule="auto" w:line="281" w:before="0" w:after="80"/>
        <w:rPr>
          <w:rFonts w:ascii="DejaVu Serif" w:hAnsi="DejaVu Serif"/>
        </w:rPr>
      </w:pPr>
      <w:r>
        <w:rPr>
          <w:rFonts w:ascii="DejaVu Serif" w:hAnsi="DejaVu Serif"/>
        </w:rPr>
        <w:t>Align IT investment with business strategy through traceability from goals → capabilities → systems.</w:t>
      </w:r>
    </w:p>
    <w:p>
      <w:pPr>
        <w:pStyle w:val="ListParagraph"/>
        <w:numPr>
          <w:ilvl w:val="0"/>
          <w:numId w:val="2"/>
        </w:numPr>
        <w:spacing w:lineRule="auto" w:line="281" w:before="0" w:after="80"/>
        <w:rPr>
          <w:rFonts w:ascii="DejaVu Serif" w:hAnsi="DejaVu Serif"/>
        </w:rPr>
      </w:pPr>
      <w:r>
        <w:rPr>
          <w:rFonts w:ascii="DejaVu Serif" w:hAnsi="DejaVu Serif"/>
        </w:rPr>
        <w:t>Promote interoperability and openness through vendor-neutral standards.</w:t>
      </w:r>
    </w:p>
    <w:p>
      <w:pPr>
        <w:pStyle w:val="ListParagraph"/>
        <w:numPr>
          <w:ilvl w:val="0"/>
          <w:numId w:val="2"/>
        </w:numPr>
        <w:spacing w:lineRule="auto" w:line="281" w:before="0" w:after="80"/>
        <w:rPr>
          <w:rFonts w:ascii="DejaVu Serif" w:hAnsi="DejaVu Serif"/>
        </w:rPr>
      </w:pPr>
      <w:r>
        <w:rPr>
          <w:rFonts w:ascii="DejaVu Serif" w:hAnsi="DejaVu Serif"/>
        </w:rPr>
        <w:t>Support effective governance so that architectures are not just designed but actually adhered to.</w:t>
      </w:r>
    </w:p>
    <w:p>
      <w:pPr>
        <w:pStyle w:val="ListParagraph"/>
        <w:numPr>
          <w:ilvl w:val="0"/>
          <w:numId w:val="2"/>
        </w:numPr>
        <w:spacing w:lineRule="auto" w:line="281" w:before="0" w:after="80"/>
        <w:rPr>
          <w:rFonts w:ascii="DejaVu Serif" w:hAnsi="DejaVu Serif"/>
        </w:rPr>
      </w:pPr>
      <w:r>
        <w:rPr>
          <w:rFonts w:ascii="DejaVu Serif" w:hAnsi="DejaVu Serif"/>
        </w:rPr>
        <w:t>Enable certification of practitioners so that organisations can hire architects with verified knowledge.</w:t>
      </w:r>
    </w:p>
    <w:p>
      <w:pPr>
        <w:pStyle w:val="Heading2"/>
        <w:spacing w:before="280" w:after="160"/>
        <w:rPr>
          <w:b/>
          <w:bCs/>
          <w:color w:val="2E75B6"/>
        </w:rPr>
      </w:pPr>
      <w:r>
        <w:rPr>
          <w:rFonts w:ascii="DejaVu Serif" w:hAnsi="DejaVu Serif"/>
          <w:b/>
          <w:bCs/>
          <w:color w:val="2E75B6"/>
        </w:rPr>
        <w:t>1.3 Target Us</w:t>
      </w:r>
      <w:r>
        <w:rPr>
          <w:b/>
          <w:bCs/>
          <w:color w:val="2E75B6"/>
        </w:rPr>
        <w:t>ers</w:t>
      </w:r>
    </w:p>
    <w:p>
      <w:pPr>
        <w:pStyle w:val="BodyText"/>
        <w:jc w:val="both"/>
        <w:rPr>
          <w:rFonts w:ascii="DejaVu Serif" w:hAnsi="DejaVu Serif"/>
        </w:rPr>
      </w:pPr>
      <w:r>
        <w:rPr>
          <w:rFonts w:ascii="DejaVu Serif" w:hAnsi="DejaVu Serif"/>
        </w:rPr>
        <w:t>TOGAF is not written for a single audience. It is layered so that different people can read different parts of it. The Open Group explicitly identifies the following target users:</w:t>
      </w:r>
    </w:p>
    <w:tbl>
      <w:tblPr>
        <w:tblW w:w="9360" w:type="dxa"/>
        <w:jc w:val="left"/>
        <w:tblInd w:w="0" w:type="dxa"/>
        <w:tblLayout w:type="fixed"/>
        <w:tblCellMar>
          <w:top w:w="100" w:type="dxa"/>
          <w:left w:w="120" w:type="dxa"/>
          <w:bottom w:w="100" w:type="dxa"/>
          <w:right w:w="120" w:type="dxa"/>
        </w:tblCellMar>
      </w:tblPr>
      <w:tblGrid>
        <w:gridCol w:w="1829"/>
        <w:gridCol w:w="3871"/>
        <w:gridCol w:w="3660"/>
      </w:tblGrid>
      <w:tr>
        <w:trPr>
          <w:tblHeader w:val="true"/>
          <w:trHeight w:val="750" w:hRule="atLeast"/>
        </w:trPr>
        <w:tc>
          <w:tcPr>
            <w:tcW w:w="1829"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jc w:val="both"/>
              <w:rPr>
                <w:sz w:val="20"/>
                <w:szCs w:val="20"/>
              </w:rPr>
            </w:pPr>
            <w:r>
              <w:rPr>
                <w:rFonts w:ascii="DejaVu Serif" w:hAnsi="DejaVu Serif"/>
                <w:sz w:val="20"/>
                <w:szCs w:val="20"/>
              </w:rPr>
              <w:t>User Group</w:t>
            </w:r>
          </w:p>
        </w:tc>
        <w:tc>
          <w:tcPr>
            <w:tcW w:w="3871"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jc w:val="both"/>
              <w:rPr>
                <w:sz w:val="20"/>
                <w:szCs w:val="20"/>
              </w:rPr>
            </w:pPr>
            <w:r>
              <w:rPr>
                <w:rFonts w:ascii="DejaVu Serif" w:hAnsi="DejaVu Serif"/>
                <w:sz w:val="20"/>
                <w:szCs w:val="20"/>
              </w:rPr>
              <w:t>Why They Use TOGAF</w:t>
            </w:r>
          </w:p>
        </w:tc>
        <w:tc>
          <w:tcPr>
            <w:tcW w:w="3660"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jc w:val="both"/>
              <w:rPr>
                <w:sz w:val="20"/>
                <w:szCs w:val="20"/>
              </w:rPr>
            </w:pPr>
            <w:r>
              <w:rPr>
                <w:rFonts w:ascii="DejaVu Serif" w:hAnsi="DejaVu Serif"/>
                <w:sz w:val="20"/>
                <w:szCs w:val="20"/>
              </w:rPr>
              <w:t>Typical TOGAF Areas of Interest</w:t>
            </w:r>
          </w:p>
        </w:tc>
      </w:tr>
      <w:tr>
        <w:trPr/>
        <w:tc>
          <w:tcPr>
            <w:tcW w:w="182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jc w:val="both"/>
              <w:rPr>
                <w:sz w:val="20"/>
                <w:szCs w:val="20"/>
              </w:rPr>
            </w:pPr>
            <w:r>
              <w:rPr>
                <w:rFonts w:ascii="DejaVu Serif" w:hAnsi="DejaVu Serif"/>
                <w:sz w:val="20"/>
                <w:szCs w:val="20"/>
              </w:rPr>
              <w:t>Enterprise Architects</w:t>
            </w:r>
          </w:p>
        </w:tc>
        <w:tc>
          <w:tcPr>
            <w:tcW w:w="387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jc w:val="both"/>
              <w:rPr>
                <w:sz w:val="20"/>
                <w:szCs w:val="20"/>
              </w:rPr>
            </w:pPr>
            <w:r>
              <w:rPr>
                <w:rFonts w:ascii="DejaVu Serif" w:hAnsi="DejaVu Serif"/>
                <w:sz w:val="20"/>
                <w:szCs w:val="20"/>
              </w:rPr>
              <w:t>To design, evolve and govern the overall architecture of the enterprise.</w:t>
            </w:r>
          </w:p>
        </w:tc>
        <w:tc>
          <w:tcPr>
            <w:tcW w:w="36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jc w:val="both"/>
              <w:rPr>
                <w:sz w:val="20"/>
                <w:szCs w:val="20"/>
              </w:rPr>
            </w:pPr>
            <w:r>
              <w:rPr>
                <w:rFonts w:ascii="DejaVu Serif" w:hAnsi="DejaVu Serif"/>
                <w:sz w:val="20"/>
                <w:szCs w:val="20"/>
              </w:rPr>
              <w:t>ADM, Content Framework, Repository, Reference Models</w:t>
            </w:r>
          </w:p>
        </w:tc>
      </w:tr>
      <w:tr>
        <w:trPr/>
        <w:tc>
          <w:tcPr>
            <w:tcW w:w="182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jc w:val="both"/>
              <w:rPr>
                <w:sz w:val="20"/>
                <w:szCs w:val="20"/>
              </w:rPr>
            </w:pPr>
            <w:r>
              <w:rPr>
                <w:rFonts w:ascii="DejaVu Serif" w:hAnsi="DejaVu Serif"/>
                <w:sz w:val="20"/>
                <w:szCs w:val="20"/>
              </w:rPr>
              <w:t>Solution Architects</w:t>
            </w:r>
          </w:p>
        </w:tc>
        <w:tc>
          <w:tcPr>
            <w:tcW w:w="3871"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jc w:val="both"/>
              <w:rPr>
                <w:sz w:val="20"/>
                <w:szCs w:val="20"/>
              </w:rPr>
            </w:pPr>
            <w:r>
              <w:rPr>
                <w:rFonts w:ascii="DejaVu Serif" w:hAnsi="DejaVu Serif"/>
                <w:sz w:val="20"/>
                <w:szCs w:val="20"/>
              </w:rPr>
              <w:t>To design specific solutions that fit within the enterprise architecture.</w:t>
            </w:r>
          </w:p>
        </w:tc>
        <w:tc>
          <w:tcPr>
            <w:tcW w:w="366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jc w:val="both"/>
              <w:rPr>
                <w:sz w:val="20"/>
                <w:szCs w:val="20"/>
              </w:rPr>
            </w:pPr>
            <w:r>
              <w:rPr>
                <w:rFonts w:ascii="DejaVu Serif" w:hAnsi="DejaVu Serif"/>
                <w:sz w:val="20"/>
                <w:szCs w:val="20"/>
              </w:rPr>
              <w:t>ADM Phases B–D, Building Blocks, Standards</w:t>
            </w:r>
          </w:p>
        </w:tc>
      </w:tr>
      <w:tr>
        <w:trPr/>
        <w:tc>
          <w:tcPr>
            <w:tcW w:w="182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jc w:val="both"/>
              <w:rPr>
                <w:sz w:val="20"/>
                <w:szCs w:val="20"/>
              </w:rPr>
            </w:pPr>
            <w:r>
              <w:rPr>
                <w:rFonts w:ascii="DejaVu Serif" w:hAnsi="DejaVu Serif"/>
                <w:sz w:val="20"/>
                <w:szCs w:val="20"/>
              </w:rPr>
              <w:t>Business Architects</w:t>
            </w:r>
          </w:p>
        </w:tc>
        <w:tc>
          <w:tcPr>
            <w:tcW w:w="387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jc w:val="both"/>
              <w:rPr>
                <w:sz w:val="20"/>
                <w:szCs w:val="20"/>
              </w:rPr>
            </w:pPr>
            <w:r>
              <w:rPr>
                <w:rFonts w:ascii="DejaVu Serif" w:hAnsi="DejaVu Serif"/>
                <w:sz w:val="20"/>
                <w:szCs w:val="20"/>
              </w:rPr>
              <w:t>To map business capabilities, value streams and processes to IT.</w:t>
            </w:r>
          </w:p>
        </w:tc>
        <w:tc>
          <w:tcPr>
            <w:tcW w:w="36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jc w:val="both"/>
              <w:rPr>
                <w:sz w:val="20"/>
                <w:szCs w:val="20"/>
              </w:rPr>
            </w:pPr>
            <w:r>
              <w:rPr>
                <w:rFonts w:ascii="DejaVu Serif" w:hAnsi="DejaVu Serif"/>
                <w:sz w:val="20"/>
                <w:szCs w:val="20"/>
              </w:rPr>
              <w:t>Phase B (Business Architecture), Capability Modelling</w:t>
            </w:r>
          </w:p>
        </w:tc>
      </w:tr>
      <w:tr>
        <w:trPr/>
        <w:tc>
          <w:tcPr>
            <w:tcW w:w="182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jc w:val="both"/>
              <w:rPr>
                <w:sz w:val="20"/>
                <w:szCs w:val="20"/>
              </w:rPr>
            </w:pPr>
            <w:r>
              <w:rPr>
                <w:rFonts w:ascii="DejaVu Serif" w:hAnsi="DejaVu Serif"/>
                <w:sz w:val="20"/>
                <w:szCs w:val="20"/>
              </w:rPr>
              <w:t>Data / Application / Technology Architects</w:t>
            </w:r>
          </w:p>
        </w:tc>
        <w:tc>
          <w:tcPr>
            <w:tcW w:w="3871"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jc w:val="both"/>
              <w:rPr>
                <w:sz w:val="20"/>
                <w:szCs w:val="20"/>
              </w:rPr>
            </w:pPr>
            <w:r>
              <w:rPr>
                <w:rFonts w:ascii="DejaVu Serif" w:hAnsi="DejaVu Serif"/>
                <w:sz w:val="20"/>
                <w:szCs w:val="20"/>
              </w:rPr>
              <w:t>To define domain-specific architectures.</w:t>
            </w:r>
          </w:p>
        </w:tc>
        <w:tc>
          <w:tcPr>
            <w:tcW w:w="366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jc w:val="both"/>
              <w:rPr>
                <w:sz w:val="20"/>
                <w:szCs w:val="20"/>
              </w:rPr>
            </w:pPr>
            <w:r>
              <w:rPr>
                <w:rFonts w:ascii="DejaVu Serif" w:hAnsi="DejaVu Serif"/>
                <w:sz w:val="20"/>
                <w:szCs w:val="20"/>
              </w:rPr>
              <w:t>Phases C and D, TRM, III-RM</w:t>
            </w:r>
          </w:p>
        </w:tc>
      </w:tr>
      <w:tr>
        <w:trPr/>
        <w:tc>
          <w:tcPr>
            <w:tcW w:w="182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jc w:val="both"/>
              <w:rPr>
                <w:sz w:val="20"/>
                <w:szCs w:val="20"/>
              </w:rPr>
            </w:pPr>
            <w:r>
              <w:rPr>
                <w:rFonts w:ascii="DejaVu Serif" w:hAnsi="DejaVu Serif"/>
                <w:sz w:val="20"/>
                <w:szCs w:val="20"/>
              </w:rPr>
              <w:t>Programme &amp; Project Managers</w:t>
            </w:r>
          </w:p>
        </w:tc>
        <w:tc>
          <w:tcPr>
            <w:tcW w:w="387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jc w:val="both"/>
              <w:rPr>
                <w:sz w:val="20"/>
                <w:szCs w:val="20"/>
              </w:rPr>
            </w:pPr>
            <w:r>
              <w:rPr>
                <w:rFonts w:ascii="DejaVu Serif" w:hAnsi="DejaVu Serif"/>
                <w:sz w:val="20"/>
                <w:szCs w:val="20"/>
              </w:rPr>
              <w:t>To understand how architecture deliverables feed into delivery.</w:t>
            </w:r>
          </w:p>
        </w:tc>
        <w:tc>
          <w:tcPr>
            <w:tcW w:w="36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jc w:val="both"/>
              <w:rPr>
                <w:sz w:val="20"/>
                <w:szCs w:val="20"/>
              </w:rPr>
            </w:pPr>
            <w:r>
              <w:rPr>
                <w:rFonts w:ascii="DejaVu Serif" w:hAnsi="DejaVu Serif"/>
                <w:sz w:val="20"/>
                <w:szCs w:val="20"/>
              </w:rPr>
              <w:t>Phases E–G, Implementation Governance</w:t>
            </w:r>
          </w:p>
        </w:tc>
      </w:tr>
      <w:tr>
        <w:trPr/>
        <w:tc>
          <w:tcPr>
            <w:tcW w:w="182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jc w:val="both"/>
              <w:rPr>
                <w:sz w:val="20"/>
                <w:szCs w:val="20"/>
              </w:rPr>
            </w:pPr>
            <w:r>
              <w:rPr>
                <w:rFonts w:ascii="DejaVu Serif" w:hAnsi="DejaVu Serif"/>
                <w:sz w:val="20"/>
                <w:szCs w:val="20"/>
              </w:rPr>
              <w:t>CIOs and IT Leadership</w:t>
            </w:r>
          </w:p>
        </w:tc>
        <w:tc>
          <w:tcPr>
            <w:tcW w:w="3871"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jc w:val="both"/>
              <w:rPr>
                <w:sz w:val="20"/>
                <w:szCs w:val="20"/>
              </w:rPr>
            </w:pPr>
            <w:r>
              <w:rPr>
                <w:rFonts w:ascii="DejaVu Serif" w:hAnsi="DejaVu Serif"/>
                <w:sz w:val="20"/>
                <w:szCs w:val="20"/>
              </w:rPr>
              <w:t>To establish an architecture practice and align IT to strategy.</w:t>
            </w:r>
          </w:p>
        </w:tc>
        <w:tc>
          <w:tcPr>
            <w:tcW w:w="366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jc w:val="both"/>
              <w:rPr>
                <w:sz w:val="20"/>
                <w:szCs w:val="20"/>
              </w:rPr>
            </w:pPr>
            <w:r>
              <w:rPr>
                <w:rFonts w:ascii="DejaVu Serif" w:hAnsi="DejaVu Serif"/>
                <w:sz w:val="20"/>
                <w:szCs w:val="20"/>
              </w:rPr>
              <w:t>Preliminary Phase, Architecture Capability Framework</w:t>
            </w:r>
          </w:p>
        </w:tc>
      </w:tr>
      <w:tr>
        <w:trPr/>
        <w:tc>
          <w:tcPr>
            <w:tcW w:w="182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jc w:val="both"/>
              <w:rPr>
                <w:sz w:val="20"/>
                <w:szCs w:val="20"/>
              </w:rPr>
            </w:pPr>
            <w:r>
              <w:rPr>
                <w:rFonts w:ascii="DejaVu Serif" w:hAnsi="DejaVu Serif"/>
                <w:sz w:val="20"/>
                <w:szCs w:val="20"/>
              </w:rPr>
              <w:t>Vendors and Consultants</w:t>
            </w:r>
          </w:p>
        </w:tc>
        <w:tc>
          <w:tcPr>
            <w:tcW w:w="387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jc w:val="both"/>
              <w:rPr>
                <w:sz w:val="20"/>
                <w:szCs w:val="20"/>
              </w:rPr>
            </w:pPr>
            <w:r>
              <w:rPr>
                <w:rFonts w:ascii="DejaVu Serif" w:hAnsi="DejaVu Serif"/>
                <w:sz w:val="20"/>
                <w:szCs w:val="20"/>
              </w:rPr>
              <w:t>To align products and services with a recognised standard.</w:t>
            </w:r>
          </w:p>
        </w:tc>
        <w:tc>
          <w:tcPr>
            <w:tcW w:w="36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jc w:val="both"/>
              <w:rPr>
                <w:sz w:val="20"/>
                <w:szCs w:val="20"/>
              </w:rPr>
            </w:pPr>
            <w:r>
              <w:rPr>
                <w:rFonts w:ascii="DejaVu Serif" w:hAnsi="DejaVu Serif"/>
                <w:sz w:val="20"/>
                <w:szCs w:val="20"/>
              </w:rPr>
              <w:t>Reference Models, Standards Information Base</w:t>
            </w:r>
          </w:p>
        </w:tc>
      </w:tr>
      <w:tr>
        <w:trPr/>
        <w:tc>
          <w:tcPr>
            <w:tcW w:w="182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jc w:val="both"/>
              <w:rPr>
                <w:sz w:val="20"/>
                <w:szCs w:val="20"/>
              </w:rPr>
            </w:pPr>
            <w:r>
              <w:rPr>
                <w:rFonts w:ascii="DejaVu Serif" w:hAnsi="DejaVu Serif"/>
                <w:sz w:val="20"/>
                <w:szCs w:val="20"/>
              </w:rPr>
              <w:t>Auditors and Risk Officers</w:t>
            </w:r>
          </w:p>
        </w:tc>
        <w:tc>
          <w:tcPr>
            <w:tcW w:w="3871"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jc w:val="both"/>
              <w:rPr>
                <w:sz w:val="20"/>
                <w:szCs w:val="20"/>
              </w:rPr>
            </w:pPr>
            <w:r>
              <w:rPr>
                <w:rFonts w:ascii="DejaVu Serif" w:hAnsi="DejaVu Serif"/>
                <w:sz w:val="20"/>
                <w:szCs w:val="20"/>
              </w:rPr>
              <w:t>To assess whether architecture decisions are governed.</w:t>
            </w:r>
          </w:p>
        </w:tc>
        <w:tc>
          <w:tcPr>
            <w:tcW w:w="366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jc w:val="both"/>
              <w:rPr>
                <w:sz w:val="20"/>
                <w:szCs w:val="20"/>
              </w:rPr>
            </w:pPr>
            <w:r>
              <w:rPr>
                <w:rFonts w:ascii="DejaVu Serif" w:hAnsi="DejaVu Serif"/>
                <w:sz w:val="20"/>
                <w:szCs w:val="20"/>
              </w:rPr>
              <w:t>Architecture Governance, Compliance Reviews</w:t>
            </w:r>
          </w:p>
        </w:tc>
      </w:tr>
    </w:tbl>
    <w:p>
      <w:pPr>
        <w:pStyle w:val="BodyText"/>
        <w:jc w:val="both"/>
        <w:rPr>
          <w:rFonts w:ascii="DejaVu Serif" w:hAnsi="DejaVu Serif"/>
        </w:rPr>
      </w:pPr>
      <w:r>
        <w:rPr>
          <w:rFonts w:ascii="DejaVu Serif" w:hAnsi="DejaVu Serif"/>
        </w:rPr>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4" w:space="0" w:color="2E75B6"/>
            </w:tcBorders>
            <w:shd w:fill="EAF1F8" w:val="clear"/>
          </w:tcPr>
          <w:p>
            <w:pPr>
              <w:pStyle w:val="BodyText"/>
              <w:rPr>
                <w:rFonts w:ascii="DejaVu Serif" w:hAnsi="DejaVu Serif"/>
              </w:rPr>
            </w:pPr>
            <w:r>
              <w:rPr>
                <w:rFonts w:ascii="DejaVu Serif" w:hAnsi="DejaVu Serif"/>
              </w:rPr>
              <w:t xml:space="preserve">▶ </w:t>
            </w:r>
            <w:r>
              <w:rPr>
                <w:rFonts w:ascii="DejaVu Serif" w:hAnsi="DejaVu Serif"/>
              </w:rPr>
              <w:t>Real-World Example: A Global Bank Adopts TOGAF</w:t>
            </w:r>
          </w:p>
          <w:p>
            <w:pPr>
              <w:pStyle w:val="BodyText"/>
              <w:rPr>
                <w:rFonts w:ascii="DejaVu Serif" w:hAnsi="DejaVu Serif"/>
              </w:rPr>
            </w:pPr>
            <w:r>
              <w:rPr>
                <w:rFonts w:ascii="DejaVu Serif" w:hAnsi="DejaVu Serif"/>
              </w:rPr>
              <w:t>A multinational bank operating in 30 countries finds that each region runs its own core-banking system, customer database and reporting tool. Mergers and acquisitions over 20 years have left the bank with 14 different CRM platforms. Compliance reporting takes three months because data must be reconciled by hand.</w:t>
            </w:r>
          </w:p>
          <w:p>
            <w:pPr>
              <w:pStyle w:val="BodyText"/>
              <w:rPr>
                <w:rFonts w:ascii="DejaVu Serif" w:hAnsi="DejaVu Serif"/>
              </w:rPr>
            </w:pPr>
            <w:r>
              <w:rPr>
                <w:rFonts w:ascii="DejaVu Serif" w:hAnsi="DejaVu Serif"/>
              </w:rPr>
              <w:t>The bank adopts TOGAF to: (1) describe a single target architecture for customer data; (2) give every regional CIO a common vocabulary; (3) define a transition roadmap to consolidate the 14 CRMs onto two strategic platforms over five years; and (4) put in place an Architecture Board that approves any new system before procurement.</w:t>
            </w:r>
          </w:p>
          <w:p>
            <w:pPr>
              <w:pStyle w:val="BodyText"/>
              <w:spacing w:before="0" w:after="140"/>
              <w:rPr>
                <w:rFonts w:ascii="DejaVu Serif" w:hAnsi="DejaVu Serif"/>
              </w:rPr>
            </w:pPr>
            <w:r>
              <w:rPr>
                <w:rFonts w:ascii="DejaVu Serif" w:hAnsi="DejaVu Serif"/>
              </w:rPr>
              <w:t>Without TOGAF, each region would propose its own solution, the consolidation would have no roadmap, and the Architecture Board would have nothing consistent to approve against.</w:t>
            </w:r>
          </w:p>
        </w:tc>
      </w:tr>
    </w:tbl>
    <w:p>
      <w:pPr>
        <w:pStyle w:val="Heading1"/>
        <w:spacing w:before="0" w:after="200"/>
        <w:rPr/>
      </w:pPr>
      <w:r>
        <w:rPr>
          <w:b/>
          <w:bCs/>
          <w:color w:val="1F4E78"/>
        </w:rPr>
        <w:t>2. TOGAF Version Timeline</w:t>
      </w:r>
    </w:p>
    <w:p>
      <w:pPr>
        <w:pStyle w:val="BodyText"/>
        <w:jc w:val="both"/>
        <w:rPr>
          <w:rFonts w:ascii="DejaVu Serif" w:hAnsi="DejaVu Serif"/>
        </w:rPr>
      </w:pPr>
      <w:r>
        <w:rPr>
          <w:rFonts w:ascii="DejaVu Serif" w:hAnsi="DejaVu Serif"/>
        </w:rPr>
        <w:t>Understanding TOGAF's history is essential because each major version reflects a shift in thinking about enterprise architecture. The framework did not appear fully formed; it evolved over more than three decades from a U.S. Department of Defense initiative into the most widely adopted EA framework in the world.</w:t>
      </w:r>
    </w:p>
    <w:p>
      <w:pPr>
        <w:pStyle w:val="Heading2"/>
        <w:spacing w:before="280" w:after="160"/>
        <w:rPr/>
      </w:pPr>
      <w:r>
        <w:rPr>
          <w:b/>
          <w:bCs/>
          <w:color w:val="2E75B6"/>
        </w:rPr>
        <w:t>2.1 The Full Lineage at a Glance</w:t>
      </w:r>
    </w:p>
    <w:tbl>
      <w:tblPr>
        <w:tblW w:w="9360" w:type="dxa"/>
        <w:jc w:val="left"/>
        <w:tblInd w:w="0" w:type="dxa"/>
        <w:tblLayout w:type="fixed"/>
        <w:tblCellMar>
          <w:top w:w="100" w:type="dxa"/>
          <w:left w:w="120" w:type="dxa"/>
          <w:bottom w:w="100" w:type="dxa"/>
          <w:right w:w="120" w:type="dxa"/>
        </w:tblCellMar>
      </w:tblPr>
      <w:tblGrid>
        <w:gridCol w:w="900"/>
        <w:gridCol w:w="2900"/>
        <w:gridCol w:w="5560"/>
      </w:tblGrid>
      <w:tr>
        <w:trPr>
          <w:tblHeader w:val="true"/>
        </w:trPr>
        <w:tc>
          <w:tcPr>
            <w:tcW w:w="900"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sz w:val="20"/>
                <w:szCs w:val="20"/>
              </w:rPr>
            </w:pPr>
            <w:r>
              <w:rPr>
                <w:rFonts w:ascii="DejaVu Serif" w:hAnsi="DejaVu Serif"/>
                <w:sz w:val="20"/>
                <w:szCs w:val="20"/>
              </w:rPr>
              <w:t>Year</w:t>
            </w:r>
          </w:p>
        </w:tc>
        <w:tc>
          <w:tcPr>
            <w:tcW w:w="2900"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sz w:val="20"/>
                <w:szCs w:val="20"/>
              </w:rPr>
            </w:pPr>
            <w:r>
              <w:rPr>
                <w:rFonts w:ascii="DejaVu Serif" w:hAnsi="DejaVu Serif"/>
                <w:sz w:val="20"/>
                <w:szCs w:val="20"/>
              </w:rPr>
              <w:t>Version / Event</w:t>
            </w:r>
          </w:p>
        </w:tc>
        <w:tc>
          <w:tcPr>
            <w:tcW w:w="5560"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sz w:val="20"/>
                <w:szCs w:val="20"/>
              </w:rPr>
            </w:pPr>
            <w:r>
              <w:rPr>
                <w:rFonts w:ascii="DejaVu Serif" w:hAnsi="DejaVu Serif"/>
                <w:sz w:val="20"/>
                <w:szCs w:val="20"/>
              </w:rPr>
              <w:t>Key Significance</w:t>
            </w:r>
          </w:p>
        </w:tc>
      </w:tr>
      <w:tr>
        <w:trPr/>
        <w:tc>
          <w:tcPr>
            <w:tcW w:w="90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sz w:val="20"/>
                <w:szCs w:val="20"/>
              </w:rPr>
            </w:pPr>
            <w:r>
              <w:rPr>
                <w:rFonts w:ascii="DejaVu Serif" w:hAnsi="DejaVu Serif"/>
                <w:sz w:val="20"/>
                <w:szCs w:val="20"/>
              </w:rPr>
              <w:t>1990</w:t>
            </w:r>
          </w:p>
        </w:tc>
        <w:tc>
          <w:tcPr>
            <w:tcW w:w="290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sz w:val="20"/>
                <w:szCs w:val="20"/>
              </w:rPr>
            </w:pPr>
            <w:r>
              <w:rPr>
                <w:rFonts w:ascii="DejaVu Serif" w:hAnsi="DejaVu Serif"/>
                <w:sz w:val="20"/>
                <w:szCs w:val="20"/>
              </w:rPr>
              <w:t>TAFIM created by U.S. DoD</w:t>
            </w:r>
          </w:p>
        </w:tc>
        <w:tc>
          <w:tcPr>
            <w:tcW w:w="55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sz w:val="20"/>
                <w:szCs w:val="20"/>
              </w:rPr>
            </w:pPr>
            <w:r>
              <w:rPr>
                <w:rFonts w:ascii="DejaVu Serif" w:hAnsi="DejaVu Serif"/>
                <w:sz w:val="20"/>
                <w:szCs w:val="20"/>
              </w:rPr>
              <w:t>The technical and conceptual ancestor of TOGAF; first formal architecture framework.</w:t>
            </w:r>
          </w:p>
        </w:tc>
      </w:tr>
      <w:tr>
        <w:trPr/>
        <w:tc>
          <w:tcPr>
            <w:tcW w:w="90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sz w:val="20"/>
                <w:szCs w:val="20"/>
              </w:rPr>
            </w:pPr>
            <w:r>
              <w:rPr>
                <w:rFonts w:ascii="DejaVu Serif" w:hAnsi="DejaVu Serif"/>
                <w:sz w:val="20"/>
                <w:szCs w:val="20"/>
              </w:rPr>
              <w:t>1995</w:t>
            </w:r>
          </w:p>
        </w:tc>
        <w:tc>
          <w:tcPr>
            <w:tcW w:w="290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sz w:val="20"/>
                <w:szCs w:val="20"/>
              </w:rPr>
            </w:pPr>
            <w:r>
              <w:rPr>
                <w:rFonts w:ascii="DejaVu Serif" w:hAnsi="DejaVu Serif"/>
                <w:sz w:val="20"/>
                <w:szCs w:val="20"/>
              </w:rPr>
              <w:t>TOGAF Version 1</w:t>
            </w:r>
          </w:p>
        </w:tc>
        <w:tc>
          <w:tcPr>
            <w:tcW w:w="556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sz w:val="20"/>
                <w:szCs w:val="20"/>
              </w:rPr>
            </w:pPr>
            <w:r>
              <w:rPr>
                <w:rFonts w:ascii="DejaVu Serif" w:hAnsi="DejaVu Serif"/>
                <w:sz w:val="20"/>
                <w:szCs w:val="20"/>
              </w:rPr>
              <w:t>The Open Group adapts TAFIM into a vendor-neutral, openly published EA framework.</w:t>
            </w:r>
          </w:p>
        </w:tc>
      </w:tr>
      <w:tr>
        <w:trPr/>
        <w:tc>
          <w:tcPr>
            <w:tcW w:w="90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sz w:val="20"/>
                <w:szCs w:val="20"/>
              </w:rPr>
            </w:pPr>
            <w:r>
              <w:rPr>
                <w:rFonts w:ascii="DejaVu Serif" w:hAnsi="DejaVu Serif"/>
                <w:sz w:val="20"/>
                <w:szCs w:val="20"/>
              </w:rPr>
              <w:t>1996–2002</w:t>
            </w:r>
          </w:p>
        </w:tc>
        <w:tc>
          <w:tcPr>
            <w:tcW w:w="290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sz w:val="20"/>
                <w:szCs w:val="20"/>
              </w:rPr>
            </w:pPr>
            <w:r>
              <w:rPr>
                <w:rFonts w:ascii="DejaVu Serif" w:hAnsi="DejaVu Serif"/>
                <w:sz w:val="20"/>
                <w:szCs w:val="20"/>
              </w:rPr>
              <w:t>Versions 2 to 7</w:t>
            </w:r>
          </w:p>
        </w:tc>
        <w:tc>
          <w:tcPr>
            <w:tcW w:w="55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sz w:val="20"/>
                <w:szCs w:val="20"/>
              </w:rPr>
            </w:pPr>
            <w:r>
              <w:rPr>
                <w:rFonts w:ascii="DejaVu Serif" w:hAnsi="DejaVu Serif"/>
                <w:sz w:val="20"/>
                <w:szCs w:val="20"/>
              </w:rPr>
              <w:t>Incremental refinements; ADM matures; Technical Reference Model added.</w:t>
            </w:r>
          </w:p>
        </w:tc>
      </w:tr>
      <w:tr>
        <w:trPr/>
        <w:tc>
          <w:tcPr>
            <w:tcW w:w="90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sz w:val="20"/>
                <w:szCs w:val="20"/>
              </w:rPr>
            </w:pPr>
            <w:r>
              <w:rPr>
                <w:rFonts w:ascii="DejaVu Serif" w:hAnsi="DejaVu Serif"/>
                <w:sz w:val="20"/>
                <w:szCs w:val="20"/>
              </w:rPr>
              <w:t>2003</w:t>
            </w:r>
          </w:p>
        </w:tc>
        <w:tc>
          <w:tcPr>
            <w:tcW w:w="290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sz w:val="20"/>
                <w:szCs w:val="20"/>
              </w:rPr>
            </w:pPr>
            <w:r>
              <w:rPr>
                <w:rFonts w:ascii="DejaVu Serif" w:hAnsi="DejaVu Serif"/>
                <w:sz w:val="20"/>
                <w:szCs w:val="20"/>
              </w:rPr>
              <w:t>TOGAF 8 ("Enterprise Edition")</w:t>
            </w:r>
          </w:p>
        </w:tc>
        <w:tc>
          <w:tcPr>
            <w:tcW w:w="556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sz w:val="20"/>
                <w:szCs w:val="20"/>
              </w:rPr>
            </w:pPr>
            <w:r>
              <w:rPr>
                <w:rFonts w:ascii="DejaVu Serif" w:hAnsi="DejaVu Serif"/>
                <w:sz w:val="20"/>
                <w:szCs w:val="20"/>
              </w:rPr>
              <w:t>Expanded beyond technology architecture to include business, data, and applications.</w:t>
            </w:r>
          </w:p>
        </w:tc>
      </w:tr>
      <w:tr>
        <w:trPr/>
        <w:tc>
          <w:tcPr>
            <w:tcW w:w="90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sz w:val="20"/>
                <w:szCs w:val="20"/>
              </w:rPr>
            </w:pPr>
            <w:r>
              <w:rPr>
                <w:rFonts w:ascii="DejaVu Serif" w:hAnsi="DejaVu Serif"/>
                <w:sz w:val="20"/>
                <w:szCs w:val="20"/>
              </w:rPr>
              <w:t>2009</w:t>
            </w:r>
          </w:p>
        </w:tc>
        <w:tc>
          <w:tcPr>
            <w:tcW w:w="290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sz w:val="20"/>
                <w:szCs w:val="20"/>
              </w:rPr>
            </w:pPr>
            <w:r>
              <w:rPr>
                <w:rFonts w:ascii="DejaVu Serif" w:hAnsi="DejaVu Serif"/>
                <w:sz w:val="20"/>
                <w:szCs w:val="20"/>
              </w:rPr>
              <w:t>TOGAF 9</w:t>
            </w:r>
          </w:p>
        </w:tc>
        <w:tc>
          <w:tcPr>
            <w:tcW w:w="55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sz w:val="20"/>
                <w:szCs w:val="20"/>
              </w:rPr>
            </w:pPr>
            <w:r>
              <w:rPr>
                <w:rFonts w:ascii="DejaVu Serif" w:hAnsi="DejaVu Serif"/>
                <w:sz w:val="20"/>
                <w:szCs w:val="20"/>
              </w:rPr>
              <w:t>Major rewrite: introduced Content Framework, Architecture Capability Framework, and Enterprise Continuum as we know them today.</w:t>
            </w:r>
          </w:p>
        </w:tc>
      </w:tr>
      <w:tr>
        <w:trPr/>
        <w:tc>
          <w:tcPr>
            <w:tcW w:w="90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sz w:val="20"/>
                <w:szCs w:val="20"/>
              </w:rPr>
            </w:pPr>
            <w:r>
              <w:rPr>
                <w:rFonts w:ascii="DejaVu Serif" w:hAnsi="DejaVu Serif"/>
                <w:sz w:val="20"/>
                <w:szCs w:val="20"/>
              </w:rPr>
              <w:t>2011</w:t>
            </w:r>
          </w:p>
        </w:tc>
        <w:tc>
          <w:tcPr>
            <w:tcW w:w="290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sz w:val="20"/>
                <w:szCs w:val="20"/>
              </w:rPr>
            </w:pPr>
            <w:r>
              <w:rPr>
                <w:rFonts w:ascii="DejaVu Serif" w:hAnsi="DejaVu Serif"/>
                <w:sz w:val="20"/>
                <w:szCs w:val="20"/>
              </w:rPr>
              <w:t>TOGAF 9.1</w:t>
            </w:r>
          </w:p>
        </w:tc>
        <w:tc>
          <w:tcPr>
            <w:tcW w:w="556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sz w:val="20"/>
                <w:szCs w:val="20"/>
              </w:rPr>
            </w:pPr>
            <w:r>
              <w:rPr>
                <w:rFonts w:ascii="DejaVu Serif" w:hAnsi="DejaVu Serif"/>
                <w:sz w:val="20"/>
                <w:szCs w:val="20"/>
              </w:rPr>
              <w:t>Mostly editorial; clarified ambiguities in 9.</w:t>
            </w:r>
          </w:p>
        </w:tc>
      </w:tr>
      <w:tr>
        <w:trPr/>
        <w:tc>
          <w:tcPr>
            <w:tcW w:w="90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sz w:val="20"/>
                <w:szCs w:val="20"/>
              </w:rPr>
            </w:pPr>
            <w:r>
              <w:rPr>
                <w:rFonts w:ascii="DejaVu Serif" w:hAnsi="DejaVu Serif"/>
                <w:sz w:val="20"/>
                <w:szCs w:val="20"/>
              </w:rPr>
              <w:t>2018</w:t>
            </w:r>
          </w:p>
        </w:tc>
        <w:tc>
          <w:tcPr>
            <w:tcW w:w="290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sz w:val="20"/>
                <w:szCs w:val="20"/>
              </w:rPr>
            </w:pPr>
            <w:r>
              <w:rPr>
                <w:rFonts w:ascii="DejaVu Serif" w:hAnsi="DejaVu Serif"/>
                <w:sz w:val="20"/>
                <w:szCs w:val="20"/>
              </w:rPr>
              <w:t>TOGAF 9.2</w:t>
            </w:r>
          </w:p>
        </w:tc>
        <w:tc>
          <w:tcPr>
            <w:tcW w:w="55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sz w:val="20"/>
                <w:szCs w:val="20"/>
              </w:rPr>
            </w:pPr>
            <w:r>
              <w:rPr>
                <w:rFonts w:ascii="DejaVu Serif" w:hAnsi="DejaVu Serif"/>
                <w:sz w:val="20"/>
                <w:szCs w:val="20"/>
              </w:rPr>
              <w:t>Updated for digital transformation; clarified Business Architecture; aligned with newer Open Group standards.</w:t>
            </w:r>
          </w:p>
        </w:tc>
      </w:tr>
      <w:tr>
        <w:trPr/>
        <w:tc>
          <w:tcPr>
            <w:tcW w:w="90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sz w:val="20"/>
                <w:szCs w:val="20"/>
              </w:rPr>
            </w:pPr>
            <w:r>
              <w:rPr>
                <w:rFonts w:ascii="DejaVu Serif" w:hAnsi="DejaVu Serif"/>
                <w:sz w:val="20"/>
                <w:szCs w:val="20"/>
              </w:rPr>
              <w:t>2022</w:t>
            </w:r>
          </w:p>
        </w:tc>
        <w:tc>
          <w:tcPr>
            <w:tcW w:w="290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sz w:val="20"/>
                <w:szCs w:val="20"/>
              </w:rPr>
            </w:pPr>
            <w:r>
              <w:rPr>
                <w:rFonts w:ascii="DejaVu Serif" w:hAnsi="DejaVu Serif"/>
                <w:sz w:val="20"/>
                <w:szCs w:val="20"/>
              </w:rPr>
              <w:t>TOGAF 10 (Standard, 10th Edition)</w:t>
            </w:r>
          </w:p>
        </w:tc>
        <w:tc>
          <w:tcPr>
            <w:tcW w:w="556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sz w:val="20"/>
                <w:szCs w:val="20"/>
              </w:rPr>
            </w:pPr>
            <w:r>
              <w:rPr>
                <w:rFonts w:ascii="DejaVu Serif" w:hAnsi="DejaVu Serif"/>
                <w:sz w:val="20"/>
                <w:szCs w:val="20"/>
              </w:rPr>
              <w:t>Modular split into Fundamental Content + Series Guides; published as a body of knowledge rather than a single book.</w:t>
            </w:r>
          </w:p>
        </w:tc>
      </w:tr>
    </w:tbl>
    <w:p>
      <w:pPr>
        <w:pStyle w:val="Heading2"/>
        <w:spacing w:before="280" w:after="160"/>
        <w:rPr/>
      </w:pPr>
      <w:r>
        <w:rPr>
          <w:b/>
          <w:bCs/>
          <w:color w:val="2E75B6"/>
        </w:rPr>
        <w:t>2.2 TAFIM (1990) — The Forgotten Ancestor</w:t>
      </w:r>
    </w:p>
    <w:p>
      <w:pPr>
        <w:pStyle w:val="BodyText"/>
        <w:jc w:val="both"/>
        <w:rPr>
          <w:rFonts w:ascii="DejaVu Serif" w:hAnsi="DejaVu Serif"/>
        </w:rPr>
      </w:pPr>
      <w:r>
        <w:rPr>
          <w:rFonts w:ascii="DejaVu Serif" w:hAnsi="DejaVu Serif"/>
          <w:b/>
          <w:bCs/>
        </w:rPr>
        <w:t>TAFIM</w:t>
      </w:r>
      <w:r>
        <w:rPr>
          <w:rFonts w:ascii="DejaVu Serif" w:hAnsi="DejaVu Serif"/>
        </w:rPr>
        <w:t xml:space="preserve"> stands for the </w:t>
      </w:r>
      <w:r>
        <w:rPr>
          <w:rFonts w:ascii="DejaVu Serif" w:hAnsi="DejaVu Serif"/>
          <w:i/>
          <w:iCs/>
        </w:rPr>
        <w:t>Technical Architecture Framework for Information Management</w:t>
      </w:r>
      <w:r>
        <w:rPr>
          <w:rFonts w:ascii="DejaVu Serif" w:hAnsi="DejaVu Serif"/>
        </w:rPr>
        <w:t>. It was developed by the U.S. Department of Defense in the late 1980s and published in 1990. Its purpose was to give DoD a structured way to plan and manage IT across its enormous, fragmented IT estate.</w:t>
      </w:r>
    </w:p>
    <w:p>
      <w:pPr>
        <w:pStyle w:val="BodyText"/>
        <w:jc w:val="both"/>
        <w:rPr>
          <w:rFonts w:ascii="DejaVu Serif" w:hAnsi="DejaVu Serif"/>
        </w:rPr>
      </w:pPr>
      <w:r>
        <w:rPr>
          <w:rFonts w:ascii="DejaVu Serif" w:hAnsi="DejaVu Serif"/>
        </w:rPr>
        <w:t>TAFIM was important for two reasons. First, it was one of the earliest formal frameworks to separate the technical architecture from the business it supported. Second, it introduced the idea of an Architecture Development Method — a stepwise process for producing an architecture — which became the direct ancestor of TOGAF's ADM.</w:t>
      </w:r>
    </w:p>
    <w:p>
      <w:pPr>
        <w:pStyle w:val="BodyText"/>
        <w:jc w:val="both"/>
        <w:rPr>
          <w:rFonts w:ascii="DejaVu Serif" w:hAnsi="DejaVu Serif"/>
        </w:rPr>
      </w:pPr>
      <w:r>
        <w:rPr>
          <w:rFonts w:ascii="DejaVu Serif" w:hAnsi="DejaVu Serif"/>
        </w:rPr>
        <w:t>In 1995 the U.S. DoD declared TAFIM obsolete and transferred its intellectual property to The Open Group, which used it as the foundation for TOGAF. This is why the early ADM in TOGAF Versions 1–7 looks remarkably similar to the TAFIM process.</w:t>
      </w:r>
    </w:p>
    <w:tbl>
      <w:tblPr>
        <w:tblW w:w="9360" w:type="dxa"/>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BodyText"/>
              <w:spacing w:before="0" w:after="140"/>
              <w:jc w:val="both"/>
              <w:rPr>
                <w:rFonts w:ascii="DejaVu Serif" w:hAnsi="DejaVu Serif"/>
              </w:rPr>
            </w:pPr>
            <w:r>
              <w:rPr>
                <w:rFonts w:ascii="DejaVu Serif" w:hAnsi="DejaVu Serif"/>
                <w:b/>
                <w:bCs/>
                <w:color w:val="1F4E78"/>
              </w:rPr>
              <w:t xml:space="preserve">🔑 </w:t>
            </w:r>
            <w:r>
              <w:rPr>
                <w:rFonts w:ascii="DejaVu Serif" w:hAnsi="DejaVu Serif"/>
                <w:b/>
                <w:bCs/>
                <w:color w:val="1F4E78"/>
              </w:rPr>
              <w:t xml:space="preserve">TAFIM: </w:t>
            </w:r>
            <w:r>
              <w:rPr>
                <w:rFonts w:ascii="DejaVu Serif" w:hAnsi="DejaVu Serif"/>
              </w:rPr>
              <w:t>Technical Architecture Framework for Information Management — a U.S. DoD framework (1990) that became the conceptual basis for TOGAF when its IP was transferred to The Open Group in 1995.</w:t>
            </w:r>
          </w:p>
        </w:tc>
      </w:tr>
    </w:tbl>
    <w:p>
      <w:pPr>
        <w:pStyle w:val="Heading2"/>
        <w:spacing w:before="280" w:after="160"/>
        <w:rPr/>
      </w:pPr>
      <w:r>
        <w:rPr>
          <w:b/>
          <w:bCs/>
          <w:color w:val="2E75B6"/>
        </w:rPr>
        <w:t>2.3 TOGAF 1 (1995) — The Birth</w:t>
      </w:r>
    </w:p>
    <w:p>
      <w:pPr>
        <w:pStyle w:val="BodyText"/>
        <w:jc w:val="both"/>
        <w:rPr>
          <w:rFonts w:ascii="DejaVu Serif" w:hAnsi="DejaVu Serif"/>
        </w:rPr>
      </w:pPr>
      <w:r>
        <w:rPr>
          <w:rFonts w:ascii="DejaVu Serif" w:hAnsi="DejaVu Serif"/>
        </w:rPr>
        <w:t>TOGAF Version 1 was published in 1995 by The Open Group. It was very close to TAFIM in content but was reframed as a vendor-neutral, openly available framework that any organisation — commercial or government, U.S. or international — could adopt without licensing fees. This open publication model, which still applies today, is one of the main reasons TOGAF spread so widely.</w:t>
      </w:r>
    </w:p>
    <w:p>
      <w:pPr>
        <w:pStyle w:val="BodyText"/>
        <w:jc w:val="both"/>
        <w:rPr>
          <w:rFonts w:ascii="DejaVu Serif" w:hAnsi="DejaVu Serif"/>
        </w:rPr>
      </w:pPr>
      <w:r>
        <w:rPr>
          <w:rFonts w:ascii="DejaVu Serif" w:hAnsi="DejaVu Serif"/>
        </w:rPr>
        <w:t>Version 1 already contained the seed of what would become the Architecture Development Method, although the ADM as a named, eight-phase cycle did not crystallise until later versions.</w:t>
      </w:r>
    </w:p>
    <w:p>
      <w:pPr>
        <w:pStyle w:val="Heading2"/>
        <w:spacing w:before="280" w:after="160"/>
        <w:rPr/>
      </w:pPr>
      <w:r>
        <w:rPr>
          <w:b/>
          <w:bCs/>
          <w:color w:val="2E75B6"/>
        </w:rPr>
        <w:t>2.4 TOGAF 9 (2009) — The Modern Form</w:t>
      </w:r>
    </w:p>
    <w:p>
      <w:pPr>
        <w:pStyle w:val="BodyText"/>
        <w:rPr>
          <w:rFonts w:ascii="DejaVu Serif" w:hAnsi="DejaVu Serif"/>
        </w:rPr>
      </w:pPr>
      <w:r>
        <w:rPr>
          <w:rFonts w:ascii="DejaVu Serif" w:hAnsi="DejaVu Serif"/>
        </w:rPr>
        <w:t>TOGAF 9 was a watershed release. It restructured the entire framework into the modular form recognisable today and introduced (or formalised) several ideas that are now core:</w:t>
      </w:r>
    </w:p>
    <w:p>
      <w:pPr>
        <w:pStyle w:val="BodyText"/>
        <w:numPr>
          <w:ilvl w:val="0"/>
          <w:numId w:val="3"/>
        </w:numPr>
        <w:rPr>
          <w:rFonts w:ascii="DejaVu Serif" w:hAnsi="DejaVu Serif"/>
        </w:rPr>
      </w:pPr>
      <w:r>
        <w:rPr>
          <w:rFonts w:ascii="DejaVu Serif" w:hAnsi="DejaVu Serif"/>
        </w:rPr>
        <w:t>The Architecture Content Framework, which provides a structured metamodel for architecture deliverables.</w:t>
      </w:r>
    </w:p>
    <w:p>
      <w:pPr>
        <w:pStyle w:val="BodyText"/>
        <w:numPr>
          <w:ilvl w:val="0"/>
          <w:numId w:val="3"/>
        </w:numPr>
        <w:rPr>
          <w:rFonts w:ascii="DejaVu Serif" w:hAnsi="DejaVu Serif"/>
        </w:rPr>
      </w:pPr>
      <w:r>
        <w:rPr>
          <w:rFonts w:ascii="DejaVu Serif" w:hAnsi="DejaVu Serif"/>
        </w:rPr>
        <w:t>The Enterprise Continuum, which provides a way to classify architectures and solutions from generic to organisation-specific.</w:t>
      </w:r>
    </w:p>
    <w:p>
      <w:pPr>
        <w:pStyle w:val="BodyText"/>
        <w:numPr>
          <w:ilvl w:val="0"/>
          <w:numId w:val="3"/>
        </w:numPr>
        <w:rPr>
          <w:rFonts w:ascii="DejaVu Serif" w:hAnsi="DejaVu Serif"/>
        </w:rPr>
      </w:pPr>
      <w:r>
        <w:rPr>
          <w:rFonts w:ascii="DejaVu Serif" w:hAnsi="DejaVu Serif"/>
        </w:rPr>
        <w:t>The Architecture Capability Framework, which describes the people, processes and tools needed to run an architecture practice.</w:t>
      </w:r>
    </w:p>
    <w:p>
      <w:pPr>
        <w:pStyle w:val="BodyText"/>
        <w:numPr>
          <w:ilvl w:val="0"/>
          <w:numId w:val="3"/>
        </w:numPr>
        <w:rPr>
          <w:rFonts w:ascii="DejaVu Serif" w:hAnsi="DejaVu Serif"/>
        </w:rPr>
      </w:pPr>
      <w:r>
        <w:rPr>
          <w:rFonts w:ascii="DejaVu Serif" w:hAnsi="DejaVu Serif"/>
        </w:rPr>
        <w:t>Formal recognition of four architecture domains: Business, Data, Application, Technology (BDAT).</w:t>
      </w:r>
    </w:p>
    <w:p>
      <w:pPr>
        <w:pStyle w:val="BodyText"/>
        <w:numPr>
          <w:ilvl w:val="0"/>
          <w:numId w:val="3"/>
        </w:numPr>
        <w:rPr>
          <w:rFonts w:ascii="DejaVu Serif" w:hAnsi="DejaVu Serif"/>
        </w:rPr>
      </w:pPr>
      <w:r>
        <w:rPr>
          <w:rFonts w:ascii="DejaVu Serif" w:hAnsi="DejaVu Serif"/>
        </w:rPr>
        <w:t>The Architecture Repository concept, distinct from the Continuum.</w:t>
      </w:r>
    </w:p>
    <w:p>
      <w:pPr>
        <w:pStyle w:val="BodyText"/>
        <w:rPr>
          <w:rFonts w:ascii="DejaVu Serif" w:hAnsi="DejaVu Serif"/>
        </w:rPr>
      </w:pPr>
      <w:r>
        <w:rPr>
          <w:rFonts w:ascii="DejaVu Serif" w:hAnsi="DejaVu Serif"/>
        </w:rPr>
        <w:t>TOGAF 9 also introduced the two-level certification scheme (Foundation and Certified) that became the global standard for architect credentialing.</w:t>
      </w:r>
    </w:p>
    <w:p>
      <w:pPr>
        <w:pStyle w:val="Heading2"/>
        <w:spacing w:before="280" w:after="160"/>
        <w:rPr/>
      </w:pPr>
      <w:r>
        <w:rPr>
          <w:b/>
          <w:bCs/>
          <w:color w:val="2E75B6"/>
        </w:rPr>
        <w:t>2.5 TOGAF 9.2 (2018) — Refinement for the Digital Era</w:t>
      </w:r>
    </w:p>
    <w:p>
      <w:pPr>
        <w:pStyle w:val="Normal"/>
        <w:spacing w:lineRule="auto" w:line="300" w:before="0" w:after="120"/>
        <w:jc w:val="both"/>
        <w:rPr>
          <w:rFonts w:ascii="DejaVu Serif" w:hAnsi="DejaVu Serif"/>
        </w:rPr>
      </w:pPr>
      <w:r>
        <w:rPr>
          <w:rFonts w:ascii="DejaVu Serif" w:hAnsi="DejaVu Serif"/>
        </w:rPr>
        <w:t>Released in April 2018, TOGAF 9.2 was a refinement rather than a redesign. Its main themes were:</w:t>
      </w:r>
    </w:p>
    <w:p>
      <w:pPr>
        <w:pStyle w:val="ListParagraph"/>
        <w:numPr>
          <w:ilvl w:val="0"/>
          <w:numId w:val="2"/>
        </w:numPr>
        <w:spacing w:lineRule="auto" w:line="281" w:before="0" w:after="80"/>
        <w:jc w:val="both"/>
        <w:rPr>
          <w:rFonts w:ascii="DejaVu Serif" w:hAnsi="DejaVu Serif"/>
        </w:rPr>
      </w:pPr>
      <w:r>
        <w:rPr>
          <w:rFonts w:ascii="DejaVu Serif" w:hAnsi="DejaVu Serif"/>
        </w:rPr>
        <w:t>Strengthened guidance on Business Architecture, including business capabilities, value streams, and information mapping.</w:t>
      </w:r>
    </w:p>
    <w:p>
      <w:pPr>
        <w:pStyle w:val="ListParagraph"/>
        <w:numPr>
          <w:ilvl w:val="0"/>
          <w:numId w:val="2"/>
        </w:numPr>
        <w:spacing w:lineRule="auto" w:line="281" w:before="0" w:after="80"/>
        <w:jc w:val="both"/>
        <w:rPr>
          <w:rFonts w:ascii="DejaVu Serif" w:hAnsi="DejaVu Serif"/>
        </w:rPr>
      </w:pPr>
      <w:r>
        <w:rPr>
          <w:rFonts w:ascii="DejaVu Serif" w:hAnsi="DejaVu Serif"/>
        </w:rPr>
        <w:t>Removal of outdated material (such as deprecated reference content).</w:t>
      </w:r>
    </w:p>
    <w:p>
      <w:pPr>
        <w:pStyle w:val="ListParagraph"/>
        <w:numPr>
          <w:ilvl w:val="0"/>
          <w:numId w:val="2"/>
        </w:numPr>
        <w:spacing w:lineRule="auto" w:line="281" w:before="0" w:after="80"/>
        <w:jc w:val="both"/>
        <w:rPr>
          <w:rFonts w:ascii="DejaVu Serif" w:hAnsi="DejaVu Serif"/>
        </w:rPr>
      </w:pPr>
      <w:r>
        <w:rPr>
          <w:rFonts w:ascii="DejaVu Serif" w:hAnsi="DejaVu Serif"/>
        </w:rPr>
        <w:t>Better alignment with The Open Group's newer standards including the IT4IT Reference Architecture and ArchiMate.</w:t>
      </w:r>
    </w:p>
    <w:p>
      <w:pPr>
        <w:pStyle w:val="ListParagraph"/>
        <w:numPr>
          <w:ilvl w:val="0"/>
          <w:numId w:val="2"/>
        </w:numPr>
        <w:spacing w:lineRule="auto" w:line="281" w:before="0" w:after="80"/>
        <w:jc w:val="both"/>
        <w:rPr>
          <w:rFonts w:ascii="DejaVu Serif" w:hAnsi="DejaVu Serif"/>
        </w:rPr>
      </w:pPr>
      <w:r>
        <w:rPr>
          <w:rFonts w:ascii="DejaVu Serif" w:hAnsi="DejaVu Serif"/>
        </w:rPr>
        <w:t>Clarification of language around the Phase B (Business Architecture) deliverables.</w:t>
      </w:r>
    </w:p>
    <w:p>
      <w:pPr>
        <w:pStyle w:val="Normal"/>
        <w:spacing w:lineRule="auto" w:line="300" w:before="0" w:after="120"/>
        <w:jc w:val="both"/>
        <w:rPr/>
      </w:pPr>
      <w:r>
        <w:rPr>
          <w:rFonts w:ascii="DejaVu Serif" w:hAnsi="DejaVu Serif"/>
        </w:rPr>
        <w:t>9.2 was the last "single-book" version of TOGAF. Everything you needed was bound into one publication</w:t>
      </w:r>
      <w:r>
        <w:rPr/>
        <w:t>.</w:t>
      </w:r>
    </w:p>
    <w:p>
      <w:pPr>
        <w:pStyle w:val="Heading2"/>
        <w:spacing w:before="280" w:after="160"/>
        <w:rPr/>
      </w:pPr>
      <w:r>
        <w:rPr>
          <w:b/>
          <w:bCs/>
          <w:color w:val="2E75B6"/>
        </w:rPr>
        <w:t>2.6 TOGAF 10 (2022) — The Modular Era</w:t>
      </w:r>
    </w:p>
    <w:p>
      <w:pPr>
        <w:pStyle w:val="Normal"/>
        <w:spacing w:lineRule="auto" w:line="300" w:before="0" w:after="120"/>
        <w:jc w:val="both"/>
        <w:rPr>
          <w:rFonts w:ascii="DejaVu Serif" w:hAnsi="DejaVu Serif"/>
        </w:rPr>
      </w:pPr>
      <w:r>
        <w:rPr>
          <w:rFonts w:ascii="DejaVu Serif" w:hAnsi="DejaVu Serif"/>
        </w:rPr>
        <w:t>Published in April 2022 as the TOGAF Standard, 10th Edition, TOGAF 10 represents the biggest structural change since TOGAF 9. The single book was broken into a smaller core (Fundamental Content) plus a growing library of Series Guides covering specific topics in depth. This change is described in detail in Section 5 of this guide, but the key idea is: TOGAF is now a body of knowledge that can grow and update topic by topic, rather than a monolithic publication that can only update every several years.</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4" w:space="0" w:color="2E75B6"/>
            </w:tcBorders>
            <w:shd w:fill="EAF1F8" w:val="clear"/>
          </w:tcPr>
          <w:p>
            <w:pPr>
              <w:pStyle w:val="Normal"/>
              <w:spacing w:before="0" w:after="100"/>
              <w:rPr/>
            </w:pPr>
            <w:r>
              <w:rPr>
                <w:b/>
                <w:bCs/>
                <w:color w:val="1F4E78"/>
              </w:rPr>
              <w:t xml:space="preserve">▶ </w:t>
            </w:r>
            <w:r>
              <w:rPr>
                <w:b/>
                <w:bCs/>
                <w:color w:val="1F4E78"/>
              </w:rPr>
              <w:t>Why the Modular Split Matters</w:t>
            </w:r>
          </w:p>
          <w:p>
            <w:pPr>
              <w:pStyle w:val="Normal"/>
              <w:spacing w:lineRule="auto" w:line="281" w:before="0" w:after="60"/>
              <w:jc w:val="both"/>
              <w:rPr>
                <w:rFonts w:ascii="DejaVu Serif" w:hAnsi="DejaVu Serif"/>
              </w:rPr>
            </w:pPr>
            <w:r>
              <w:rPr>
                <w:rFonts w:ascii="DejaVu Serif" w:hAnsi="DejaVu Serif"/>
              </w:rPr>
              <w:t>Imagine a textbook on medicine that is updated every six years. Between editions, treatments change and entire sections become outdated. Now imagine the same textbook published as a small "core principles" volume plus dozens of topic guides (cardiology, oncology, diabetes care) each maintained on its own schedule.</w:t>
            </w:r>
          </w:p>
          <w:p>
            <w:pPr>
              <w:pStyle w:val="Normal"/>
              <w:spacing w:lineRule="auto" w:line="281" w:before="0" w:after="60"/>
              <w:jc w:val="both"/>
              <w:rPr>
                <w:rFonts w:ascii="DejaVu Serif" w:hAnsi="DejaVu Serif"/>
              </w:rPr>
            </w:pPr>
            <w:r>
              <w:rPr>
                <w:rFonts w:ascii="DejaVu Serif" w:hAnsi="DejaVu Serif"/>
              </w:rPr>
              <w:t>TOGAF 10 made the same transition. The Fundamental Content rarely changes, but topics like Business Architecture, Agile, or Digital Enterprise can be refreshed independently as Series Guides. This is faster, more focused, and lets the framework keep pace with real-world practice.</w:t>
            </w:r>
          </w:p>
        </w:tc>
      </w:tr>
    </w:tbl>
    <w:p>
      <w:pPr>
        <w:pStyle w:val="Heading1"/>
        <w:spacing w:before="0" w:after="200"/>
        <w:rPr/>
      </w:pPr>
      <w:r>
        <w:rPr>
          <w:b/>
          <w:bCs/>
          <w:color w:val="1F4E78"/>
        </w:rPr>
        <w:t>3. The Open Group and How TOGAF Is Governed</w:t>
      </w:r>
    </w:p>
    <w:p>
      <w:pPr>
        <w:pStyle w:val="Heading2"/>
        <w:spacing w:before="280" w:after="160"/>
        <w:rPr/>
      </w:pPr>
      <w:r>
        <w:rPr>
          <w:b/>
          <w:bCs/>
          <w:color w:val="2E75B6"/>
        </w:rPr>
        <w:t>3.1 Who is The Open Group?</w:t>
      </w:r>
    </w:p>
    <w:p>
      <w:pPr>
        <w:pStyle w:val="BodyText"/>
        <w:jc w:val="both"/>
        <w:rPr>
          <w:rFonts w:ascii="DejaVu Serif" w:hAnsi="DejaVu Serif"/>
        </w:rPr>
      </w:pPr>
      <w:r>
        <w:rPr>
          <w:rFonts w:ascii="DejaVu Serif" w:hAnsi="DejaVu Serif"/>
        </w:rPr>
        <w:t>The Open Group is a global, vendor-neutral consortium founded in 1996 through the merger of the Open Software Foundation and X/Open. It has more than 900 member organisations including major technology vendors, end-user enterprises, government agencies, academic institutions and consulting firms. Its mission, often summarised as "Boundaryless Information Flow™", is to enable interoperable IT through open standards.</w:t>
      </w:r>
    </w:p>
    <w:p>
      <w:pPr>
        <w:pStyle w:val="BodyText"/>
        <w:jc w:val="both"/>
        <w:rPr/>
      </w:pPr>
      <w:r>
        <w:rPr>
          <w:rFonts w:ascii="DejaVu Serif" w:hAnsi="DejaVu Serif"/>
        </w:rPr>
        <w:t>The Open Group does not sell software. It produces and maintains open standards, certification programmes, and reference frameworks. Its revenue comes from membership fees, certification fees, and publication sales — not from product licensing. This funding model is what allows it to remain genuinely vendor-neutral.</w:t>
      </w:r>
    </w:p>
    <w:tbl>
      <w:tblPr>
        <w:tblW w:w="9360" w:type="dxa"/>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BodyText"/>
              <w:spacing w:before="0" w:after="140"/>
              <w:jc w:val="both"/>
              <w:rPr>
                <w:rFonts w:ascii="DejaVu Serif" w:hAnsi="DejaVu Serif"/>
              </w:rPr>
            </w:pPr>
            <w:r>
              <w:rPr>
                <w:rFonts w:ascii="DejaVu Serif" w:hAnsi="DejaVu Serif"/>
                <w:b/>
                <w:bCs/>
                <w:color w:val="1F4E78"/>
              </w:rPr>
              <w:t xml:space="preserve">🔑 </w:t>
            </w:r>
            <w:r>
              <w:rPr>
                <w:rFonts w:ascii="DejaVu Serif" w:hAnsi="DejaVu Serif"/>
                <w:b/>
                <w:bCs/>
                <w:color w:val="1F4E78"/>
              </w:rPr>
              <w:t xml:space="preserve">The Open Group: </w:t>
            </w:r>
            <w:r>
              <w:rPr>
                <w:rFonts w:ascii="DejaVu Serif" w:hAnsi="DejaVu Serif"/>
              </w:rPr>
              <w:t>A global vendor-neutral standards consortium that owns, develops, maintains, and certifies the TOGAF Standard along with related standards such as ArchiMate®, IT4IT™, the Open FAIR™ risk standard, and the Open Agile Architecture™ standard.</w:t>
            </w:r>
          </w:p>
        </w:tc>
      </w:tr>
    </w:tbl>
    <w:p>
      <w:pPr>
        <w:pStyle w:val="BodyText"/>
        <w:jc w:val="both"/>
        <w:rPr>
          <w:b/>
          <w:bCs/>
        </w:rPr>
      </w:pPr>
      <w:r>
        <w:rPr>
          <w:b/>
          <w:bCs/>
        </w:rPr>
        <w:t>3.2 How TOGAF Is Governed</w:t>
      </w:r>
    </w:p>
    <w:p>
      <w:pPr>
        <w:pStyle w:val="Normal"/>
        <w:spacing w:lineRule="auto" w:line="300" w:before="0" w:after="120"/>
        <w:jc w:val="both"/>
        <w:rPr/>
      </w:pPr>
      <w:r>
        <w:rPr/>
        <w:t>TOGAF is developed and maintained through a formal governance process inside The Open Group. This is important to understand because it explains why TOGAF evolves the way it does.</w:t>
      </w:r>
    </w:p>
    <w:p>
      <w:pPr>
        <w:pStyle w:val="Heading3"/>
        <w:spacing w:before="220" w:after="120"/>
        <w:rPr/>
      </w:pPr>
      <w:r>
        <w:rPr>
          <w:b/>
          <w:bCs/>
          <w:color w:val="404040"/>
        </w:rPr>
        <w:t>3.2.1 The Architecture Forum</w:t>
      </w:r>
    </w:p>
    <w:p>
      <w:pPr>
        <w:pStyle w:val="BodyText"/>
        <w:jc w:val="both"/>
        <w:rPr>
          <w:rFonts w:ascii="DejaVu Serif" w:hAnsi="DejaVu Serif"/>
        </w:rPr>
      </w:pPr>
      <w:r>
        <w:rPr>
          <w:rFonts w:ascii="DejaVu Serif" w:hAnsi="DejaVu Serif"/>
        </w:rPr>
        <w:t>The Architecture Forum is the working body within The Open Group responsible for TOGAF. It is composed of member-organisation representatives — practising architects, vendors, and end-user enterprises. The Forum meets regularly (in person and virtually), debates proposed changes, drafts new content, reviews public comments, and votes on the publication of new versions.</w:t>
      </w:r>
    </w:p>
    <w:p>
      <w:pPr>
        <w:pStyle w:val="Heading3"/>
        <w:spacing w:before="220" w:after="120"/>
        <w:rPr/>
      </w:pPr>
      <w:r>
        <w:rPr>
          <w:b/>
          <w:bCs/>
          <w:color w:val="404040"/>
        </w:rPr>
        <w:t>3.2.2 The Standards Process</w:t>
      </w:r>
    </w:p>
    <w:p>
      <w:pPr>
        <w:pStyle w:val="ListParagraph"/>
        <w:numPr>
          <w:ilvl w:val="0"/>
          <w:numId w:val="12"/>
        </w:numPr>
        <w:spacing w:lineRule="auto" w:line="281" w:before="0" w:after="80"/>
        <w:rPr>
          <w:rFonts w:ascii="DejaVu Serif" w:hAnsi="DejaVu Serif"/>
        </w:rPr>
      </w:pPr>
      <w:r>
        <w:rPr>
          <w:rFonts w:ascii="DejaVu Serif" w:hAnsi="DejaVu Serif"/>
        </w:rPr>
        <w:t>A topic is identified — either a gap in the current standard or a request from members.</w:t>
      </w:r>
    </w:p>
    <w:p>
      <w:pPr>
        <w:pStyle w:val="ListParagraph"/>
        <w:numPr>
          <w:ilvl w:val="0"/>
          <w:numId w:val="13"/>
        </w:numPr>
        <w:spacing w:lineRule="auto" w:line="281" w:before="0" w:after="80"/>
        <w:rPr>
          <w:rFonts w:ascii="DejaVu Serif" w:hAnsi="DejaVu Serif"/>
        </w:rPr>
      </w:pPr>
      <w:r>
        <w:rPr>
          <w:rFonts w:ascii="DejaVu Serif" w:hAnsi="DejaVu Serif"/>
        </w:rPr>
        <w:t>A working group is formed within the Architecture Forum.</w:t>
      </w:r>
    </w:p>
    <w:p>
      <w:pPr>
        <w:pStyle w:val="ListParagraph"/>
        <w:numPr>
          <w:ilvl w:val="0"/>
          <w:numId w:val="14"/>
        </w:numPr>
        <w:spacing w:lineRule="auto" w:line="281" w:before="0" w:after="80"/>
        <w:rPr>
          <w:rFonts w:ascii="DejaVu Serif" w:hAnsi="DejaVu Serif"/>
        </w:rPr>
      </w:pPr>
      <w:r>
        <w:rPr>
          <w:rFonts w:ascii="DejaVu Serif" w:hAnsi="DejaVu Serif"/>
        </w:rPr>
        <w:t>A draft is produced, often called a Snapshot, and circulated for member review.</w:t>
      </w:r>
    </w:p>
    <w:p>
      <w:pPr>
        <w:pStyle w:val="ListParagraph"/>
        <w:numPr>
          <w:ilvl w:val="0"/>
          <w:numId w:val="15"/>
        </w:numPr>
        <w:spacing w:lineRule="auto" w:line="281" w:before="0" w:after="80"/>
        <w:rPr>
          <w:rFonts w:ascii="DejaVu Serif" w:hAnsi="DejaVu Serif"/>
        </w:rPr>
      </w:pPr>
      <w:r>
        <w:rPr>
          <w:rFonts w:ascii="DejaVu Serif" w:hAnsi="DejaVu Serif"/>
        </w:rPr>
        <w:t>Public review periods may be opened so non-members can comment.</w:t>
      </w:r>
    </w:p>
    <w:p>
      <w:pPr>
        <w:pStyle w:val="ListParagraph"/>
        <w:numPr>
          <w:ilvl w:val="0"/>
          <w:numId w:val="16"/>
        </w:numPr>
        <w:spacing w:lineRule="auto" w:line="281" w:before="0" w:after="80"/>
        <w:rPr>
          <w:rFonts w:ascii="DejaVu Serif" w:hAnsi="DejaVu Serif"/>
        </w:rPr>
      </w:pPr>
      <w:r>
        <w:rPr>
          <w:rFonts w:ascii="DejaVu Serif" w:hAnsi="DejaVu Serif"/>
        </w:rPr>
        <w:t>The Forum revises the draft based on feedback.</w:t>
      </w:r>
    </w:p>
    <w:p>
      <w:pPr>
        <w:pStyle w:val="ListParagraph"/>
        <w:numPr>
          <w:ilvl w:val="0"/>
          <w:numId w:val="17"/>
        </w:numPr>
        <w:spacing w:lineRule="auto" w:line="281" w:before="0" w:after="80"/>
        <w:rPr>
          <w:rFonts w:ascii="DejaVu Serif" w:hAnsi="DejaVu Serif"/>
        </w:rPr>
      </w:pPr>
      <w:r>
        <w:rPr>
          <w:rFonts w:ascii="DejaVu Serif" w:hAnsi="DejaVu Serif"/>
        </w:rPr>
        <w:t>A formal vote is held; with sufficient consensus the document is published as part of the Standard or as a Series Guide.</w:t>
      </w:r>
    </w:p>
    <w:p>
      <w:pPr>
        <w:pStyle w:val="ListParagraph"/>
        <w:numPr>
          <w:ilvl w:val="0"/>
          <w:numId w:val="18"/>
        </w:numPr>
        <w:spacing w:lineRule="auto" w:line="281" w:before="0" w:after="80"/>
        <w:rPr>
          <w:rFonts w:ascii="DejaVu Serif" w:hAnsi="DejaVu Serif"/>
        </w:rPr>
      </w:pPr>
      <w:r>
        <w:rPr>
          <w:rFonts w:ascii="DejaVu Serif" w:hAnsi="DejaVu Serif"/>
        </w:rPr>
        <w:t>The published document is maintained and may be revised through the same process.</w:t>
      </w:r>
    </w:p>
    <w:p>
      <w:pPr>
        <w:pStyle w:val="Heading3"/>
        <w:spacing w:before="220" w:after="120"/>
        <w:rPr/>
      </w:pPr>
      <w:r>
        <w:rPr>
          <w:b/>
          <w:bCs/>
          <w:color w:val="404040"/>
        </w:rPr>
        <w:t>3.2.3 Certification Governance</w:t>
      </w:r>
    </w:p>
    <w:p>
      <w:pPr>
        <w:pStyle w:val="BodyText"/>
        <w:jc w:val="both"/>
        <w:rPr>
          <w:rFonts w:ascii="DejaVu Serif" w:hAnsi="DejaVu Serif"/>
        </w:rPr>
      </w:pPr>
      <w:r>
        <w:rPr>
          <w:rFonts w:ascii="DejaVu Serif" w:hAnsi="DejaVu Serif"/>
        </w:rPr>
        <w:t>Separate from content development, The Open Group runs the TOGAF certification programme. It accredits training providers, accredits exam delivery partners (such as Pearson VUE), defines the syllabus, sets the question banks, and issues certificates. This separation between content and certification is deliberate — it ensures that the standard is not designed primarily to make people pass exams, and that exam questions are tested for fairness.</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4" w:space="0" w:color="2E75B6"/>
            </w:tcBorders>
            <w:shd w:fill="EAF1F8" w:val="clear"/>
          </w:tcPr>
          <w:p>
            <w:pPr>
              <w:pStyle w:val="Normal"/>
              <w:spacing w:before="0" w:after="100"/>
              <w:rPr/>
            </w:pPr>
            <w:r>
              <w:rPr>
                <w:b/>
                <w:bCs/>
                <w:color w:val="1F4E78"/>
              </w:rPr>
              <w:t xml:space="preserve">▶ </w:t>
            </w:r>
            <w:r>
              <w:rPr>
                <w:b/>
                <w:bCs/>
                <w:color w:val="1F4E78"/>
              </w:rPr>
              <w:t>Why Vendor-Neutral Governance Matters</w:t>
            </w:r>
          </w:p>
          <w:p>
            <w:pPr>
              <w:pStyle w:val="BodyText"/>
              <w:spacing w:before="0" w:after="140"/>
              <w:jc w:val="both"/>
              <w:rPr>
                <w:rFonts w:ascii="DejaVu Serif" w:hAnsi="DejaVu Serif"/>
              </w:rPr>
            </w:pPr>
            <w:r>
              <w:rPr>
                <w:rFonts w:ascii="DejaVu Serif" w:hAnsi="DejaVu Serif"/>
              </w:rPr>
              <w:t>Suppose Microsoft proposed that TOGAF mandate the use of Azure for cloud architecture. In a vendor-controlled framework, this might be accepted. In The Open Group, such a proposal would be rejected immediately because it violates vendor neutrality — and the same would be true of equivalent proposals from AWS, Google, Oracle, or IBM. This neutrality is why governments and competing vendors can sit in the same room and agree on TOGAF content.</w:t>
            </w:r>
          </w:p>
        </w:tc>
      </w:tr>
    </w:tbl>
    <w:p>
      <w:pPr>
        <w:pStyle w:val="Heading1"/>
        <w:spacing w:before="0" w:after="200"/>
        <w:rPr/>
      </w:pPr>
      <w:r>
        <w:rPr>
          <w:b/>
          <w:bCs/>
          <w:color w:val="1F4E78"/>
        </w:rPr>
        <w:t>4. TOGAF 10 Modular Structure</w:t>
      </w:r>
    </w:p>
    <w:p>
      <w:pPr>
        <w:pStyle w:val="BodyText"/>
        <w:jc w:val="both"/>
        <w:rPr>
          <w:rFonts w:ascii="DejaVu Serif" w:hAnsi="DejaVu Serif"/>
        </w:rPr>
      </w:pPr>
      <w:r>
        <w:rPr>
          <w:rFonts w:ascii="DejaVu Serif" w:hAnsi="DejaVu Serif"/>
        </w:rPr>
        <w:t xml:space="preserve">TOGAF 10 is no longer a single book. It is a body of knowledge organised into two distinct parts: </w:t>
      </w:r>
      <w:r>
        <w:rPr>
          <w:rFonts w:ascii="DejaVu Serif" w:hAnsi="DejaVu Serif"/>
          <w:b/>
          <w:bCs/>
        </w:rPr>
        <w:t>Fundamental</w:t>
      </w:r>
      <w:r>
        <w:rPr>
          <w:rFonts w:ascii="DejaVu Serif" w:hAnsi="DejaVu Serif"/>
        </w:rPr>
        <w:t xml:space="preserve"> </w:t>
      </w:r>
      <w:r>
        <w:rPr>
          <w:rFonts w:ascii="DejaVu Serif" w:hAnsi="DejaVu Serif"/>
          <w:b/>
          <w:bCs/>
        </w:rPr>
        <w:t>Content</w:t>
      </w:r>
      <w:r>
        <w:rPr>
          <w:rFonts w:ascii="DejaVu Serif" w:hAnsi="DejaVu Serif"/>
        </w:rPr>
        <w:t xml:space="preserve"> and </w:t>
      </w:r>
      <w:r>
        <w:rPr>
          <w:rFonts w:ascii="DejaVu Serif" w:hAnsi="DejaVu Serif"/>
          <w:b/>
          <w:bCs/>
        </w:rPr>
        <w:t>Series</w:t>
      </w:r>
      <w:r>
        <w:rPr>
          <w:rFonts w:ascii="DejaVu Serif" w:hAnsi="DejaVu Serif"/>
        </w:rPr>
        <w:t xml:space="preserve"> </w:t>
      </w:r>
      <w:r>
        <w:rPr>
          <w:rFonts w:ascii="DejaVu Serif" w:hAnsi="DejaVu Serif"/>
          <w:b/>
          <w:bCs/>
        </w:rPr>
        <w:t>Guides</w:t>
      </w:r>
      <w:r>
        <w:rPr>
          <w:rFonts w:ascii="DejaVu Serif" w:hAnsi="DejaVu Serif"/>
        </w:rPr>
        <w:t>. Understanding this distinction is critical — it appears explicitly on the certification exam, and it changes how you actually use the framework in practice.</w:t>
      </w:r>
    </w:p>
    <w:p>
      <w:pPr>
        <w:pStyle w:val="Heading2"/>
        <w:spacing w:before="280" w:after="160"/>
        <w:rPr/>
      </w:pPr>
      <w:r>
        <w:rPr>
          <w:b/>
          <w:bCs/>
          <w:color w:val="2E75B6"/>
        </w:rPr>
        <w:t>4.1 Fundamental Content</w:t>
      </w:r>
    </w:p>
    <w:p>
      <w:pPr>
        <w:pStyle w:val="BodyText"/>
        <w:jc w:val="both"/>
        <w:rPr>
          <w:rFonts w:ascii="DejaVu Serif" w:hAnsi="DejaVu Serif"/>
        </w:rPr>
      </w:pPr>
      <w:r>
        <w:rPr>
          <w:rFonts w:ascii="DejaVu Serif" w:hAnsi="DejaVu Serif"/>
        </w:rPr>
        <w:t>Fundamental Content is the stable core of TOGAF. It contains the concepts, methods, and structures that every TOGAF practitioner is expected to know and that change very rarely between releases. It is the part of TOGAF that you must master to be certified.</w:t>
      </w:r>
    </w:p>
    <w:p>
      <w:pPr>
        <w:pStyle w:val="Heading3"/>
        <w:spacing w:before="220" w:after="120"/>
        <w:rPr/>
      </w:pPr>
      <w:r>
        <w:rPr>
          <w:b/>
          <w:bCs/>
          <w:color w:val="404040"/>
        </w:rPr>
        <w:t>Documents That Make Up Fundamental Content</w:t>
      </w:r>
    </w:p>
    <w:p>
      <w:pPr>
        <w:pStyle w:val="ListParagraph"/>
        <w:numPr>
          <w:ilvl w:val="0"/>
          <w:numId w:val="2"/>
        </w:numPr>
        <w:spacing w:lineRule="auto" w:line="281" w:before="0" w:after="80"/>
        <w:rPr>
          <w:rFonts w:ascii="DejaVu Serif" w:hAnsi="DejaVu Serif"/>
        </w:rPr>
      </w:pPr>
      <w:r>
        <w:rPr>
          <w:rFonts w:ascii="DejaVu Serif" w:hAnsi="DejaVu Serif"/>
        </w:rPr>
        <w:t>Introduction and Core Concepts — overview, definitions, and the value proposition of EA.</w:t>
      </w:r>
    </w:p>
    <w:p>
      <w:pPr>
        <w:pStyle w:val="ListParagraph"/>
        <w:numPr>
          <w:ilvl w:val="0"/>
          <w:numId w:val="2"/>
        </w:numPr>
        <w:spacing w:lineRule="auto" w:line="281" w:before="0" w:after="80"/>
        <w:rPr>
          <w:rFonts w:ascii="DejaVu Serif" w:hAnsi="DejaVu Serif"/>
        </w:rPr>
      </w:pPr>
      <w:r>
        <w:rPr>
          <w:rFonts w:ascii="DejaVu Serif" w:hAnsi="DejaVu Serif"/>
        </w:rPr>
        <w:t>Architecture Development Method (ADM) — the eight-phase iterative method (Preliminary, A, B, C, D, E, F, G, H, plus Requirements Management).</w:t>
      </w:r>
    </w:p>
    <w:p>
      <w:pPr>
        <w:pStyle w:val="ListParagraph"/>
        <w:numPr>
          <w:ilvl w:val="0"/>
          <w:numId w:val="2"/>
        </w:numPr>
        <w:spacing w:lineRule="auto" w:line="281" w:before="0" w:after="80"/>
        <w:rPr>
          <w:rFonts w:ascii="DejaVu Serif" w:hAnsi="DejaVu Serif"/>
        </w:rPr>
      </w:pPr>
      <w:r>
        <w:rPr>
          <w:rFonts w:ascii="DejaVu Serif" w:hAnsi="DejaVu Serif"/>
        </w:rPr>
        <w:t>ADM Techniques — supporting techniques such as stakeholder management, business scenarios, gap analysis, risk management, and capability-based planning.</w:t>
      </w:r>
    </w:p>
    <w:p>
      <w:pPr>
        <w:pStyle w:val="ListParagraph"/>
        <w:numPr>
          <w:ilvl w:val="0"/>
          <w:numId w:val="2"/>
        </w:numPr>
        <w:spacing w:lineRule="auto" w:line="281" w:before="0" w:after="80"/>
        <w:rPr>
          <w:rFonts w:ascii="DejaVu Serif" w:hAnsi="DejaVu Serif"/>
        </w:rPr>
      </w:pPr>
      <w:r>
        <w:rPr>
          <w:rFonts w:ascii="DejaVu Serif" w:hAnsi="DejaVu Serif"/>
        </w:rPr>
        <w:t>Applying the ADM — guidance on iteration, levels of architecture, security and SOA integration.</w:t>
      </w:r>
    </w:p>
    <w:p>
      <w:pPr>
        <w:pStyle w:val="ListParagraph"/>
        <w:numPr>
          <w:ilvl w:val="0"/>
          <w:numId w:val="2"/>
        </w:numPr>
        <w:spacing w:lineRule="auto" w:line="281" w:before="0" w:after="80"/>
        <w:rPr>
          <w:rFonts w:ascii="DejaVu Serif" w:hAnsi="DejaVu Serif"/>
        </w:rPr>
      </w:pPr>
      <w:r>
        <w:rPr>
          <w:rFonts w:ascii="DejaVu Serif" w:hAnsi="DejaVu Serif"/>
        </w:rPr>
        <w:t>Architecture Content Framework — the metamodel describing artefacts, deliverables, and building blocks.</w:t>
      </w:r>
    </w:p>
    <w:p>
      <w:pPr>
        <w:pStyle w:val="ListParagraph"/>
        <w:numPr>
          <w:ilvl w:val="0"/>
          <w:numId w:val="2"/>
        </w:numPr>
        <w:spacing w:lineRule="auto" w:line="281" w:before="0" w:after="80"/>
        <w:rPr>
          <w:rFonts w:ascii="DejaVu Serif" w:hAnsi="DejaVu Serif"/>
        </w:rPr>
      </w:pPr>
      <w:r>
        <w:rPr>
          <w:rFonts w:ascii="DejaVu Serif" w:hAnsi="DejaVu Serif"/>
        </w:rPr>
        <w:t>Enterprise Continuum and Tools — classification scheme for architectures and solutions, and the Architecture Repository.</w:t>
      </w:r>
    </w:p>
    <w:p>
      <w:pPr>
        <w:pStyle w:val="ListParagraph"/>
        <w:numPr>
          <w:ilvl w:val="0"/>
          <w:numId w:val="2"/>
        </w:numPr>
        <w:spacing w:lineRule="auto" w:line="281" w:before="0" w:after="80"/>
        <w:rPr>
          <w:rFonts w:ascii="DejaVu Serif" w:hAnsi="DejaVu Serif"/>
        </w:rPr>
      </w:pPr>
      <w:r>
        <w:rPr>
          <w:rFonts w:ascii="DejaVu Serif" w:hAnsi="DejaVu Serif"/>
        </w:rPr>
        <w:t>Architecture Capability Framework — establishing and operating an architecture practice (Architecture Board, Governance, Skills, Compliance, Contracts).</w:t>
      </w:r>
    </w:p>
    <w:tbl>
      <w:tblPr>
        <w:tblW w:w="9360" w:type="dxa"/>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Normal"/>
              <w:spacing w:before="0" w:after="60"/>
              <w:rPr/>
            </w:pPr>
            <w:r>
              <w:rPr>
                <w:b/>
                <w:bCs/>
                <w:color w:val="1F4E78"/>
              </w:rPr>
              <w:t xml:space="preserve">🔑 </w:t>
            </w:r>
            <w:r>
              <w:rPr>
                <w:b/>
                <w:bCs/>
                <w:color w:val="1F4E78"/>
              </w:rPr>
              <w:t xml:space="preserve">Fundamental Content: </w:t>
            </w:r>
            <w:r>
              <w:rPr/>
              <w:t>The stable, normative core of the TOGAF Standard. It contains the ADM, the Content Framework, the Enterprise Continuum, the Architecture Capability Framework, and supporting techniques. It changes rarely and is the primary subject of TOGAF Foundation certification.</w:t>
            </w:r>
          </w:p>
        </w:tc>
      </w:tr>
    </w:tbl>
    <w:p>
      <w:pPr>
        <w:pStyle w:val="Heading2"/>
        <w:spacing w:before="280" w:after="160"/>
        <w:rPr/>
      </w:pPr>
      <w:r>
        <w:rPr>
          <w:b/>
          <w:bCs/>
          <w:color w:val="2E75B6"/>
        </w:rPr>
        <w:t>4.2 Series Guides</w:t>
      </w:r>
    </w:p>
    <w:p>
      <w:pPr>
        <w:pStyle w:val="Normal"/>
        <w:spacing w:lineRule="auto" w:line="300" w:before="0" w:after="120"/>
        <w:jc w:val="both"/>
        <w:rPr>
          <w:rFonts w:ascii="DejaVu Serif" w:hAnsi="DejaVu Serif"/>
        </w:rPr>
      </w:pPr>
      <w:r>
        <w:rPr>
          <w:rFonts w:ascii="DejaVu Serif" w:hAnsi="DejaVu Serif"/>
        </w:rPr>
        <w:t>Series Guides are topic-specific, deeper-dive documents that complement the Fundamental Content. They are published independently, can be updated independently, and address either (a) specialised domains, (b) emerging practices, or (c) detailed treatments of subjects that the Fundamental Content can only touch briefly.</w:t>
      </w:r>
    </w:p>
    <w:p>
      <w:pPr>
        <w:pStyle w:val="Heading3"/>
        <w:spacing w:before="220" w:after="120"/>
        <w:rPr/>
      </w:pPr>
      <w:r>
        <w:rPr>
          <w:b/>
          <w:bCs/>
          <w:color w:val="404040"/>
        </w:rPr>
        <w:t>Categories of Series Guides</w:t>
      </w:r>
    </w:p>
    <w:p>
      <w:pPr>
        <w:pStyle w:val="ListParagraph"/>
        <w:numPr>
          <w:ilvl w:val="0"/>
          <w:numId w:val="2"/>
        </w:numPr>
        <w:spacing w:lineRule="auto" w:line="281" w:before="0" w:after="80"/>
        <w:rPr>
          <w:rFonts w:ascii="DejaVu Serif" w:hAnsi="DejaVu Serif"/>
        </w:rPr>
      </w:pPr>
      <w:r>
        <w:rPr>
          <w:rFonts w:ascii="DejaVu Serif" w:hAnsi="DejaVu Serif"/>
        </w:rPr>
        <w:t>Business Architecture — guides on Business Capabilities, Value Streams, Information Mapping, Organization Mapping, and Business Models.</w:t>
      </w:r>
    </w:p>
    <w:p>
      <w:pPr>
        <w:pStyle w:val="ListParagraph"/>
        <w:numPr>
          <w:ilvl w:val="0"/>
          <w:numId w:val="2"/>
        </w:numPr>
        <w:spacing w:lineRule="auto" w:line="281" w:before="0" w:after="80"/>
        <w:rPr>
          <w:rFonts w:ascii="DejaVu Serif" w:hAnsi="DejaVu Serif"/>
        </w:rPr>
      </w:pPr>
      <w:r>
        <w:rPr>
          <w:rFonts w:ascii="DejaVu Serif" w:hAnsi="DejaVu Serif"/>
        </w:rPr>
        <w:t>Adapting the ADM — Agile methods, Digital Enterprise, Microservices Architecture.</w:t>
      </w:r>
    </w:p>
    <w:p>
      <w:pPr>
        <w:pStyle w:val="ListParagraph"/>
        <w:numPr>
          <w:ilvl w:val="0"/>
          <w:numId w:val="2"/>
        </w:numPr>
        <w:spacing w:lineRule="auto" w:line="281" w:before="0" w:after="80"/>
        <w:rPr>
          <w:rFonts w:ascii="DejaVu Serif" w:hAnsi="DejaVu Serif"/>
        </w:rPr>
      </w:pPr>
      <w:r>
        <w:rPr>
          <w:rFonts w:ascii="DejaVu Serif" w:hAnsi="DejaVu Serif"/>
        </w:rPr>
        <w:t>Reference Models — TRM (Technical Reference Model), III-RM (Integrated Information Infrastructure Reference Model), and others.</w:t>
      </w:r>
    </w:p>
    <w:p>
      <w:pPr>
        <w:pStyle w:val="ListParagraph"/>
        <w:numPr>
          <w:ilvl w:val="0"/>
          <w:numId w:val="2"/>
        </w:numPr>
        <w:spacing w:lineRule="auto" w:line="281" w:before="0" w:after="80"/>
        <w:rPr>
          <w:rFonts w:ascii="DejaVu Serif" w:hAnsi="DejaVu Serif"/>
        </w:rPr>
      </w:pPr>
      <w:r>
        <w:rPr>
          <w:rFonts w:ascii="DejaVu Serif" w:hAnsi="DejaVu Serif"/>
        </w:rPr>
        <w:t>Architecture Capabilities — Enterprise Architecture team operating models, EA practitioners' approaches.</w:t>
      </w:r>
    </w:p>
    <w:p>
      <w:pPr>
        <w:pStyle w:val="ListParagraph"/>
        <w:numPr>
          <w:ilvl w:val="0"/>
          <w:numId w:val="2"/>
        </w:numPr>
        <w:spacing w:lineRule="auto" w:line="281" w:before="0" w:after="80"/>
        <w:rPr>
          <w:rFonts w:ascii="DejaVu Serif" w:hAnsi="DejaVu Serif"/>
        </w:rPr>
      </w:pPr>
      <w:r>
        <w:rPr>
          <w:rFonts w:ascii="DejaVu Serif" w:hAnsi="DejaVu Serif"/>
        </w:rPr>
        <w:t>Domain-Specific Guides — Security architecture, Risk and Security integration, Government EA, etc.</w:t>
      </w:r>
    </w:p>
    <w:tbl>
      <w:tblPr>
        <w:tblW w:w="9360" w:type="dxa"/>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Normal"/>
              <w:spacing w:before="0" w:after="60"/>
              <w:rPr/>
            </w:pPr>
            <w:r>
              <w:rPr>
                <w:b/>
                <w:bCs/>
                <w:color w:val="1F4E78"/>
              </w:rPr>
              <w:t xml:space="preserve">🔑 </w:t>
            </w:r>
            <w:r>
              <w:rPr>
                <w:b/>
                <w:bCs/>
                <w:color w:val="1F4E78"/>
              </w:rPr>
              <w:t xml:space="preserve">Series Guides: </w:t>
            </w:r>
            <w:r>
              <w:rPr/>
              <w:t>Topic-specific TOGAF documents published alongside but separately from the Fundamental Content. They cover specialised topics in greater depth, can be updated independently, and let the standard evolve faster without disturbing the stable core.</w:t>
            </w:r>
          </w:p>
        </w:tc>
      </w:tr>
      <w:tr>
        <w:trPr/>
        <w:tc>
          <w:tcPr>
            <w:tcW w:w="9360" w:type="dxa"/>
            <w:tcBorders>
              <w:top w:val="single" w:sz="8" w:space="0" w:color="2E75B6"/>
              <w:left w:val="single" w:sz="24" w:space="0" w:color="2E75B6"/>
              <w:bottom w:val="single" w:sz="8" w:space="0" w:color="2E75B6"/>
              <w:right w:val="single" w:sz="4" w:space="0" w:color="2E75B6"/>
            </w:tcBorders>
            <w:shd w:fill="EAF1F8" w:val="clear"/>
            <w:tcMar>
              <w:top w:w="160" w:type="dxa"/>
              <w:left w:w="200" w:type="dxa"/>
              <w:bottom w:w="160" w:type="dxa"/>
              <w:right w:w="200" w:type="dxa"/>
            </w:tcMar>
          </w:tcPr>
          <w:p>
            <w:pPr>
              <w:pStyle w:val="Normal"/>
              <w:spacing w:before="0" w:after="100"/>
              <w:rPr/>
            </w:pPr>
            <w:r>
              <w:rPr>
                <w:b/>
                <w:bCs/>
                <w:color w:val="1F4E78"/>
              </w:rPr>
              <w:t xml:space="preserve">▶ </w:t>
            </w:r>
            <w:r>
              <w:rPr>
                <w:b/>
                <w:bCs/>
                <w:color w:val="1F4E78"/>
              </w:rPr>
              <w:t>Concrete Example of Fundamental vs Series</w:t>
            </w:r>
          </w:p>
          <w:p>
            <w:pPr>
              <w:pStyle w:val="Normal"/>
              <w:spacing w:lineRule="auto" w:line="281" w:before="0" w:after="60"/>
              <w:jc w:val="both"/>
              <w:rPr/>
            </w:pPr>
            <w:r>
              <w:rPr/>
              <w:t>An architect is asked to design a target architecture using business capabilities. The Fundamental Content tells them WHAT a business capability is and HOW Phase B uses it.</w:t>
            </w:r>
          </w:p>
          <w:p>
            <w:pPr>
              <w:pStyle w:val="Normal"/>
              <w:spacing w:lineRule="auto" w:line="281" w:before="0" w:after="60"/>
              <w:jc w:val="both"/>
              <w:rPr/>
            </w:pPr>
            <w:r>
              <w:rPr/>
              <w:t>But the architect needs to actually build a capability map, score capabilities, and link them to value streams. For that depth, they turn to the Series Guide "TOGAF® Series Guide: Business Capabilities", which provides templates, scoring methods, and detailed worked examples.</w:t>
            </w:r>
          </w:p>
          <w:p>
            <w:pPr>
              <w:pStyle w:val="Normal"/>
              <w:spacing w:lineRule="auto" w:line="281" w:before="0" w:after="60"/>
              <w:jc w:val="both"/>
              <w:rPr/>
            </w:pPr>
            <w:r>
              <w:rPr/>
              <w:t>Both documents are part of TOGAF 10, but they serve different purposes: the core teaches the concept; the Series Guide teaches the practice.</w:t>
            </w:r>
          </w:p>
        </w:tc>
      </w:tr>
    </w:tbl>
    <w:p>
      <w:pPr>
        <w:pStyle w:val="Heading2"/>
        <w:spacing w:before="280" w:after="160"/>
        <w:rPr/>
      </w:pPr>
      <w:r>
        <w:rPr>
          <w:b/>
          <w:bCs/>
          <w:color w:val="2E75B6"/>
        </w:rPr>
        <w:t>4.3 The Whole Picture</w:t>
      </w:r>
    </w:p>
    <w:tbl>
      <w:tblPr>
        <w:tblW w:w="9360" w:type="dxa"/>
        <w:jc w:val="left"/>
        <w:tblInd w:w="0" w:type="dxa"/>
        <w:tblLayout w:type="fixed"/>
        <w:tblCellMar>
          <w:top w:w="100" w:type="dxa"/>
          <w:left w:w="120" w:type="dxa"/>
          <w:bottom w:w="100" w:type="dxa"/>
          <w:right w:w="120" w:type="dxa"/>
        </w:tblCellMar>
      </w:tblPr>
      <w:tblGrid>
        <w:gridCol w:w="1889"/>
        <w:gridCol w:w="3711"/>
        <w:gridCol w:w="3760"/>
      </w:tblGrid>
      <w:tr>
        <w:trPr>
          <w:tblHeader w:val="true"/>
        </w:trPr>
        <w:tc>
          <w:tcPr>
            <w:tcW w:w="1889" w:type="dxa"/>
            <w:tcBorders>
              <w:top w:val="single" w:sz="4" w:space="0" w:color="999999"/>
              <w:left w:val="single" w:sz="4" w:space="0" w:color="999999"/>
              <w:bottom w:val="single" w:sz="4" w:space="0" w:color="999999"/>
              <w:right w:val="single" w:sz="4" w:space="0" w:color="999999"/>
            </w:tcBorders>
            <w:shd w:fill="1F4E78" w:val="clear"/>
          </w:tcPr>
          <w:p>
            <w:pPr>
              <w:pStyle w:val="Normal"/>
              <w:rPr>
                <w:rFonts w:ascii="DejaVu Serif" w:hAnsi="DejaVu Serif"/>
              </w:rPr>
            </w:pPr>
            <w:r>
              <w:rPr>
                <w:rFonts w:ascii="DejaVu Serif" w:hAnsi="DejaVu Serif"/>
                <w:b/>
                <w:bCs/>
                <w:color w:val="FFFFFF"/>
              </w:rPr>
              <w:t>Aspect</w:t>
            </w:r>
          </w:p>
        </w:tc>
        <w:tc>
          <w:tcPr>
            <w:tcW w:w="3711" w:type="dxa"/>
            <w:tcBorders>
              <w:top w:val="single" w:sz="4" w:space="0" w:color="999999"/>
              <w:left w:val="single" w:sz="4" w:space="0" w:color="999999"/>
              <w:bottom w:val="single" w:sz="4" w:space="0" w:color="999999"/>
              <w:right w:val="single" w:sz="4" w:space="0" w:color="999999"/>
            </w:tcBorders>
            <w:shd w:fill="1F4E78" w:val="clear"/>
          </w:tcPr>
          <w:p>
            <w:pPr>
              <w:pStyle w:val="Normal"/>
              <w:rPr>
                <w:rFonts w:ascii="DejaVu Serif" w:hAnsi="DejaVu Serif"/>
              </w:rPr>
            </w:pPr>
            <w:r>
              <w:rPr>
                <w:rFonts w:ascii="DejaVu Serif" w:hAnsi="DejaVu Serif"/>
                <w:b/>
                <w:bCs/>
                <w:color w:val="FFFFFF"/>
              </w:rPr>
              <w:t>Fundamental Content</w:t>
            </w:r>
          </w:p>
        </w:tc>
        <w:tc>
          <w:tcPr>
            <w:tcW w:w="3760" w:type="dxa"/>
            <w:tcBorders>
              <w:top w:val="single" w:sz="4" w:space="0" w:color="999999"/>
              <w:left w:val="single" w:sz="4" w:space="0" w:color="999999"/>
              <w:bottom w:val="single" w:sz="4" w:space="0" w:color="999999"/>
              <w:right w:val="single" w:sz="4" w:space="0" w:color="999999"/>
            </w:tcBorders>
            <w:shd w:fill="1F4E78" w:val="clear"/>
          </w:tcPr>
          <w:p>
            <w:pPr>
              <w:pStyle w:val="Normal"/>
              <w:rPr>
                <w:rFonts w:ascii="DejaVu Serif" w:hAnsi="DejaVu Serif"/>
              </w:rPr>
            </w:pPr>
            <w:r>
              <w:rPr>
                <w:rFonts w:ascii="DejaVu Serif" w:hAnsi="DejaVu Serif"/>
                <w:b/>
                <w:bCs/>
                <w:color w:val="FFFFFF"/>
              </w:rPr>
              <w:t>Series Guides</w:t>
            </w:r>
          </w:p>
        </w:tc>
      </w:tr>
      <w:tr>
        <w:trPr/>
        <w:tc>
          <w:tcPr>
            <w:tcW w:w="188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rPr>
            </w:pPr>
            <w:r>
              <w:rPr>
                <w:rFonts w:ascii="DejaVu Serif" w:hAnsi="DejaVu Serif"/>
              </w:rPr>
              <w:t>Stability</w:t>
            </w:r>
          </w:p>
        </w:tc>
        <w:tc>
          <w:tcPr>
            <w:tcW w:w="371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rPr>
            </w:pPr>
            <w:r>
              <w:rPr>
                <w:rFonts w:ascii="DejaVu Serif" w:hAnsi="DejaVu Serif"/>
              </w:rPr>
              <w:t>Very stable — changes rarely.</w:t>
            </w:r>
          </w:p>
        </w:tc>
        <w:tc>
          <w:tcPr>
            <w:tcW w:w="37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rPr>
            </w:pPr>
            <w:r>
              <w:rPr>
                <w:rFonts w:ascii="DejaVu Serif" w:hAnsi="DejaVu Serif"/>
              </w:rPr>
              <w:t>Evolves continuously; new guides added regularly.</w:t>
            </w:r>
          </w:p>
        </w:tc>
      </w:tr>
      <w:tr>
        <w:trPr/>
        <w:tc>
          <w:tcPr>
            <w:tcW w:w="188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rPr>
            </w:pPr>
            <w:r>
              <w:rPr>
                <w:rFonts w:ascii="DejaVu Serif" w:hAnsi="DejaVu Serif"/>
              </w:rPr>
              <w:t>Scope</w:t>
            </w:r>
          </w:p>
        </w:tc>
        <w:tc>
          <w:tcPr>
            <w:tcW w:w="3711"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rPr>
            </w:pPr>
            <w:r>
              <w:rPr>
                <w:rFonts w:ascii="DejaVu Serif" w:hAnsi="DejaVu Serif"/>
              </w:rPr>
              <w:t>Universal — applies to every TOGAF engagement.</w:t>
            </w:r>
          </w:p>
        </w:tc>
        <w:tc>
          <w:tcPr>
            <w:tcW w:w="376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rPr>
            </w:pPr>
            <w:r>
              <w:rPr>
                <w:rFonts w:ascii="DejaVu Serif" w:hAnsi="DejaVu Serif"/>
              </w:rPr>
              <w:t>Topic-specific or industry-specific.</w:t>
            </w:r>
          </w:p>
        </w:tc>
      </w:tr>
      <w:tr>
        <w:trPr/>
        <w:tc>
          <w:tcPr>
            <w:tcW w:w="188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rPr>
            </w:pPr>
            <w:r>
              <w:rPr>
                <w:rFonts w:ascii="DejaVu Serif" w:hAnsi="DejaVu Serif"/>
              </w:rPr>
              <w:t>Depth</w:t>
            </w:r>
          </w:p>
        </w:tc>
        <w:tc>
          <w:tcPr>
            <w:tcW w:w="371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rPr>
            </w:pPr>
            <w:r>
              <w:rPr>
                <w:rFonts w:ascii="DejaVu Serif" w:hAnsi="DejaVu Serif"/>
              </w:rPr>
              <w:t>Concept and method.</w:t>
            </w:r>
          </w:p>
        </w:tc>
        <w:tc>
          <w:tcPr>
            <w:tcW w:w="37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rPr>
            </w:pPr>
            <w:r>
              <w:rPr>
                <w:rFonts w:ascii="DejaVu Serif" w:hAnsi="DejaVu Serif"/>
              </w:rPr>
              <w:t>Detailed practice, templates, examples.</w:t>
            </w:r>
          </w:p>
        </w:tc>
      </w:tr>
      <w:tr>
        <w:trPr/>
        <w:tc>
          <w:tcPr>
            <w:tcW w:w="188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rPr>
            </w:pPr>
            <w:r>
              <w:rPr>
                <w:rFonts w:ascii="DejaVu Serif" w:hAnsi="DejaVu Serif"/>
              </w:rPr>
              <w:t>Certification</w:t>
            </w:r>
          </w:p>
        </w:tc>
        <w:tc>
          <w:tcPr>
            <w:tcW w:w="3711"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rPr>
            </w:pPr>
            <w:r>
              <w:rPr>
                <w:rFonts w:ascii="DejaVu Serif" w:hAnsi="DejaVu Serif"/>
              </w:rPr>
              <w:t>Tested in Foundation and Practitioner exams.</w:t>
            </w:r>
          </w:p>
        </w:tc>
        <w:tc>
          <w:tcPr>
            <w:tcW w:w="376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rPr>
            </w:pPr>
            <w:r>
              <w:rPr>
                <w:rFonts w:ascii="DejaVu Serif" w:hAnsi="DejaVu Serif"/>
              </w:rPr>
              <w:t>Generally not tested at Foundation level (some at Practitioner).</w:t>
            </w:r>
          </w:p>
        </w:tc>
      </w:tr>
      <w:tr>
        <w:trPr/>
        <w:tc>
          <w:tcPr>
            <w:tcW w:w="188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rPr>
            </w:pPr>
            <w:r>
              <w:rPr>
                <w:rFonts w:ascii="DejaVu Serif" w:hAnsi="DejaVu Serif"/>
              </w:rPr>
              <w:t>When to read</w:t>
            </w:r>
          </w:p>
        </w:tc>
        <w:tc>
          <w:tcPr>
            <w:tcW w:w="371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rPr>
            </w:pPr>
            <w:r>
              <w:rPr>
                <w:rFonts w:ascii="DejaVu Serif" w:hAnsi="DejaVu Serif"/>
              </w:rPr>
              <w:t>Always — it is the spine of TOGAF.</w:t>
            </w:r>
          </w:p>
        </w:tc>
        <w:tc>
          <w:tcPr>
            <w:tcW w:w="37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rPr>
            </w:pPr>
            <w:r>
              <w:rPr>
                <w:rFonts w:ascii="DejaVu Serif" w:hAnsi="DejaVu Serif"/>
              </w:rPr>
              <w:t>When you need depth on a specific topic.</w:t>
            </w:r>
          </w:p>
        </w:tc>
      </w:tr>
      <w:tr>
        <w:trPr/>
        <w:tc>
          <w:tcPr>
            <w:tcW w:w="188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rPr>
            </w:pPr>
            <w:r>
              <w:rPr>
                <w:rFonts w:ascii="DejaVu Serif" w:hAnsi="DejaVu Serif"/>
              </w:rPr>
              <w:t>Update cadence</w:t>
            </w:r>
          </w:p>
        </w:tc>
        <w:tc>
          <w:tcPr>
            <w:tcW w:w="3711"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rPr>
            </w:pPr>
            <w:r>
              <w:rPr>
                <w:rFonts w:ascii="DejaVu Serif" w:hAnsi="DejaVu Serif"/>
              </w:rPr>
              <w:t>Major release (every several years).</w:t>
            </w:r>
          </w:p>
        </w:tc>
        <w:tc>
          <w:tcPr>
            <w:tcW w:w="376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rPr>
            </w:pPr>
            <w:r>
              <w:rPr>
                <w:rFonts w:ascii="DejaVu Serif" w:hAnsi="DejaVu Serif"/>
              </w:rPr>
              <w:t>Independent, ongoing publication.</w:t>
            </w:r>
          </w:p>
        </w:tc>
      </w:tr>
    </w:tbl>
    <w:p>
      <w:pPr>
        <w:pStyle w:val="Heading1"/>
        <w:spacing w:before="0" w:after="200"/>
        <w:rPr/>
      </w:pPr>
      <w:r>
        <w:rPr>
          <w:b/>
          <w:bCs/>
          <w:color w:val="1F4E78"/>
        </w:rPr>
        <w:t>5. What Changed from TOGAF 9.2 to TOGAF 10</w:t>
      </w:r>
    </w:p>
    <w:p>
      <w:pPr>
        <w:pStyle w:val="BodyText"/>
        <w:jc w:val="both"/>
        <w:rPr>
          <w:rFonts w:ascii="DejaVu Serif" w:hAnsi="DejaVu Serif"/>
        </w:rPr>
      </w:pPr>
      <w:r>
        <w:rPr>
          <w:rFonts w:ascii="DejaVu Serif" w:hAnsi="DejaVu Serif"/>
        </w:rPr>
        <w:t>The transition from TOGAF 9.2 (2018) to TOGAF 10 (2022) is one of the most asked-about topics in certification. Three changes are essential to remember: the modular split, the introduction of the Series Guides library, and the certification rename.</w:t>
      </w:r>
    </w:p>
    <w:p>
      <w:pPr>
        <w:pStyle w:val="Heading2"/>
        <w:spacing w:before="280" w:after="160"/>
        <w:rPr/>
      </w:pPr>
      <w:r>
        <w:rPr>
          <w:b/>
          <w:bCs/>
          <w:color w:val="2E75B6"/>
        </w:rPr>
        <w:t>5.1 Change 1 — The Modular Split</w:t>
      </w:r>
    </w:p>
    <w:p>
      <w:pPr>
        <w:pStyle w:val="BodyText"/>
        <w:jc w:val="both"/>
        <w:rPr>
          <w:rFonts w:ascii="DejaVu Serif" w:hAnsi="DejaVu Serif"/>
        </w:rPr>
      </w:pPr>
      <w:r>
        <w:rPr>
          <w:rFonts w:ascii="DejaVu Serif" w:hAnsi="DejaVu Serif"/>
        </w:rPr>
        <w:t>In 9.2, TOGAF was a single, monolithic publication. To find anything you opened the book, regardless of whether you were looking up the ADM or a niche topic. In TOGAF 10 the content was deliberately split: stable, universal content went into Fundamental Content, and detailed, evolving, topical content went into Series Guides.</w:t>
      </w:r>
    </w:p>
    <w:p>
      <w:pPr>
        <w:pStyle w:val="BodyText"/>
        <w:jc w:val="both"/>
        <w:rPr>
          <w:rFonts w:ascii="DejaVu Serif" w:hAnsi="DejaVu Serif"/>
        </w:rPr>
      </w:pPr>
      <w:r>
        <w:rPr>
          <w:rFonts w:ascii="DejaVu Serif" w:hAnsi="DejaVu Serif"/>
        </w:rPr>
        <w:t>Practical consequences of the split:</w:t>
      </w:r>
    </w:p>
    <w:p>
      <w:pPr>
        <w:pStyle w:val="ListParagraph"/>
        <w:numPr>
          <w:ilvl w:val="0"/>
          <w:numId w:val="2"/>
        </w:numPr>
        <w:spacing w:lineRule="auto" w:line="281" w:before="0" w:after="80"/>
        <w:rPr>
          <w:rFonts w:ascii="DejaVu Serif" w:hAnsi="DejaVu Serif"/>
        </w:rPr>
      </w:pPr>
      <w:r>
        <w:rPr>
          <w:rFonts w:ascii="DejaVu Serif" w:hAnsi="DejaVu Serif"/>
        </w:rPr>
        <w:t>Faster updates — a Series Guide on Microservices can be revised without touching the rest of the standard.</w:t>
      </w:r>
    </w:p>
    <w:p>
      <w:pPr>
        <w:pStyle w:val="ListParagraph"/>
        <w:numPr>
          <w:ilvl w:val="0"/>
          <w:numId w:val="2"/>
        </w:numPr>
        <w:spacing w:lineRule="auto" w:line="281" w:before="0" w:after="80"/>
        <w:rPr>
          <w:rFonts w:ascii="DejaVu Serif" w:hAnsi="DejaVu Serif"/>
        </w:rPr>
      </w:pPr>
      <w:r>
        <w:rPr>
          <w:rFonts w:ascii="DejaVu Serif" w:hAnsi="DejaVu Serif"/>
        </w:rPr>
        <w:t>Smaller core — practitioners and exam candidates have less stable material to memorise.</w:t>
      </w:r>
    </w:p>
    <w:p>
      <w:pPr>
        <w:pStyle w:val="ListParagraph"/>
        <w:numPr>
          <w:ilvl w:val="0"/>
          <w:numId w:val="2"/>
        </w:numPr>
        <w:spacing w:lineRule="auto" w:line="281" w:before="0" w:after="80"/>
        <w:rPr>
          <w:rFonts w:ascii="DejaVu Serif" w:hAnsi="DejaVu Serif"/>
        </w:rPr>
      </w:pPr>
      <w:r>
        <w:rPr>
          <w:rFonts w:ascii="DejaVu Serif" w:hAnsi="DejaVu Serif"/>
        </w:rPr>
        <w:t>Clearer signposting — readers know whether they're reading universal doctrine or topic-specific guidance.</w:t>
      </w:r>
    </w:p>
    <w:p>
      <w:pPr>
        <w:pStyle w:val="ListParagraph"/>
        <w:numPr>
          <w:ilvl w:val="0"/>
          <w:numId w:val="2"/>
        </w:numPr>
        <w:spacing w:lineRule="auto" w:line="281" w:before="0" w:after="80"/>
        <w:rPr>
          <w:rFonts w:ascii="DejaVu Serif" w:hAnsi="DejaVu Serif"/>
        </w:rPr>
      </w:pPr>
      <w:r>
        <w:rPr>
          <w:rFonts w:ascii="DejaVu Serif" w:hAnsi="DejaVu Serif"/>
        </w:rPr>
        <w:t>Better organisation — topics that previously felt cramped (like Business Architecture) now have room to breathe in their own guides.</w:t>
      </w:r>
    </w:p>
    <w:p>
      <w:pPr>
        <w:pStyle w:val="Heading2"/>
        <w:spacing w:before="280" w:after="160"/>
        <w:rPr/>
      </w:pPr>
      <w:r>
        <w:rPr>
          <w:b/>
          <w:bCs/>
          <w:color w:val="2E75B6"/>
        </w:rPr>
        <w:t>5.2 Change 2 — Expanded Series Guides Library</w:t>
      </w:r>
    </w:p>
    <w:p>
      <w:pPr>
        <w:pStyle w:val="BodyText"/>
        <w:jc w:val="both"/>
        <w:rPr>
          <w:rFonts w:ascii="DejaVu Serif" w:hAnsi="DejaVu Serif"/>
        </w:rPr>
      </w:pPr>
      <w:r>
        <w:rPr>
          <w:rFonts w:ascii="DejaVu Serif" w:hAnsi="DejaVu Serif"/>
        </w:rPr>
        <w:t>Although Series Guides existed informally before TOGAF 10, the 10th Edition formally established them as a recognised, growing component of the standard. Many guides that existed previously as supplements were republished as part of the official TOGAF body of knowledge, and new ones were added.</w:t>
      </w:r>
    </w:p>
    <w:p>
      <w:pPr>
        <w:pStyle w:val="BodyText"/>
        <w:jc w:val="both"/>
        <w:rPr>
          <w:rFonts w:ascii="DejaVu Serif" w:hAnsi="DejaVu Serif"/>
        </w:rPr>
      </w:pPr>
      <w:r>
        <w:rPr>
          <w:rFonts w:ascii="DejaVu Serif" w:hAnsi="DejaVu Serif"/>
        </w:rPr>
        <w:t>Notable Series Guides accompanying or following TOGAF 10's release include guides on Business Capabilities, Value Streams, Information Mapping, Organization Mapping, Business Models, Agile and the ADM, Microservices Architecture, Digital Enterprise, the Architecture Project, Practitioners' Approaches to EA, and many more.</w:t>
      </w:r>
    </w:p>
    <w:p>
      <w:pPr>
        <w:pStyle w:val="Heading2"/>
        <w:spacing w:before="280" w:after="160"/>
        <w:rPr/>
      </w:pPr>
      <w:r>
        <w:rPr>
          <w:b/>
          <w:bCs/>
          <w:color w:val="2E75B6"/>
        </w:rPr>
        <w:t>5.3 Change 3 — Certification Rename</w:t>
      </w:r>
    </w:p>
    <w:p>
      <w:pPr>
        <w:pStyle w:val="BodyText"/>
        <w:rPr>
          <w:rFonts w:ascii="DejaVu Serif" w:hAnsi="DejaVu Serif"/>
        </w:rPr>
      </w:pPr>
      <w:r>
        <w:rPr>
          <w:rFonts w:ascii="DejaVu Serif" w:hAnsi="DejaVu Serif"/>
        </w:rPr>
        <w:t>The certification scheme was renamed and re-aligned. Two specific name changes are exam-critical:</w:t>
      </w:r>
    </w:p>
    <w:tbl>
      <w:tblPr>
        <w:tblW w:w="9360" w:type="dxa"/>
        <w:jc w:val="left"/>
        <w:tblInd w:w="0" w:type="dxa"/>
        <w:tblLayout w:type="fixed"/>
        <w:tblCellMar>
          <w:top w:w="100" w:type="dxa"/>
          <w:left w:w="120" w:type="dxa"/>
          <w:bottom w:w="100" w:type="dxa"/>
          <w:right w:w="120" w:type="dxa"/>
        </w:tblCellMar>
      </w:tblPr>
      <w:tblGrid>
        <w:gridCol w:w="2369"/>
        <w:gridCol w:w="3331"/>
        <w:gridCol w:w="3660"/>
      </w:tblGrid>
      <w:tr>
        <w:trPr>
          <w:tblHeader w:val="true"/>
        </w:trPr>
        <w:tc>
          <w:tcPr>
            <w:tcW w:w="2369"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sz w:val="20"/>
                <w:szCs w:val="20"/>
              </w:rPr>
            </w:pPr>
            <w:r>
              <w:rPr>
                <w:rFonts w:ascii="DejaVu Serif" w:hAnsi="DejaVu Serif"/>
                <w:sz w:val="20"/>
                <w:szCs w:val="20"/>
              </w:rPr>
              <w:t>Old Name (TOGAF 9 era)</w:t>
            </w:r>
          </w:p>
        </w:tc>
        <w:tc>
          <w:tcPr>
            <w:tcW w:w="3331"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sz w:val="20"/>
                <w:szCs w:val="20"/>
              </w:rPr>
            </w:pPr>
            <w:r>
              <w:rPr>
                <w:rFonts w:ascii="DejaVu Serif" w:hAnsi="DejaVu Serif"/>
                <w:sz w:val="20"/>
                <w:szCs w:val="20"/>
              </w:rPr>
              <w:t>New Name (TOGAF 10 era)</w:t>
            </w:r>
          </w:p>
        </w:tc>
        <w:tc>
          <w:tcPr>
            <w:tcW w:w="3660"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sz w:val="20"/>
                <w:szCs w:val="20"/>
              </w:rPr>
            </w:pPr>
            <w:r>
              <w:rPr>
                <w:rFonts w:ascii="DejaVu Serif" w:hAnsi="DejaVu Serif"/>
                <w:sz w:val="20"/>
                <w:szCs w:val="20"/>
              </w:rPr>
              <w:t>Notes</w:t>
            </w:r>
          </w:p>
        </w:tc>
      </w:tr>
      <w:tr>
        <w:trPr/>
        <w:tc>
          <w:tcPr>
            <w:tcW w:w="236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TOGAF 9 Certified (Level 2)</w:t>
            </w:r>
          </w:p>
        </w:tc>
        <w:tc>
          <w:tcPr>
            <w:tcW w:w="333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TOGAF Enterprise Architecture Practitioner</w:t>
            </w:r>
          </w:p>
        </w:tc>
        <w:tc>
          <w:tcPr>
            <w:tcW w:w="36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Tests application of TOGAF, scenario-based questions.</w:t>
            </w:r>
          </w:p>
        </w:tc>
      </w:tr>
      <w:tr>
        <w:trPr/>
        <w:tc>
          <w:tcPr>
            <w:tcW w:w="236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TOGAF 9 Foundation (Level 1)</w:t>
            </w:r>
          </w:p>
        </w:tc>
        <w:tc>
          <w:tcPr>
            <w:tcW w:w="3331"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TOGAF Enterprise Architecture Foundation</w:t>
            </w:r>
          </w:p>
        </w:tc>
        <w:tc>
          <w:tcPr>
            <w:tcW w:w="366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Tests knowledge of concepts and terminology.</w:t>
            </w:r>
          </w:p>
        </w:tc>
      </w:tr>
      <w:tr>
        <w:trPr/>
        <w:tc>
          <w:tcPr>
            <w:tcW w:w="236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(no equivalent)</w:t>
            </w:r>
          </w:p>
        </w:tc>
        <w:tc>
          <w:tcPr>
            <w:tcW w:w="333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TOGAF Business Architecture Foundation / Practitioner</w:t>
            </w:r>
          </w:p>
        </w:tc>
        <w:tc>
          <w:tcPr>
            <w:tcW w:w="366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New separate track focusing on Business Architecture.</w:t>
            </w:r>
          </w:p>
        </w:tc>
      </w:tr>
    </w:tbl>
    <w:p>
      <w:pPr>
        <w:pStyle w:val="Normal"/>
        <w:spacing w:lineRule="auto" w:line="300" w:before="0" w:after="120"/>
        <w:jc w:val="both"/>
        <w:rPr>
          <w:rFonts w:ascii="DejaVu Serif" w:hAnsi="DejaVu Serif"/>
        </w:rPr>
      </w:pPr>
      <w:r>
        <w:rPr>
          <w:rFonts w:ascii="DejaVu Serif" w:hAnsi="DejaVu Serif"/>
        </w:rPr>
        <w:t>In addition, holders of the older TOGAF 9 credentials remain certified, but new candidates take the renamed exams against the TOGAF 10 syllabus.</w:t>
      </w:r>
    </w:p>
    <w:p>
      <w:pPr>
        <w:pStyle w:val="Heading2"/>
        <w:spacing w:before="280" w:after="160"/>
        <w:rPr/>
      </w:pPr>
      <w:r>
        <w:rPr>
          <w:b/>
          <w:bCs/>
          <w:color w:val="2E75B6"/>
        </w:rPr>
        <w:t>5.4 What Did NOT Change</w:t>
      </w:r>
    </w:p>
    <w:p>
      <w:pPr>
        <w:pStyle w:val="Normal"/>
        <w:spacing w:lineRule="auto" w:line="300" w:before="0" w:after="120"/>
        <w:jc w:val="both"/>
        <w:rPr>
          <w:rFonts w:ascii="DejaVu Serif" w:hAnsi="DejaVu Serif"/>
        </w:rPr>
      </w:pPr>
      <w:r>
        <w:rPr>
          <w:rFonts w:ascii="DejaVu Serif" w:hAnsi="DejaVu Serif"/>
        </w:rPr>
        <w:t>It is just as important to know what stayed the same. Despite the structural overhaul, the conceptual framework of TOGAF was preserved:</w:t>
      </w:r>
    </w:p>
    <w:p>
      <w:pPr>
        <w:pStyle w:val="ListParagraph"/>
        <w:numPr>
          <w:ilvl w:val="0"/>
          <w:numId w:val="2"/>
        </w:numPr>
        <w:spacing w:lineRule="auto" w:line="281" w:before="0" w:after="80"/>
        <w:rPr>
          <w:rFonts w:ascii="DejaVu Serif" w:hAnsi="DejaVu Serif"/>
        </w:rPr>
      </w:pPr>
      <w:r>
        <w:rPr>
          <w:rFonts w:ascii="DejaVu Serif" w:hAnsi="DejaVu Serif"/>
        </w:rPr>
        <w:t>The ADM still has the same phases (Preliminary, A through H, plus Requirements Management at the centre).</w:t>
      </w:r>
    </w:p>
    <w:p>
      <w:pPr>
        <w:pStyle w:val="ListParagraph"/>
        <w:numPr>
          <w:ilvl w:val="0"/>
          <w:numId w:val="2"/>
        </w:numPr>
        <w:spacing w:lineRule="auto" w:line="281" w:before="0" w:after="80"/>
        <w:rPr>
          <w:rFonts w:ascii="DejaVu Serif" w:hAnsi="DejaVu Serif"/>
        </w:rPr>
      </w:pPr>
      <w:r>
        <w:rPr>
          <w:rFonts w:ascii="DejaVu Serif" w:hAnsi="DejaVu Serif"/>
        </w:rPr>
        <w:t>The four architecture domains (Business, Data, Application, Technology) are unchanged.</w:t>
      </w:r>
    </w:p>
    <w:p>
      <w:pPr>
        <w:pStyle w:val="ListParagraph"/>
        <w:numPr>
          <w:ilvl w:val="0"/>
          <w:numId w:val="2"/>
        </w:numPr>
        <w:spacing w:lineRule="auto" w:line="281" w:before="0" w:after="80"/>
        <w:rPr>
          <w:rFonts w:ascii="DejaVu Serif" w:hAnsi="DejaVu Serif"/>
        </w:rPr>
      </w:pPr>
      <w:r>
        <w:rPr>
          <w:rFonts w:ascii="DejaVu Serif" w:hAnsi="DejaVu Serif"/>
        </w:rPr>
        <w:t>The Enterprise Continuum, Architecture Repository, and Architecture Capability Framework are unchanged in concept.</w:t>
      </w:r>
    </w:p>
    <w:p>
      <w:pPr>
        <w:pStyle w:val="ListParagraph"/>
        <w:numPr>
          <w:ilvl w:val="0"/>
          <w:numId w:val="2"/>
        </w:numPr>
        <w:spacing w:lineRule="auto" w:line="281" w:before="0" w:after="80"/>
        <w:rPr>
          <w:rFonts w:ascii="DejaVu Serif" w:hAnsi="DejaVu Serif"/>
        </w:rPr>
      </w:pPr>
      <w:r>
        <w:rPr>
          <w:rFonts w:ascii="DejaVu Serif" w:hAnsi="DejaVu Serif"/>
        </w:rPr>
        <w:t>Core deliverables such as the Architecture Vision, Architecture Definition Document, and Architecture Requirements Specification remain.</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C9A227"/>
              <w:left w:val="single" w:sz="24" w:space="0" w:color="C9A227"/>
              <w:bottom w:val="single" w:sz="8" w:space="0" w:color="C9A227"/>
              <w:right w:val="single" w:sz="4" w:space="0" w:color="C9A227"/>
            </w:tcBorders>
            <w:shd w:fill="FFE5E5" w:val="clear"/>
          </w:tcPr>
          <w:p>
            <w:pPr>
              <w:pStyle w:val="Normal"/>
              <w:spacing w:before="0" w:after="80"/>
              <w:rPr/>
            </w:pPr>
            <w:r>
              <w:rPr>
                <w:b/>
                <w:bCs/>
                <w:color w:val="7C5800"/>
              </w:rPr>
              <w:t>Exam Insight</w:t>
            </w:r>
          </w:p>
          <w:p>
            <w:pPr>
              <w:pStyle w:val="Normal"/>
              <w:spacing w:lineRule="auto" w:line="281" w:before="0" w:after="60"/>
              <w:jc w:val="both"/>
              <w:rPr/>
            </w:pPr>
            <w:r>
              <w:rPr/>
              <w:t>If a question asks you to identify a change between 9.2 and 10, the answer almost always relates to (a) modular structure, (b) Series Guides, or (c) certification names. It is a trap to pick a change in the ADM phases or the four domains — those did not change.</w:t>
            </w:r>
          </w:p>
        </w:tc>
      </w:tr>
    </w:tbl>
    <w:p>
      <w:pPr>
        <w:pStyle w:val="Heading1"/>
        <w:spacing w:before="0" w:after="200"/>
        <w:rPr/>
      </w:pPr>
      <w:r>
        <w:rPr>
          <w:b/>
          <w:bCs/>
          <w:color w:val="1F4E78"/>
        </w:rPr>
        <w:t>6. Definitions of Enterprise Architecture</w:t>
      </w:r>
    </w:p>
    <w:p>
      <w:pPr>
        <w:pStyle w:val="BodyText"/>
        <w:jc w:val="both"/>
        <w:rPr>
          <w:rFonts w:ascii="DejaVu Serif" w:hAnsi="DejaVu Serif"/>
        </w:rPr>
      </w:pPr>
      <w:r>
        <w:rPr>
          <w:rFonts w:ascii="DejaVu Serif" w:hAnsi="DejaVu Serif"/>
        </w:rPr>
        <w:t>Enterprise Architecture (EA) is a discipline, not just a document. Unfortunately, three of the most cited definitions come from three different bodies and use slightly different language. The exam expects you to recognise all three and, more importantly, to understand what they share.</w:t>
      </w:r>
    </w:p>
    <w:p>
      <w:pPr>
        <w:pStyle w:val="Heading2"/>
        <w:spacing w:before="280" w:after="160"/>
        <w:rPr/>
      </w:pPr>
      <w:r>
        <w:rPr>
          <w:b/>
          <w:bCs/>
          <w:color w:val="2E75B6"/>
        </w:rPr>
        <w:t>6.1 The TOGAF Definition</w:t>
      </w:r>
    </w:p>
    <w:p>
      <w:pPr>
        <w:pStyle w:val="BodyText"/>
        <w:jc w:val="both"/>
        <w:rPr>
          <w:rFonts w:ascii="DejaVu Serif" w:hAnsi="DejaVu Serif"/>
        </w:rPr>
      </w:pPr>
      <w:r>
        <w:rPr>
          <w:rFonts w:ascii="DejaVu Serif" w:hAnsi="DejaVu Serif"/>
        </w:rPr>
        <w:t xml:space="preserve">TOGAF defines architecture in two senses (drawn from ISO/IEC/IEEE 42010): (1) </w:t>
      </w:r>
      <w:r>
        <w:rPr>
          <w:rFonts w:ascii="DejaVu Serif" w:hAnsi="DejaVu Serif"/>
          <w:i/>
          <w:iCs/>
        </w:rPr>
        <w:t>the fundamental concepts or properties of a system in its environment, embodied in its elements, relationships, and the principles of its design and evolution</w:t>
      </w:r>
      <w:r>
        <w:rPr>
          <w:rFonts w:ascii="DejaVu Serif" w:hAnsi="DejaVu Serif"/>
        </w:rPr>
        <w:t xml:space="preserve">; and (2) </w:t>
      </w:r>
      <w:r>
        <w:rPr>
          <w:rFonts w:ascii="DejaVu Serif" w:hAnsi="DejaVu Serif"/>
          <w:i/>
          <w:iCs/>
        </w:rPr>
        <w:t>the structure of components, their interrelationships, and the principles and guidelines governing their design and evolution over time</w:t>
      </w:r>
      <w:r>
        <w:rPr>
          <w:rFonts w:ascii="DejaVu Serif" w:hAnsi="DejaVu Serif"/>
        </w:rPr>
        <w:t>.</w:t>
      </w:r>
    </w:p>
    <w:p>
      <w:pPr>
        <w:pStyle w:val="BodyText"/>
        <w:jc w:val="both"/>
        <w:rPr>
          <w:rFonts w:ascii="DejaVu Serif" w:hAnsi="DejaVu Serif"/>
        </w:rPr>
      </w:pPr>
      <w:r>
        <w:rPr>
          <w:rFonts w:ascii="DejaVu Serif" w:hAnsi="DejaVu Serif"/>
        </w:rPr>
        <w:t>"Enterprise" in TOGAF refers to any collection of organisations sharing a common set of goals — it can be a corporation, a government department, a partnership of multiple companies, or a single business unit. "Enterprise Architecture" is therefore architecture applied at that organisational scope.</w:t>
      </w:r>
    </w:p>
    <w:tbl>
      <w:tblPr>
        <w:tblW w:w="9360" w:type="dxa"/>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Normal"/>
              <w:spacing w:before="0" w:after="60"/>
              <w:rPr/>
            </w:pPr>
            <w:r>
              <w:rPr>
                <w:b/>
                <w:bCs/>
                <w:color w:val="1F4E78"/>
              </w:rPr>
              <w:t xml:space="preserve">🔑 </w:t>
            </w:r>
            <w:r>
              <w:rPr>
                <w:b/>
                <w:bCs/>
                <w:color w:val="1F4E78"/>
              </w:rPr>
              <w:t xml:space="preserve">Enterprise (TOGAF): </w:t>
            </w:r>
            <w:r>
              <w:rPr/>
              <w:t>Any collection of organisations that has a common set of goals. This is intentionally broad — it can be a single company, a government agency, a multi-organisation alliance, or a single business unit large enough to need its own architecture.</w:t>
            </w:r>
          </w:p>
        </w:tc>
      </w:tr>
    </w:tbl>
    <w:p>
      <w:pPr>
        <w:pStyle w:val="Heading2"/>
        <w:spacing w:before="280" w:after="160"/>
        <w:rPr/>
      </w:pPr>
      <w:r>
        <w:rPr>
          <w:b/>
          <w:bCs/>
          <w:color w:val="2E75B6"/>
        </w:rPr>
        <w:t>6.2 The Gartner Definition</w:t>
      </w:r>
    </w:p>
    <w:p>
      <w:pPr>
        <w:pStyle w:val="BodyText"/>
        <w:jc w:val="both"/>
        <w:rPr>
          <w:rFonts w:ascii="DejaVu Serif" w:hAnsi="DejaVu Serif"/>
        </w:rPr>
      </w:pPr>
      <w:r>
        <w:rPr>
          <w:rFonts w:ascii="DejaVu Serif" w:hAnsi="DejaVu Serif"/>
        </w:rPr>
        <w:t xml:space="preserve">Gartner defines EA as </w:t>
      </w:r>
      <w:r>
        <w:rPr>
          <w:rFonts w:ascii="DejaVu Serif" w:hAnsi="DejaVu Serif"/>
          <w:i/>
          <w:iCs/>
        </w:rPr>
        <w:t>a discipline for proactively and holistically leading enterprise responses to disruptive forces by identifying and analysing the execution of change toward desired business vision and outcomes</w:t>
      </w:r>
      <w:r>
        <w:rPr>
          <w:rFonts w:ascii="DejaVu Serif" w:hAnsi="DejaVu Serif"/>
        </w:rPr>
        <w:t>.</w:t>
      </w:r>
    </w:p>
    <w:p>
      <w:pPr>
        <w:pStyle w:val="BodyText"/>
        <w:jc w:val="both"/>
        <w:rPr>
          <w:rFonts w:ascii="DejaVu Serif" w:hAnsi="DejaVu Serif"/>
        </w:rPr>
      </w:pPr>
      <w:r>
        <w:rPr>
          <w:rFonts w:ascii="DejaVu Serif" w:hAnsi="DejaVu Serif"/>
        </w:rPr>
        <w:t>Gartner's definition is the most outcome-focused of the three. It treats EA as a strategic management discipline rather than a documentation exercise. The emphasis on "disruptive forces" reflects Gartner's positioning of EA as the function that helps an enterprise respond to change — digital transformation, regulatory shocks, market shifts — rather than merely cataloguing existing systems.</w:t>
      </w:r>
    </w:p>
    <w:p>
      <w:pPr>
        <w:pStyle w:val="Heading2"/>
        <w:spacing w:before="280" w:after="160"/>
        <w:rPr/>
      </w:pPr>
      <w:r>
        <w:rPr>
          <w:b/>
          <w:bCs/>
          <w:color w:val="2E75B6"/>
        </w:rPr>
        <w:t>6.3 The IEEE / ISO 42010 Definition</w:t>
      </w:r>
    </w:p>
    <w:p>
      <w:pPr>
        <w:pStyle w:val="BodyText"/>
        <w:jc w:val="both"/>
        <w:rPr>
          <w:rFonts w:ascii="DejaVu Serif" w:hAnsi="DejaVu Serif"/>
        </w:rPr>
      </w:pPr>
      <w:r>
        <w:rPr>
          <w:rFonts w:ascii="DejaVu Serif" w:hAnsi="DejaVu Serif"/>
        </w:rPr>
        <w:t>ISO/IEC/IEEE 42010 (originally IEEE 1471) is the international standard for architecture description. It defines architecture (of a system) as the fundamental concepts or properties of that system in its environment, embodied in its elements, relationships, and the principles of its design and evolution.</w:t>
      </w:r>
    </w:p>
    <w:p>
      <w:pPr>
        <w:pStyle w:val="BodyText"/>
        <w:jc w:val="both"/>
        <w:rPr>
          <w:rFonts w:ascii="DejaVu Serif" w:hAnsi="DejaVu Serif"/>
        </w:rPr>
      </w:pPr>
      <w:r>
        <w:rPr>
          <w:rFonts w:ascii="DejaVu Serif" w:hAnsi="DejaVu Serif"/>
        </w:rPr>
        <w:t>This is a structural definition. It does not mention strategy, transformation, or business outcomes. Instead, it focuses on what an architecture is as an artefact: a description of components, relationships, and principles. ISO 42010 is the foundation for many architecture description standards across industries.</w:t>
      </w:r>
    </w:p>
    <w:p>
      <w:pPr>
        <w:pStyle w:val="Heading2"/>
        <w:spacing w:before="280" w:after="160"/>
        <w:rPr/>
      </w:pPr>
      <w:r>
        <w:rPr>
          <w:b/>
          <w:bCs/>
          <w:color w:val="2E75B6"/>
        </w:rPr>
        <w:t>6.4 What All Three Definitions Share</w:t>
      </w:r>
    </w:p>
    <w:p>
      <w:pPr>
        <w:pStyle w:val="Normal"/>
        <w:spacing w:lineRule="auto" w:line="300" w:before="0" w:after="120"/>
        <w:jc w:val="both"/>
        <w:rPr/>
      </w:pPr>
      <w:r>
        <w:rPr/>
        <w:t>Despite different wording, all three definitions converge on the same essential ideas:</w:t>
      </w:r>
    </w:p>
    <w:tbl>
      <w:tblPr>
        <w:tblW w:w="9360" w:type="dxa"/>
        <w:jc w:val="left"/>
        <w:tblInd w:w="0" w:type="dxa"/>
        <w:tblLayout w:type="fixed"/>
        <w:tblCellMar>
          <w:top w:w="100" w:type="dxa"/>
          <w:left w:w="120" w:type="dxa"/>
          <w:bottom w:w="100" w:type="dxa"/>
          <w:right w:w="120" w:type="dxa"/>
        </w:tblCellMar>
      </w:tblPr>
      <w:tblGrid>
        <w:gridCol w:w="2398"/>
        <w:gridCol w:w="6961"/>
      </w:tblGrid>
      <w:tr>
        <w:trPr>
          <w:tblHeader w:val="true"/>
        </w:trPr>
        <w:tc>
          <w:tcPr>
            <w:tcW w:w="2398" w:type="dxa"/>
            <w:tcBorders>
              <w:top w:val="single" w:sz="4" w:space="0" w:color="999999"/>
              <w:left w:val="single" w:sz="4" w:space="0" w:color="999999"/>
              <w:bottom w:val="single" w:sz="4" w:space="0" w:color="999999"/>
              <w:right w:val="single" w:sz="4" w:space="0" w:color="999999"/>
            </w:tcBorders>
            <w:shd w:fill="1F4E78" w:val="clear"/>
          </w:tcPr>
          <w:p>
            <w:pPr>
              <w:pStyle w:val="Normal"/>
              <w:rPr>
                <w:sz w:val="20"/>
                <w:szCs w:val="20"/>
              </w:rPr>
            </w:pPr>
            <w:r>
              <w:rPr>
                <w:rFonts w:ascii="DejaVu Serif" w:hAnsi="DejaVu Serif"/>
                <w:b/>
                <w:bCs/>
                <w:color w:val="FFFFFF"/>
                <w:sz w:val="20"/>
                <w:szCs w:val="20"/>
              </w:rPr>
              <w:t>Common Element</w:t>
            </w:r>
          </w:p>
        </w:tc>
        <w:tc>
          <w:tcPr>
            <w:tcW w:w="6961" w:type="dxa"/>
            <w:tcBorders>
              <w:top w:val="single" w:sz="4" w:space="0" w:color="999999"/>
              <w:left w:val="single" w:sz="4" w:space="0" w:color="999999"/>
              <w:bottom w:val="single" w:sz="4" w:space="0" w:color="999999"/>
              <w:right w:val="single" w:sz="4" w:space="0" w:color="999999"/>
            </w:tcBorders>
            <w:shd w:fill="1F4E78" w:val="clear"/>
          </w:tcPr>
          <w:p>
            <w:pPr>
              <w:pStyle w:val="Normal"/>
              <w:rPr>
                <w:sz w:val="20"/>
                <w:szCs w:val="20"/>
              </w:rPr>
            </w:pPr>
            <w:r>
              <w:rPr>
                <w:rFonts w:ascii="DejaVu Serif" w:hAnsi="DejaVu Serif"/>
                <w:b/>
                <w:bCs/>
                <w:color w:val="FFFFFF"/>
                <w:sz w:val="20"/>
                <w:szCs w:val="20"/>
              </w:rPr>
              <w:t>How It Appears in Each Definition</w:t>
            </w:r>
          </w:p>
        </w:tc>
      </w:tr>
      <w:tr>
        <w:trPr/>
        <w:tc>
          <w:tcPr>
            <w:tcW w:w="2398"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sz w:val="20"/>
                <w:szCs w:val="20"/>
              </w:rPr>
            </w:pPr>
            <w:r>
              <w:rPr>
                <w:rFonts w:ascii="DejaVu Serif" w:hAnsi="DejaVu Serif"/>
                <w:sz w:val="20"/>
                <w:szCs w:val="20"/>
              </w:rPr>
              <w:t>Structure / components</w:t>
            </w:r>
          </w:p>
        </w:tc>
        <w:tc>
          <w:tcPr>
            <w:tcW w:w="696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sz w:val="20"/>
                <w:szCs w:val="20"/>
              </w:rPr>
            </w:pPr>
            <w:r>
              <w:rPr>
                <w:rFonts w:ascii="DejaVu Serif" w:hAnsi="DejaVu Serif"/>
                <w:sz w:val="20"/>
                <w:szCs w:val="20"/>
              </w:rPr>
              <w:t>TOGAF: 'structure of components'; IEEE 42010: 'elements'; Gartner: implied in 'execution of change'.</w:t>
            </w:r>
          </w:p>
        </w:tc>
      </w:tr>
      <w:tr>
        <w:trPr/>
        <w:tc>
          <w:tcPr>
            <w:tcW w:w="2398"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sz w:val="20"/>
                <w:szCs w:val="20"/>
              </w:rPr>
            </w:pPr>
            <w:r>
              <w:rPr>
                <w:rFonts w:ascii="DejaVu Serif" w:hAnsi="DejaVu Serif"/>
                <w:sz w:val="20"/>
                <w:szCs w:val="20"/>
              </w:rPr>
              <w:t>Relationships</w:t>
            </w:r>
          </w:p>
        </w:tc>
        <w:tc>
          <w:tcPr>
            <w:tcW w:w="6961"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sz w:val="20"/>
                <w:szCs w:val="20"/>
              </w:rPr>
            </w:pPr>
            <w:r>
              <w:rPr>
                <w:rFonts w:ascii="DejaVu Serif" w:hAnsi="DejaVu Serif"/>
                <w:sz w:val="20"/>
                <w:szCs w:val="20"/>
              </w:rPr>
              <w:t>TOGAF: 'interrelationships'; IEEE 42010: 'relationships'; Gartner: 'holistically'.</w:t>
            </w:r>
          </w:p>
        </w:tc>
      </w:tr>
      <w:tr>
        <w:trPr/>
        <w:tc>
          <w:tcPr>
            <w:tcW w:w="2398"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sz w:val="20"/>
                <w:szCs w:val="20"/>
              </w:rPr>
            </w:pPr>
            <w:r>
              <w:rPr>
                <w:rFonts w:ascii="DejaVu Serif" w:hAnsi="DejaVu Serif"/>
                <w:sz w:val="20"/>
                <w:szCs w:val="20"/>
              </w:rPr>
              <w:t>Principles</w:t>
            </w:r>
          </w:p>
        </w:tc>
        <w:tc>
          <w:tcPr>
            <w:tcW w:w="696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sz w:val="20"/>
                <w:szCs w:val="20"/>
              </w:rPr>
            </w:pPr>
            <w:r>
              <w:rPr>
                <w:rFonts w:ascii="DejaVu Serif" w:hAnsi="DejaVu Serif"/>
                <w:sz w:val="20"/>
                <w:szCs w:val="20"/>
              </w:rPr>
              <w:t>All three explicitly mention principles or guidelines governing design and evolution.</w:t>
            </w:r>
          </w:p>
        </w:tc>
      </w:tr>
      <w:tr>
        <w:trPr/>
        <w:tc>
          <w:tcPr>
            <w:tcW w:w="2398"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sz w:val="20"/>
                <w:szCs w:val="20"/>
              </w:rPr>
            </w:pPr>
            <w:r>
              <w:rPr>
                <w:rFonts w:ascii="DejaVu Serif" w:hAnsi="DejaVu Serif"/>
                <w:sz w:val="20"/>
                <w:szCs w:val="20"/>
              </w:rPr>
              <w:t>Evolution over time</w:t>
            </w:r>
          </w:p>
        </w:tc>
        <w:tc>
          <w:tcPr>
            <w:tcW w:w="6961"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sz w:val="20"/>
                <w:szCs w:val="20"/>
              </w:rPr>
            </w:pPr>
            <w:r>
              <w:rPr>
                <w:rFonts w:ascii="DejaVu Serif" w:hAnsi="DejaVu Serif"/>
                <w:sz w:val="20"/>
                <w:szCs w:val="20"/>
              </w:rPr>
              <w:t>TOGAF and IEEE 42010 both stress evolution; Gartner stresses change and disruption.</w:t>
            </w:r>
          </w:p>
        </w:tc>
      </w:tr>
      <w:tr>
        <w:trPr/>
        <w:tc>
          <w:tcPr>
            <w:tcW w:w="2398"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sz w:val="20"/>
                <w:szCs w:val="20"/>
              </w:rPr>
            </w:pPr>
            <w:r>
              <w:rPr>
                <w:rFonts w:ascii="DejaVu Serif" w:hAnsi="DejaVu Serif"/>
                <w:sz w:val="20"/>
                <w:szCs w:val="20"/>
              </w:rPr>
              <w:t>Context / environment</w:t>
            </w:r>
          </w:p>
        </w:tc>
        <w:tc>
          <w:tcPr>
            <w:tcW w:w="696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sz w:val="20"/>
                <w:szCs w:val="20"/>
              </w:rPr>
            </w:pPr>
            <w:r>
              <w:rPr>
                <w:rFonts w:ascii="DejaVu Serif" w:hAnsi="DejaVu Serif"/>
                <w:sz w:val="20"/>
                <w:szCs w:val="20"/>
              </w:rPr>
              <w:t>IEEE 42010: 'system in its environment'; TOGAF: enterprise scope; Gartner: 'business vision and outcomes'.</w:t>
            </w:r>
          </w:p>
        </w:tc>
      </w:tr>
    </w:tbl>
    <w:p>
      <w:pPr>
        <w:pStyle w:val="BodyText"/>
        <w:jc w:val="both"/>
        <w:rPr/>
      </w:pPr>
      <w:r>
        <w:rPr>
          <w:rFonts w:ascii="DejaVu Serif" w:hAnsi="DejaVu Serif"/>
        </w:rPr>
        <w:t>So the synthesis is: Enterprise Architecture is a structured description of an enterprise's elements and their relationships, governed by principles, designed to evolve coherently over time in service of business outcomes. Whichever definition the exam asks about, this synthesis applies.</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4" w:space="0" w:color="2E75B6"/>
            </w:tcBorders>
            <w:shd w:fill="EAF1F8" w:val="clear"/>
          </w:tcPr>
          <w:p>
            <w:pPr>
              <w:pStyle w:val="Normal"/>
              <w:spacing w:before="0" w:after="100"/>
              <w:rPr/>
            </w:pPr>
            <w:r>
              <w:rPr>
                <w:b/>
                <w:bCs/>
                <w:color w:val="1F4E78"/>
              </w:rPr>
              <w:t xml:space="preserve">▶ </w:t>
            </w:r>
            <w:r>
              <w:rPr>
                <w:b/>
                <w:bCs/>
                <w:color w:val="1F4E78"/>
              </w:rPr>
              <w:t>Concrete Example: A Hospital Group's EA</w:t>
            </w:r>
          </w:p>
          <w:p>
            <w:pPr>
              <w:pStyle w:val="Normal"/>
              <w:spacing w:lineRule="auto" w:line="281" w:before="0" w:after="60"/>
              <w:jc w:val="both"/>
              <w:rPr/>
            </w:pPr>
            <w:r>
              <w:rPr/>
              <w:t>A hospital group describes its EA as: the patient management system, the electronic medical records system, the laboratory and imaging systems, the billing system, and the integration layer that connects them — together with the principles that govern them (e.g., "clinical data is owned by the clinician of record", "all systems must support HL7 FHIR"), and a roadmap for evolving the estate over five years.</w:t>
            </w:r>
          </w:p>
          <w:p>
            <w:pPr>
              <w:pStyle w:val="Normal"/>
              <w:spacing w:lineRule="auto" w:line="281" w:before="0" w:after="60"/>
              <w:jc w:val="both"/>
              <w:rPr/>
            </w:pPr>
            <w:r>
              <w:rPr/>
              <w:t>This satisfies all three definitions: it has structure (TOGAF), it focuses on outcomes like patient safety (Gartner), and it describes elements, relationships, and principles (IEEE 42010).</w:t>
            </w:r>
          </w:p>
        </w:tc>
      </w:tr>
    </w:tbl>
    <w:p>
      <w:pPr>
        <w:pStyle w:val="Heading1"/>
        <w:spacing w:before="0" w:after="200"/>
        <w:rPr/>
      </w:pPr>
      <w:r>
        <w:rPr>
          <w:b/>
          <w:bCs/>
          <w:color w:val="1F4E78"/>
        </w:rPr>
        <w:t>7. Why Enterprise Architecture Exists</w:t>
      </w:r>
    </w:p>
    <w:p>
      <w:pPr>
        <w:pStyle w:val="Normal"/>
        <w:spacing w:lineRule="auto" w:line="300" w:before="0" w:after="120"/>
        <w:jc w:val="both"/>
        <w:rPr/>
      </w:pPr>
      <w:r>
        <w:rPr/>
        <w:t>The strongest justification for EA is what happens without it. Organisations that grow without architectural discipline tend to fall into a recognisable set of failure patterns. Six patterns appear repeatedly in the literature and in TOGAF's own justification material.</w:t>
      </w:r>
    </w:p>
    <w:p>
      <w:pPr>
        <w:pStyle w:val="Heading3"/>
        <w:spacing w:before="220" w:after="120"/>
        <w:rPr/>
      </w:pPr>
      <w:r>
        <w:rPr>
          <w:b/>
          <w:bCs/>
          <w:color w:val="404040"/>
        </w:rPr>
        <w:t>1. Fragmentation</w:t>
      </w:r>
    </w:p>
    <w:p>
      <w:pPr>
        <w:pStyle w:val="Normal"/>
        <w:spacing w:lineRule="auto" w:line="300" w:before="0" w:after="120"/>
        <w:jc w:val="both"/>
        <w:rPr/>
      </w:pPr>
      <w:r>
        <w:rPr/>
        <w:t>The enterprise's IT estate is composed of disconnected systems built or bought independently by different teams or business units. There is no shared model of customer, product, or employee. Data lives in silos. Integration is point-to-point and brittle.</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4" w:space="0" w:color="2E75B6"/>
            </w:tcBorders>
            <w:shd w:fill="EAF1F8" w:val="clear"/>
          </w:tcPr>
          <w:p>
            <w:pPr>
              <w:pStyle w:val="Normal"/>
              <w:spacing w:before="0" w:after="100"/>
              <w:rPr/>
            </w:pPr>
            <w:r>
              <w:rPr>
                <w:b/>
                <w:bCs/>
                <w:color w:val="1F4E78"/>
              </w:rPr>
              <w:t xml:space="preserve">▶ </w:t>
            </w:r>
            <w:r>
              <w:rPr>
                <w:b/>
                <w:bCs/>
                <w:color w:val="1F4E78"/>
              </w:rPr>
              <w:t>Real-World Example</w:t>
            </w:r>
          </w:p>
          <w:p>
            <w:pPr>
              <w:pStyle w:val="Normal"/>
              <w:spacing w:lineRule="auto" w:line="281" w:before="0" w:after="60"/>
              <w:jc w:val="both"/>
              <w:rPr/>
            </w:pPr>
            <w:r>
              <w:rPr/>
              <w:t>A retailer has a different customer database in its e-commerce system, its physical store POS, its loyalty program, and its call centre. A customer who calls about a website order is a stranger to the call centre agent because the systems do not share identity.</w:t>
            </w:r>
          </w:p>
        </w:tc>
      </w:tr>
    </w:tbl>
    <w:p>
      <w:pPr>
        <w:pStyle w:val="Heading3"/>
        <w:spacing w:before="220" w:after="120"/>
        <w:rPr/>
      </w:pPr>
      <w:r>
        <w:rPr>
          <w:b/>
          <w:bCs/>
          <w:color w:val="404040"/>
        </w:rPr>
        <w:t>2. Duplication</w:t>
      </w:r>
    </w:p>
    <w:p>
      <w:pPr>
        <w:pStyle w:val="Normal"/>
        <w:spacing w:lineRule="auto" w:line="300" w:before="0" w:after="120"/>
        <w:jc w:val="both"/>
        <w:rPr/>
      </w:pPr>
      <w:r>
        <w:rPr/>
        <w:t>The same business capability is implemented multiple times in different parts of the organisation, often using different technologies. This drives up cost (multiple licences, multiple support teams), creates inconsistency (each implementation behaves slightly differently), and slows change.</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4" w:space="0" w:color="2E75B6"/>
            </w:tcBorders>
            <w:shd w:fill="EAF1F8" w:val="clear"/>
          </w:tcPr>
          <w:p>
            <w:pPr>
              <w:pStyle w:val="Normal"/>
              <w:spacing w:before="0" w:after="100"/>
              <w:rPr/>
            </w:pPr>
            <w:r>
              <w:rPr>
                <w:b/>
                <w:bCs/>
                <w:color w:val="1F4E78"/>
              </w:rPr>
              <w:t xml:space="preserve">▶ </w:t>
            </w:r>
            <w:r>
              <w:rPr>
                <w:b/>
                <w:bCs/>
                <w:color w:val="1F4E78"/>
              </w:rPr>
              <w:t>Real-World Example</w:t>
            </w:r>
          </w:p>
          <w:p>
            <w:pPr>
              <w:pStyle w:val="Normal"/>
              <w:spacing w:lineRule="auto" w:line="281" w:before="0" w:after="60"/>
              <w:jc w:val="both"/>
              <w:rPr/>
            </w:pPr>
            <w:r>
              <w:rPr/>
              <w:t>A manufacturing company discovers it runs five separate inventory management systems — one per factory — each with its own vendor, its own customisations, and its own data model. A single "global stock view" is impossible without manual reconciliation.</w:t>
            </w:r>
          </w:p>
        </w:tc>
      </w:tr>
    </w:tbl>
    <w:p>
      <w:pPr>
        <w:pStyle w:val="Heading3"/>
        <w:spacing w:before="220" w:after="120"/>
        <w:rPr/>
      </w:pPr>
      <w:r>
        <w:rPr>
          <w:b/>
          <w:bCs/>
          <w:color w:val="404040"/>
        </w:rPr>
        <w:t>3. Drift (Misalignment)</w:t>
      </w:r>
    </w:p>
    <w:p>
      <w:pPr>
        <w:pStyle w:val="Normal"/>
        <w:spacing w:lineRule="auto" w:line="300" w:before="0" w:after="120"/>
        <w:jc w:val="both"/>
        <w:rPr/>
      </w:pPr>
      <w:r>
        <w:rPr/>
        <w:t>Over time, IT decisions are made without reference to business strategy. New systems get built because someone funded them, not because they advance the strategy. Slowly the architecture drifts away from what the business actually needs.</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4" w:space="0" w:color="2E75B6"/>
            </w:tcBorders>
            <w:shd w:fill="EAF1F8" w:val="clear"/>
          </w:tcPr>
          <w:p>
            <w:pPr>
              <w:pStyle w:val="Normal"/>
              <w:spacing w:before="0" w:after="100"/>
              <w:rPr/>
            </w:pPr>
            <w:r>
              <w:rPr>
                <w:b/>
                <w:bCs/>
                <w:color w:val="1F4E78"/>
              </w:rPr>
              <w:t xml:space="preserve">▶ </w:t>
            </w:r>
            <w:r>
              <w:rPr>
                <w:b/>
                <w:bCs/>
                <w:color w:val="1F4E78"/>
              </w:rPr>
              <w:t>Real-World Example</w:t>
            </w:r>
          </w:p>
          <w:p>
            <w:pPr>
              <w:pStyle w:val="Normal"/>
              <w:spacing w:lineRule="auto" w:line="281" w:before="0" w:after="60"/>
              <w:jc w:val="both"/>
              <w:rPr/>
            </w:pPr>
            <w:r>
              <w:rPr/>
              <w:t>A bank's strategy is "digital first, mobile led," but 70% of the IT budget continues to flow into mainframe enhancements because that is where existing teams and contracts sit. Five years later the digital channels are underdeveloped while legacy systems are over-engineered.</w:t>
            </w:r>
          </w:p>
        </w:tc>
      </w:tr>
    </w:tbl>
    <w:p>
      <w:pPr>
        <w:pStyle w:val="Heading3"/>
        <w:spacing w:before="220" w:after="120"/>
        <w:rPr/>
      </w:pPr>
      <w:r>
        <w:rPr>
          <w:b/>
          <w:bCs/>
          <w:color w:val="404040"/>
        </w:rPr>
        <w:t>4. Lock-in</w:t>
      </w:r>
    </w:p>
    <w:p>
      <w:pPr>
        <w:pStyle w:val="Normal"/>
        <w:spacing w:lineRule="auto" w:line="300" w:before="0" w:after="120"/>
        <w:jc w:val="both"/>
        <w:rPr/>
      </w:pPr>
      <w:r>
        <w:rPr/>
        <w:t>Architectural decisions are made tactically, locking the organisation into specific vendors, technologies, or data formats. Later, switching is prohibitively expensive, and the organisation loses negotiating power and the ability to adopt better technology.</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4" w:space="0" w:color="2E75B6"/>
            </w:tcBorders>
            <w:shd w:fill="EAF1F8" w:val="clear"/>
          </w:tcPr>
          <w:p>
            <w:pPr>
              <w:pStyle w:val="Normal"/>
              <w:spacing w:before="0" w:after="100"/>
              <w:rPr/>
            </w:pPr>
            <w:r>
              <w:rPr>
                <w:b/>
                <w:bCs/>
                <w:color w:val="1F4E78"/>
              </w:rPr>
              <w:t xml:space="preserve">▶ </w:t>
            </w:r>
            <w:r>
              <w:rPr>
                <w:b/>
                <w:bCs/>
                <w:color w:val="1F4E78"/>
              </w:rPr>
              <w:t>Real-World Example</w:t>
            </w:r>
          </w:p>
          <w:p>
            <w:pPr>
              <w:pStyle w:val="Normal"/>
              <w:spacing w:lineRule="auto" w:line="281" w:before="0" w:after="60"/>
              <w:jc w:val="both"/>
              <w:rPr/>
            </w:pPr>
            <w:r>
              <w:rPr/>
              <w:t>A government agency standardises on a proprietary database without an abstraction layer. Ten years later, migrating to a cheaper, better-performing alternative would require rewriting hundreds of stored procedures, and the agency continues paying premium licence fees.</w:t>
            </w:r>
          </w:p>
        </w:tc>
      </w:tr>
    </w:tbl>
    <w:p>
      <w:pPr>
        <w:pStyle w:val="Heading3"/>
        <w:spacing w:before="220" w:after="120"/>
        <w:rPr/>
      </w:pPr>
      <w:r>
        <w:rPr>
          <w:b/>
          <w:bCs/>
          <w:color w:val="404040"/>
        </w:rPr>
        <w:t>5. Risk Blindness</w:t>
      </w:r>
    </w:p>
    <w:p>
      <w:pPr>
        <w:pStyle w:val="Normal"/>
        <w:spacing w:lineRule="auto" w:line="300" w:before="0" w:after="120"/>
        <w:jc w:val="both"/>
        <w:rPr/>
      </w:pPr>
      <w:r>
        <w:rPr/>
        <w:t>Without an architectural view of the enterprise, security, compliance, resilience and operational risks are managed system by system. Cross-cutting risks — those that span multiple systems — are invisible until something breaks.</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4" w:space="0" w:color="2E75B6"/>
            </w:tcBorders>
            <w:shd w:fill="EAF1F8" w:val="clear"/>
          </w:tcPr>
          <w:p>
            <w:pPr>
              <w:pStyle w:val="Normal"/>
              <w:spacing w:before="0" w:after="100"/>
              <w:rPr/>
            </w:pPr>
            <w:r>
              <w:rPr>
                <w:b/>
                <w:bCs/>
                <w:color w:val="1F4E78"/>
              </w:rPr>
              <w:t xml:space="preserve">▶ </w:t>
            </w:r>
            <w:r>
              <w:rPr>
                <w:b/>
                <w:bCs/>
                <w:color w:val="1F4E78"/>
              </w:rPr>
              <w:t>Real-World Example</w:t>
            </w:r>
          </w:p>
          <w:p>
            <w:pPr>
              <w:pStyle w:val="Normal"/>
              <w:spacing w:lineRule="auto" w:line="281" w:before="0" w:after="60"/>
              <w:jc w:val="both"/>
              <w:rPr/>
            </w:pPr>
            <w:r>
              <w:rPr/>
              <w:t>An insurer suffers a regulatory fine because customer data is processed across 14 systems, but no single team knew the full data flow. A privacy regulator asked for a data lineage map; the insurer could not produce one within the deadline.</w:t>
            </w:r>
          </w:p>
        </w:tc>
      </w:tr>
    </w:tbl>
    <w:p>
      <w:pPr>
        <w:pStyle w:val="Heading3"/>
        <w:spacing w:before="220" w:after="120"/>
        <w:rPr/>
      </w:pPr>
      <w:r>
        <w:rPr>
          <w:b/>
          <w:bCs/>
          <w:color w:val="404040"/>
        </w:rPr>
        <w:t>6. Inability to Change</w:t>
      </w:r>
    </w:p>
    <w:p>
      <w:pPr>
        <w:pStyle w:val="Normal"/>
        <w:spacing w:lineRule="auto" w:line="300" w:before="0" w:after="120"/>
        <w:jc w:val="both"/>
        <w:rPr/>
      </w:pPr>
      <w:r>
        <w:rPr/>
        <w:t>Without architectural discipline, every change ripples unpredictably. Estimates become unreliable, change windows become longer, and eventually the organisation loses the ability to deliver strategic transformation at all. The IT function becomes a brake on the business rather than an enabler.</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4" w:space="0" w:color="2E75B6"/>
            </w:tcBorders>
            <w:shd w:fill="EAF1F8" w:val="clear"/>
          </w:tcPr>
          <w:p>
            <w:pPr>
              <w:pStyle w:val="Normal"/>
              <w:spacing w:before="0" w:after="100"/>
              <w:rPr/>
            </w:pPr>
            <w:r>
              <w:rPr>
                <w:b/>
                <w:bCs/>
                <w:color w:val="1F4E78"/>
              </w:rPr>
              <w:t xml:space="preserve">▶ </w:t>
            </w:r>
            <w:r>
              <w:rPr>
                <w:b/>
                <w:bCs/>
                <w:color w:val="1F4E78"/>
              </w:rPr>
              <w:t>Real-World Example</w:t>
            </w:r>
          </w:p>
          <w:p>
            <w:pPr>
              <w:pStyle w:val="Normal"/>
              <w:spacing w:lineRule="auto" w:line="281" w:before="0" w:after="60"/>
              <w:jc w:val="both"/>
              <w:rPr/>
            </w:pPr>
            <w:r>
              <w:rPr/>
              <w:t>A telco's CRM has been customised so heavily that no one is sure which fields are still in use. Every minor change requires a six-week impact analysis. A planned product launch is delayed by nine months because the CRM team cannot confirm whether changing one field will break billing.</w:t>
            </w:r>
          </w:p>
        </w:tc>
      </w:tr>
    </w:tbl>
    <w:p>
      <w:pPr>
        <w:pStyle w:val="Heading2"/>
        <w:spacing w:before="280" w:after="160"/>
        <w:rPr/>
      </w:pPr>
      <w:r>
        <w:rPr>
          <w:b/>
          <w:bCs/>
          <w:color w:val="2E75B6"/>
        </w:rPr>
        <w:t>7.1 What EA Provides in Response</w:t>
      </w:r>
    </w:p>
    <w:tbl>
      <w:tblPr>
        <w:tblW w:w="9360" w:type="dxa"/>
        <w:jc w:val="left"/>
        <w:tblInd w:w="0" w:type="dxa"/>
        <w:tblLayout w:type="fixed"/>
        <w:tblCellMar>
          <w:top w:w="100" w:type="dxa"/>
          <w:left w:w="120" w:type="dxa"/>
          <w:bottom w:w="100" w:type="dxa"/>
          <w:right w:w="120" w:type="dxa"/>
        </w:tblCellMar>
      </w:tblPr>
      <w:tblGrid>
        <w:gridCol w:w="2010"/>
        <w:gridCol w:w="7349"/>
      </w:tblGrid>
      <w:tr>
        <w:trPr>
          <w:tblHeader w:val="true"/>
        </w:trPr>
        <w:tc>
          <w:tcPr>
            <w:tcW w:w="2010"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sz w:val="20"/>
                <w:szCs w:val="20"/>
              </w:rPr>
            </w:pPr>
            <w:r>
              <w:rPr>
                <w:rFonts w:ascii="DejaVu Serif" w:hAnsi="DejaVu Serif"/>
                <w:sz w:val="20"/>
                <w:szCs w:val="20"/>
              </w:rPr>
              <w:t>Failure Pattern</w:t>
            </w:r>
          </w:p>
        </w:tc>
        <w:tc>
          <w:tcPr>
            <w:tcW w:w="7349"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sz w:val="20"/>
                <w:szCs w:val="20"/>
              </w:rPr>
            </w:pPr>
            <w:r>
              <w:rPr>
                <w:rFonts w:ascii="DejaVu Serif" w:hAnsi="DejaVu Serif"/>
                <w:sz w:val="20"/>
                <w:szCs w:val="20"/>
              </w:rPr>
              <w:t>How EA Addresses It</w:t>
            </w:r>
          </w:p>
        </w:tc>
      </w:tr>
      <w:tr>
        <w:trPr/>
        <w:tc>
          <w:tcPr>
            <w:tcW w:w="201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Fragmentation</w:t>
            </w:r>
          </w:p>
        </w:tc>
        <w:tc>
          <w:tcPr>
            <w:tcW w:w="734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A shared metamodel and target architecture so that systems can be designed to integrate.</w:t>
            </w:r>
          </w:p>
        </w:tc>
      </w:tr>
      <w:tr>
        <w:trPr/>
        <w:tc>
          <w:tcPr>
            <w:tcW w:w="201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Duplication</w:t>
            </w:r>
          </w:p>
        </w:tc>
        <w:tc>
          <w:tcPr>
            <w:tcW w:w="734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Capability mapping reveals overlap; rationalisation roadmaps consolidate redundant systems.</w:t>
            </w:r>
          </w:p>
        </w:tc>
      </w:tr>
      <w:tr>
        <w:trPr/>
        <w:tc>
          <w:tcPr>
            <w:tcW w:w="201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Drift</w:t>
            </w:r>
          </w:p>
        </w:tc>
        <w:tc>
          <w:tcPr>
            <w:tcW w:w="734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Traceability from business strategy → capabilities → systems keeps IT investment aligned.</w:t>
            </w:r>
          </w:p>
        </w:tc>
      </w:tr>
      <w:tr>
        <w:trPr/>
        <w:tc>
          <w:tcPr>
            <w:tcW w:w="201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Lock-in</w:t>
            </w:r>
          </w:p>
        </w:tc>
        <w:tc>
          <w:tcPr>
            <w:tcW w:w="734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Architecture principles and standards mandate openness, interoperability, and abstraction.</w:t>
            </w:r>
          </w:p>
        </w:tc>
      </w:tr>
      <w:tr>
        <w:trPr/>
        <w:tc>
          <w:tcPr>
            <w:tcW w:w="201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Risk Blindness</w:t>
            </w:r>
          </w:p>
        </w:tc>
        <w:tc>
          <w:tcPr>
            <w:tcW w:w="734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Cross-domain views reveal cumulative risk; governance ensures it is reviewed.</w:t>
            </w:r>
          </w:p>
        </w:tc>
      </w:tr>
      <w:tr>
        <w:trPr/>
        <w:tc>
          <w:tcPr>
            <w:tcW w:w="201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Inability to Change</w:t>
            </w:r>
          </w:p>
        </w:tc>
        <w:tc>
          <w:tcPr>
            <w:tcW w:w="734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Reusable building blocks, well-documented baselines, and disciplined transition architectures shorten cycle times.</w:t>
            </w:r>
          </w:p>
        </w:tc>
      </w:tr>
    </w:tbl>
    <w:p>
      <w:pPr>
        <w:pStyle w:val="Heading1"/>
        <w:spacing w:before="0" w:after="200"/>
        <w:rPr/>
      </w:pPr>
      <w:r>
        <w:rPr>
          <w:b/>
          <w:bCs/>
          <w:color w:val="1F4E78"/>
        </w:rPr>
        <w:t>8. How TOGAF Compares to Other Frameworks</w:t>
      </w:r>
    </w:p>
    <w:p>
      <w:pPr>
        <w:pStyle w:val="Normal"/>
        <w:spacing w:lineRule="auto" w:line="300" w:before="0" w:after="120"/>
        <w:jc w:val="both"/>
        <w:rPr/>
      </w:pPr>
      <w:r>
        <w:rPr/>
        <w:t>TOGAF is the most widely adopted EA framework but it is not the only one. The exam expects awareness of the major alternatives, their distinctive characteristics, and the situations in which each is preferred.</w:t>
      </w:r>
    </w:p>
    <w:p>
      <w:pPr>
        <w:pStyle w:val="Heading2"/>
        <w:spacing w:before="280" w:after="160"/>
        <w:rPr/>
      </w:pPr>
      <w:r>
        <w:rPr>
          <w:b/>
          <w:bCs/>
          <w:color w:val="2E75B6"/>
        </w:rPr>
        <w:t>8.1 Zachman Framework</w:t>
      </w:r>
    </w:p>
    <w:p>
      <w:pPr>
        <w:pStyle w:val="Normal"/>
        <w:spacing w:lineRule="auto" w:line="300" w:before="0" w:after="120"/>
        <w:jc w:val="both"/>
        <w:rPr/>
      </w:pPr>
      <w:r>
        <w:rPr/>
        <w:t>Created by John Zachman in 1987 (and refined since), the Zachman Framework is best understood as a classification scheme rather than a method. It is a 6×6 matrix: six rows representing perspectives (Executive/Scope, Business Management, Architect, Engineer, Technician, Enterprise) and six columns representing the interrogatives (What, How, Where, Who, When, Why).</w:t>
      </w:r>
    </w:p>
    <w:p>
      <w:pPr>
        <w:pStyle w:val="Normal"/>
        <w:spacing w:lineRule="auto" w:line="300" w:before="0" w:after="120"/>
        <w:jc w:val="both"/>
        <w:rPr/>
      </w:pPr>
      <w:r>
        <w:rPr/>
        <w:t>Each cell of the matrix names a type of artefact. For example, the row "Architect" intersected with the column "What" identifies the data model. The framework deliberately does not say how to produce these artefacts — it only classifies them.</w:t>
      </w:r>
    </w:p>
    <w:tbl>
      <w:tblPr>
        <w:tblW w:w="9360" w:type="dxa"/>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Normal"/>
              <w:spacing w:before="0" w:after="60"/>
              <w:rPr/>
            </w:pPr>
            <w:r>
              <w:rPr>
                <w:b/>
                <w:bCs/>
                <w:color w:val="1F4E78"/>
              </w:rPr>
              <w:t xml:space="preserve">🔑 </w:t>
            </w:r>
            <w:r>
              <w:rPr>
                <w:b/>
                <w:bCs/>
                <w:color w:val="1F4E78"/>
              </w:rPr>
              <w:t xml:space="preserve">Zachman Framework: </w:t>
            </w:r>
            <w:r>
              <w:rPr/>
              <w:t>An ontology / classification matrix (6 perspectives × 6 interrogatives) for organising architecture artefacts. It is descriptive, not prescriptive — it tells you what to produce, but not how to produce it.</w:t>
            </w:r>
          </w:p>
        </w:tc>
      </w:tr>
    </w:tbl>
    <w:p>
      <w:pPr>
        <w:pStyle w:val="Heading2"/>
        <w:spacing w:before="280" w:after="160"/>
        <w:rPr/>
      </w:pPr>
      <w:r>
        <w:rPr>
          <w:b/>
          <w:bCs/>
          <w:color w:val="2E75B6"/>
        </w:rPr>
        <w:t>8.2 FEAF (Federal Enterprise Architecture Framework)</w:t>
      </w:r>
    </w:p>
    <w:p>
      <w:pPr>
        <w:pStyle w:val="Normal"/>
        <w:spacing w:lineRule="auto" w:line="300" w:before="0" w:after="120"/>
        <w:jc w:val="both"/>
        <w:rPr/>
      </w:pPr>
      <w:r>
        <w:rPr/>
        <w:t>FEAF was developed by the U.S. federal government, originally in 1999, and is now part of the FEA / FEAF version 2 (2013). Its purpose is to enable the comparison and consolidation of architectures across U.S. federal agencies. FEAF includes a Consolidated Reference Model with sub-models for Performance, Business, Data, Application, Infrastructure, and Security.</w:t>
      </w:r>
    </w:p>
    <w:p>
      <w:pPr>
        <w:pStyle w:val="Normal"/>
        <w:spacing w:lineRule="auto" w:line="300" w:before="0" w:after="120"/>
        <w:jc w:val="both"/>
        <w:rPr/>
      </w:pPr>
      <w:r>
        <w:rPr/>
        <w:t>FEAF is highly prescriptive about reference models and is closely tied to U.S. federal procurement and budgeting processes (notably OMB Circular A-130). Outside of U.S. federal government use, FEAF is rarely adopted directly, although its reference-model thinking has influenced many other frameworks.</w:t>
      </w:r>
    </w:p>
    <w:p>
      <w:pPr>
        <w:pStyle w:val="Heading2"/>
        <w:spacing w:before="280" w:after="160"/>
        <w:rPr/>
      </w:pPr>
      <w:r>
        <w:rPr>
          <w:b/>
          <w:bCs/>
          <w:color w:val="2E75B6"/>
        </w:rPr>
        <w:t>8.3 DoDAF (Department of Defense Architecture Framework)</w:t>
      </w:r>
    </w:p>
    <w:p>
      <w:pPr>
        <w:pStyle w:val="Normal"/>
        <w:spacing w:lineRule="auto" w:line="300" w:before="0" w:after="120"/>
        <w:jc w:val="both"/>
        <w:rPr/>
      </w:pPr>
      <w:r>
        <w:rPr/>
        <w:t>DoDAF is the architecture framework of the U.S. Department of Defense. The current major version is DoDAF 2.0 (2009). It is built around "viewpoints" that describe the system from different perspectives: All Viewpoint (AV), Capability Viewpoint (CV), Operational Viewpoint (OV), Services Viewpoint (SvcV), Systems Viewpoint (SV), Standards Viewpoint (StdV), Data and Information Viewpoint (DIV), and Project Viewpoint (PV).</w:t>
      </w:r>
    </w:p>
    <w:p>
      <w:pPr>
        <w:pStyle w:val="Normal"/>
        <w:spacing w:lineRule="auto" w:line="300" w:before="0" w:after="120"/>
        <w:jc w:val="both"/>
        <w:rPr/>
      </w:pPr>
      <w:r>
        <w:rPr/>
        <w:t>DoDAF is heavily oriented toward defence systems-of-systems and mission-critical interoperability. It defines specific "models" (e.g., OV-1 High-Level Operational Concept, SV-2 Systems Resource Flow Description) that must be produced in specific formats. It is essentially mandatory for U.S. defence contracting.</w:t>
      </w:r>
    </w:p>
    <w:p>
      <w:pPr>
        <w:pStyle w:val="Heading2"/>
        <w:spacing w:before="280" w:after="160"/>
        <w:rPr/>
      </w:pPr>
      <w:r>
        <w:rPr>
          <w:b/>
          <w:bCs/>
          <w:color w:val="2E75B6"/>
        </w:rPr>
        <w:t>8.4 Gartner EA</w:t>
      </w:r>
    </w:p>
    <w:p>
      <w:pPr>
        <w:pStyle w:val="Normal"/>
        <w:spacing w:lineRule="auto" w:line="300" w:before="0" w:after="120"/>
        <w:jc w:val="both"/>
        <w:rPr/>
      </w:pPr>
      <w:r>
        <w:rPr/>
        <w:t>Gartner does not publish a formal framework in the same sense as TOGAF or DoDAF. Instead, Gartner offers a methodology and a body of analyst guidance focused on EA as a business-outcome discipline. Gartner's approach emphasises strategic planning, business capability modelling, and the role of EA in driving change. Organisations adopting "Gartner EA" are typically using Gartner research, advisory services, and tools rather than a public standard.</w:t>
      </w:r>
    </w:p>
    <w:p>
      <w:pPr>
        <w:pStyle w:val="Heading2"/>
        <w:spacing w:before="280" w:after="160"/>
        <w:rPr/>
      </w:pPr>
      <w:r>
        <w:rPr>
          <w:b/>
          <w:bCs/>
          <w:color w:val="2E75B6"/>
        </w:rPr>
        <w:t>8.5 Side-by-Side Comparison</w:t>
      </w:r>
    </w:p>
    <w:tbl>
      <w:tblPr>
        <w:tblW w:w="9360" w:type="dxa"/>
        <w:jc w:val="left"/>
        <w:tblInd w:w="0" w:type="dxa"/>
        <w:tblLayout w:type="fixed"/>
        <w:tblCellMar>
          <w:top w:w="100" w:type="dxa"/>
          <w:left w:w="120" w:type="dxa"/>
          <w:bottom w:w="100" w:type="dxa"/>
          <w:right w:w="120" w:type="dxa"/>
        </w:tblCellMar>
      </w:tblPr>
      <w:tblGrid>
        <w:gridCol w:w="1110"/>
        <w:gridCol w:w="1800"/>
        <w:gridCol w:w="1613"/>
        <w:gridCol w:w="1613"/>
        <w:gridCol w:w="1614"/>
        <w:gridCol w:w="1609"/>
      </w:tblGrid>
      <w:tr>
        <w:trPr>
          <w:tblHeader w:val="true"/>
        </w:trPr>
        <w:tc>
          <w:tcPr>
            <w:tcW w:w="1110"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sz w:val="20"/>
                <w:szCs w:val="20"/>
              </w:rPr>
            </w:pPr>
            <w:r>
              <w:rPr>
                <w:rFonts w:ascii="DejaVu Serif" w:hAnsi="DejaVu Serif"/>
                <w:sz w:val="20"/>
                <w:szCs w:val="20"/>
              </w:rPr>
              <w:t>Aspect</w:t>
            </w:r>
          </w:p>
        </w:tc>
        <w:tc>
          <w:tcPr>
            <w:tcW w:w="1800"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sz w:val="20"/>
                <w:szCs w:val="20"/>
              </w:rPr>
            </w:pPr>
            <w:r>
              <w:rPr>
                <w:rFonts w:ascii="DejaVu Serif" w:hAnsi="DejaVu Serif"/>
                <w:sz w:val="20"/>
                <w:szCs w:val="20"/>
              </w:rPr>
              <w:t>TOGAF</w:t>
            </w:r>
          </w:p>
        </w:tc>
        <w:tc>
          <w:tcPr>
            <w:tcW w:w="1613"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sz w:val="20"/>
                <w:szCs w:val="20"/>
              </w:rPr>
            </w:pPr>
            <w:r>
              <w:rPr>
                <w:rFonts w:ascii="DejaVu Serif" w:hAnsi="DejaVu Serif"/>
                <w:sz w:val="20"/>
                <w:szCs w:val="20"/>
              </w:rPr>
              <w:t>Zachman</w:t>
            </w:r>
          </w:p>
        </w:tc>
        <w:tc>
          <w:tcPr>
            <w:tcW w:w="1613"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sz w:val="20"/>
                <w:szCs w:val="20"/>
              </w:rPr>
            </w:pPr>
            <w:r>
              <w:rPr>
                <w:rFonts w:ascii="DejaVu Serif" w:hAnsi="DejaVu Serif"/>
                <w:sz w:val="20"/>
                <w:szCs w:val="20"/>
              </w:rPr>
              <w:t>FEAF</w:t>
            </w:r>
          </w:p>
        </w:tc>
        <w:tc>
          <w:tcPr>
            <w:tcW w:w="1614"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sz w:val="20"/>
                <w:szCs w:val="20"/>
              </w:rPr>
            </w:pPr>
            <w:r>
              <w:rPr>
                <w:rFonts w:ascii="DejaVu Serif" w:hAnsi="DejaVu Serif"/>
                <w:sz w:val="20"/>
                <w:szCs w:val="20"/>
              </w:rPr>
              <w:t>DoDAF</w:t>
            </w:r>
          </w:p>
        </w:tc>
        <w:tc>
          <w:tcPr>
            <w:tcW w:w="1609"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sz w:val="20"/>
                <w:szCs w:val="20"/>
              </w:rPr>
            </w:pPr>
            <w:r>
              <w:rPr>
                <w:rFonts w:ascii="DejaVu Serif" w:hAnsi="DejaVu Serif"/>
                <w:sz w:val="20"/>
                <w:szCs w:val="20"/>
              </w:rPr>
              <w:t>Gartner EA</w:t>
            </w:r>
          </w:p>
        </w:tc>
      </w:tr>
      <w:tr>
        <w:trPr/>
        <w:tc>
          <w:tcPr>
            <w:tcW w:w="111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Type</w:t>
            </w:r>
          </w:p>
        </w:tc>
        <w:tc>
          <w:tcPr>
            <w:tcW w:w="180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Method + Content + Capability framework</w:t>
            </w:r>
          </w:p>
        </w:tc>
        <w:tc>
          <w:tcPr>
            <w:tcW w:w="1613"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Ontology / classification matrix</w:t>
            </w:r>
          </w:p>
        </w:tc>
        <w:tc>
          <w:tcPr>
            <w:tcW w:w="1613"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Reference framework with mandated models</w:t>
            </w:r>
          </w:p>
        </w:tc>
        <w:tc>
          <w:tcPr>
            <w:tcW w:w="1614"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Viewpoint-based framework with mandated models</w:t>
            </w:r>
          </w:p>
        </w:tc>
        <w:tc>
          <w:tcPr>
            <w:tcW w:w="160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Practitioner methodology + advisory</w:t>
            </w:r>
          </w:p>
        </w:tc>
      </w:tr>
      <w:tr>
        <w:trPr/>
        <w:tc>
          <w:tcPr>
            <w:tcW w:w="111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Origin</w:t>
            </w:r>
          </w:p>
        </w:tc>
        <w:tc>
          <w:tcPr>
            <w:tcW w:w="180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The Open Group (1995)</w:t>
            </w:r>
          </w:p>
        </w:tc>
        <w:tc>
          <w:tcPr>
            <w:tcW w:w="1613"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John Zachman (1987)</w:t>
            </w:r>
          </w:p>
        </w:tc>
        <w:tc>
          <w:tcPr>
            <w:tcW w:w="1613"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U.S. Federal Government (1999)</w:t>
            </w:r>
          </w:p>
        </w:tc>
        <w:tc>
          <w:tcPr>
            <w:tcW w:w="1614"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U.S. Department of Defense</w:t>
            </w:r>
          </w:p>
        </w:tc>
        <w:tc>
          <w:tcPr>
            <w:tcW w:w="160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Gartner Inc.</w:t>
            </w:r>
          </w:p>
        </w:tc>
      </w:tr>
      <w:tr>
        <w:trPr/>
        <w:tc>
          <w:tcPr>
            <w:tcW w:w="111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Primary Focus</w:t>
            </w:r>
          </w:p>
        </w:tc>
        <w:tc>
          <w:tcPr>
            <w:tcW w:w="180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Repeatable EA development process</w:t>
            </w:r>
          </w:p>
        </w:tc>
        <w:tc>
          <w:tcPr>
            <w:tcW w:w="1613"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Classification of artefacts</w:t>
            </w:r>
          </w:p>
        </w:tc>
        <w:tc>
          <w:tcPr>
            <w:tcW w:w="1613"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Federal agency interoperability</w:t>
            </w:r>
          </w:p>
        </w:tc>
        <w:tc>
          <w:tcPr>
            <w:tcW w:w="1614"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Defence systems-of-systems</w:t>
            </w:r>
          </w:p>
        </w:tc>
        <w:tc>
          <w:tcPr>
            <w:tcW w:w="160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Business outcomes &amp; disruption response</w:t>
            </w:r>
          </w:p>
        </w:tc>
      </w:tr>
      <w:tr>
        <w:trPr/>
        <w:tc>
          <w:tcPr>
            <w:tcW w:w="111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Prescriptiveness</w:t>
            </w:r>
          </w:p>
        </w:tc>
        <w:tc>
          <w:tcPr>
            <w:tcW w:w="180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Method (ADM) yes; specific artefacts flexible</w:t>
            </w:r>
          </w:p>
        </w:tc>
        <w:tc>
          <w:tcPr>
            <w:tcW w:w="1613"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Cells named, content not prescribed</w:t>
            </w:r>
          </w:p>
        </w:tc>
        <w:tc>
          <w:tcPr>
            <w:tcW w:w="1613"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Highly prescriptive about reference models</w:t>
            </w:r>
          </w:p>
        </w:tc>
        <w:tc>
          <w:tcPr>
            <w:tcW w:w="1614"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Highly prescriptive about views</w:t>
            </w:r>
          </w:p>
        </w:tc>
        <w:tc>
          <w:tcPr>
            <w:tcW w:w="160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Strategic guidance, low artefact prescription</w:t>
            </w:r>
          </w:p>
        </w:tc>
      </w:tr>
      <w:tr>
        <w:trPr/>
        <w:tc>
          <w:tcPr>
            <w:tcW w:w="111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Domains</w:t>
            </w:r>
          </w:p>
        </w:tc>
        <w:tc>
          <w:tcPr>
            <w:tcW w:w="180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Business, Data, Application, Technology</w:t>
            </w:r>
          </w:p>
        </w:tc>
        <w:tc>
          <w:tcPr>
            <w:tcW w:w="1613"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Six interrogatives × six perspectives</w:t>
            </w:r>
          </w:p>
        </w:tc>
        <w:tc>
          <w:tcPr>
            <w:tcW w:w="1613"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Performance, Business, Data, Service, Tech, Security</w:t>
            </w:r>
          </w:p>
        </w:tc>
        <w:tc>
          <w:tcPr>
            <w:tcW w:w="1614"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Eight viewpoints</w:t>
            </w:r>
          </w:p>
        </w:tc>
        <w:tc>
          <w:tcPr>
            <w:tcW w:w="160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Business-led, all domains</w:t>
            </w:r>
          </w:p>
        </w:tc>
      </w:tr>
      <w:tr>
        <w:trPr/>
        <w:tc>
          <w:tcPr>
            <w:tcW w:w="111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Openness</w:t>
            </w:r>
          </w:p>
        </w:tc>
        <w:tc>
          <w:tcPr>
            <w:tcW w:w="180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Open, vendor-neutral</w:t>
            </w:r>
          </w:p>
        </w:tc>
        <w:tc>
          <w:tcPr>
            <w:tcW w:w="1613"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Open concept, copyright Zachman</w:t>
            </w:r>
          </w:p>
        </w:tc>
        <w:tc>
          <w:tcPr>
            <w:tcW w:w="1613"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Open, U.S. government</w:t>
            </w:r>
          </w:p>
        </w:tc>
        <w:tc>
          <w:tcPr>
            <w:tcW w:w="1614"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Open, U.S. government</w:t>
            </w:r>
          </w:p>
        </w:tc>
        <w:tc>
          <w:tcPr>
            <w:tcW w:w="160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Proprietary</w:t>
            </w:r>
          </w:p>
        </w:tc>
      </w:tr>
      <w:tr>
        <w:trPr/>
        <w:tc>
          <w:tcPr>
            <w:tcW w:w="111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Typical Adopter</w:t>
            </w:r>
          </w:p>
        </w:tc>
        <w:tc>
          <w:tcPr>
            <w:tcW w:w="180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Commercial enterprises worldwide</w:t>
            </w:r>
          </w:p>
        </w:tc>
        <w:tc>
          <w:tcPr>
            <w:tcW w:w="1613"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Used as supplement to other frameworks</w:t>
            </w:r>
          </w:p>
        </w:tc>
        <w:tc>
          <w:tcPr>
            <w:tcW w:w="1613"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U.S. federal agencies</w:t>
            </w:r>
          </w:p>
        </w:tc>
        <w:tc>
          <w:tcPr>
            <w:tcW w:w="1614"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U.S. DoD and contractors</w:t>
            </w:r>
          </w:p>
        </w:tc>
        <w:tc>
          <w:tcPr>
            <w:tcW w:w="160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Large commercial enterprises (Gartner clients)</w:t>
            </w:r>
          </w:p>
        </w:tc>
      </w:tr>
    </w:tbl>
    <w:p>
      <w:pPr>
        <w:pStyle w:val="Heading3"/>
        <w:spacing w:before="220" w:after="120"/>
        <w:rPr/>
      </w:pPr>
      <w:r>
        <w:rPr>
          <w:b/>
          <w:bCs/>
          <w:color w:val="404040"/>
        </w:rPr>
        <w:t>Key Insight</w:t>
      </w:r>
    </w:p>
    <w:p>
      <w:pPr>
        <w:pStyle w:val="Normal"/>
        <w:spacing w:lineRule="auto" w:line="300" w:before="0" w:after="120"/>
        <w:jc w:val="both"/>
        <w:rPr/>
      </w:pPr>
      <w:r>
        <w:rPr/>
        <w:t>These frameworks are not strict competitors. Many organisations combine them. A common pattern is to use TOGAF as the overall methodology, Zachman as a checklist for completeness of artefacts, and Gartner research for strategic direction. A U.S. federal agency might use FEAF for compliance with OMB but TOGAF for the actual development method. A defence prime contractor might be required to deliver DoDAF views while running its internal architecture practice on TOGAF.</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8" w:space="0" w:color="2E75B6"/>
              <w:left w:val="single" w:sz="24" w:space="0" w:color="2E75B6"/>
              <w:bottom w:val="single" w:sz="8" w:space="0" w:color="2E75B6"/>
              <w:right w:val="single" w:sz="4" w:space="0" w:color="2E75B6"/>
            </w:tcBorders>
            <w:shd w:fill="EAF1F8" w:val="clear"/>
          </w:tcPr>
          <w:p>
            <w:pPr>
              <w:pStyle w:val="Normal"/>
              <w:spacing w:before="0" w:after="100"/>
              <w:rPr/>
            </w:pPr>
            <w:r>
              <w:rPr>
                <w:b/>
                <w:bCs/>
                <w:color w:val="1F4E78"/>
              </w:rPr>
              <w:t xml:space="preserve">▶ </w:t>
            </w:r>
            <w:r>
              <w:rPr>
                <w:b/>
                <w:bCs/>
                <w:color w:val="1F4E78"/>
              </w:rPr>
              <w:t>Real-World Hybrid Adoption</w:t>
            </w:r>
          </w:p>
          <w:p>
            <w:pPr>
              <w:pStyle w:val="Normal"/>
              <w:spacing w:lineRule="auto" w:line="281" w:before="0" w:after="60"/>
              <w:jc w:val="both"/>
              <w:rPr/>
            </w:pPr>
            <w:r>
              <w:rPr/>
              <w:t>A U.S.-based aerospace contractor was required by its government client to produce DoDAF-conformant architecture views for a new mission system. Internally, however, the company already ran a TOGAF-based architecture practice for its commercial work.</w:t>
            </w:r>
          </w:p>
          <w:p>
            <w:pPr>
              <w:pStyle w:val="Normal"/>
              <w:spacing w:lineRule="auto" w:line="281" w:before="0" w:after="60"/>
              <w:jc w:val="both"/>
              <w:rPr/>
            </w:pPr>
            <w:r>
              <w:rPr/>
              <w:t>Solution: TOGAF's ADM was used as the development method, with each ADM phase producing both internal artefacts and the specific DoDAF views demanded by the contract. Zachman was used informally as a coverage checklist to ensure no perspective was missed. The organisation got the regulatory compliance of DoDAF, the methodological rigour of TOGAF, and the comprehensiveness of Zachman — all at once.</w:t>
            </w:r>
          </w:p>
        </w:tc>
      </w:tr>
    </w:tbl>
    <w:p>
      <w:pPr>
        <w:pStyle w:val="Heading1"/>
        <w:spacing w:before="0" w:after="200"/>
        <w:rPr/>
      </w:pPr>
      <w:r>
        <w:rPr>
          <w:b/>
          <w:bCs/>
          <w:color w:val="1F4E78"/>
        </w:rPr>
        <w:t>9. The Five Core Components of TOGAF</w:t>
      </w:r>
    </w:p>
    <w:p>
      <w:pPr>
        <w:pStyle w:val="BodyText"/>
        <w:jc w:val="both"/>
        <w:rPr>
          <w:rFonts w:ascii="DejaVu Serif" w:hAnsi="DejaVu Serif"/>
        </w:rPr>
      </w:pPr>
      <w:r>
        <w:rPr>
          <w:rFonts w:ascii="DejaVu Serif" w:hAnsi="DejaVu Serif"/>
        </w:rPr>
        <w:t>Inside TOGAF's Fundamental Content there are five core components that fit together to form the framework. Every TOGAF practitioner must know these five and how they relate.</w:t>
      </w:r>
    </w:p>
    <w:p>
      <w:pPr>
        <w:pStyle w:val="Heading2"/>
        <w:spacing w:before="280" w:after="160"/>
        <w:rPr/>
      </w:pPr>
      <w:r>
        <w:rPr>
          <w:b/>
          <w:bCs/>
          <w:color w:val="2E75B6"/>
        </w:rPr>
        <w:t>9.1 The Architecture Development Method (ADM)</w:t>
      </w:r>
    </w:p>
    <w:p>
      <w:pPr>
        <w:pStyle w:val="BodyText"/>
        <w:jc w:val="both"/>
        <w:rPr>
          <w:rFonts w:ascii="DejaVu Serif" w:hAnsi="DejaVu Serif"/>
        </w:rPr>
      </w:pPr>
      <w:r>
        <w:rPr>
          <w:rFonts w:ascii="DejaVu Serif" w:hAnsi="DejaVu Serif"/>
        </w:rPr>
        <w:t>The ADM is the heart of TOGAF. It is a step-by-step, iterative method for developing and managing the lifecycle of an enterprise architecture. It defines a sequence of phases, each with inputs, steps, and outputs, organised around a central activity called Requirements Management that runs throughout.</w:t>
      </w:r>
    </w:p>
    <w:p>
      <w:pPr>
        <w:pStyle w:val="Heading3"/>
        <w:spacing w:before="220" w:after="120"/>
        <w:rPr/>
      </w:pPr>
      <w:r>
        <w:rPr>
          <w:b/>
          <w:bCs/>
          <w:color w:val="404040"/>
        </w:rPr>
        <w:t>The Phases</w:t>
      </w:r>
    </w:p>
    <w:p>
      <w:pPr>
        <w:pStyle w:val="ListParagraph"/>
        <w:numPr>
          <w:ilvl w:val="0"/>
          <w:numId w:val="2"/>
        </w:numPr>
        <w:spacing w:lineRule="auto" w:line="281" w:before="0" w:after="80"/>
        <w:jc w:val="both"/>
        <w:rPr/>
      </w:pPr>
      <w:r>
        <w:rPr>
          <w:rFonts w:ascii="DejaVu Serif" w:hAnsi="DejaVu Serif"/>
          <w:b/>
          <w:bCs/>
        </w:rPr>
        <w:t>Preliminary Phase</w:t>
      </w:r>
      <w:r>
        <w:rPr>
          <w:rFonts w:ascii="DejaVu Serif" w:hAnsi="DejaVu Serif"/>
        </w:rPr>
        <w:t xml:space="preserve"> — establish the architecture capability, principles, and tailored framework.</w:t>
      </w:r>
    </w:p>
    <w:p>
      <w:pPr>
        <w:pStyle w:val="ListParagraph"/>
        <w:numPr>
          <w:ilvl w:val="0"/>
          <w:numId w:val="2"/>
        </w:numPr>
        <w:spacing w:lineRule="auto" w:line="281" w:before="0" w:after="80"/>
        <w:jc w:val="both"/>
        <w:rPr/>
      </w:pPr>
      <w:r>
        <w:rPr>
          <w:rFonts w:ascii="DejaVu Serif" w:hAnsi="DejaVu Serif"/>
          <w:b/>
          <w:bCs/>
        </w:rPr>
        <w:t>Phase A: Architecture Vision</w:t>
      </w:r>
      <w:r>
        <w:rPr>
          <w:rFonts w:ascii="DejaVu Serif" w:hAnsi="DejaVu Serif"/>
        </w:rPr>
        <w:t xml:space="preserve"> — define scope, stakeholders, vision, and obtain approval to proceed.</w:t>
      </w:r>
    </w:p>
    <w:p>
      <w:pPr>
        <w:pStyle w:val="ListParagraph"/>
        <w:numPr>
          <w:ilvl w:val="0"/>
          <w:numId w:val="2"/>
        </w:numPr>
        <w:spacing w:lineRule="auto" w:line="281" w:before="0" w:after="80"/>
        <w:jc w:val="both"/>
        <w:rPr/>
      </w:pPr>
      <w:r>
        <w:rPr>
          <w:rFonts w:ascii="DejaVu Serif" w:hAnsi="DejaVu Serif"/>
          <w:b/>
          <w:bCs/>
        </w:rPr>
        <w:t>Phase B: Business Architecture</w:t>
      </w:r>
      <w:r>
        <w:rPr>
          <w:rFonts w:ascii="DejaVu Serif" w:hAnsi="DejaVu Serif"/>
        </w:rPr>
        <w:t xml:space="preserve"> — describe the baseline and target business architecture.</w:t>
      </w:r>
    </w:p>
    <w:p>
      <w:pPr>
        <w:pStyle w:val="ListParagraph"/>
        <w:numPr>
          <w:ilvl w:val="0"/>
          <w:numId w:val="2"/>
        </w:numPr>
        <w:spacing w:lineRule="auto" w:line="281" w:before="0" w:after="80"/>
        <w:jc w:val="both"/>
        <w:rPr/>
      </w:pPr>
      <w:r>
        <w:rPr>
          <w:rFonts w:ascii="DejaVu Serif" w:hAnsi="DejaVu Serif"/>
          <w:b/>
          <w:bCs/>
        </w:rPr>
        <w:t>Phase C: Information Systems Architecture</w:t>
      </w:r>
      <w:r>
        <w:rPr>
          <w:rFonts w:ascii="DejaVu Serif" w:hAnsi="DejaVu Serif"/>
        </w:rPr>
        <w:t xml:space="preserve"> — covers Data and Application architectures.</w:t>
      </w:r>
    </w:p>
    <w:p>
      <w:pPr>
        <w:pStyle w:val="ListParagraph"/>
        <w:numPr>
          <w:ilvl w:val="0"/>
          <w:numId w:val="2"/>
        </w:numPr>
        <w:spacing w:lineRule="auto" w:line="281" w:before="0" w:after="80"/>
        <w:jc w:val="both"/>
        <w:rPr/>
      </w:pPr>
      <w:r>
        <w:rPr>
          <w:rFonts w:ascii="DejaVu Serif" w:hAnsi="DejaVu Serif"/>
          <w:b/>
          <w:bCs/>
        </w:rPr>
        <w:t>Phase D: Technology Architecture</w:t>
      </w:r>
      <w:r>
        <w:rPr>
          <w:rFonts w:ascii="DejaVu Serif" w:hAnsi="DejaVu Serif"/>
        </w:rPr>
        <w:t xml:space="preserve"> — describe the technology platforms supporting applications and data.</w:t>
      </w:r>
    </w:p>
    <w:p>
      <w:pPr>
        <w:pStyle w:val="ListParagraph"/>
        <w:numPr>
          <w:ilvl w:val="0"/>
          <w:numId w:val="2"/>
        </w:numPr>
        <w:spacing w:lineRule="auto" w:line="281" w:before="0" w:after="80"/>
        <w:jc w:val="both"/>
        <w:rPr/>
      </w:pPr>
      <w:r>
        <w:rPr>
          <w:rFonts w:ascii="DejaVu Serif" w:hAnsi="DejaVu Serif"/>
          <w:b/>
          <w:bCs/>
        </w:rPr>
        <w:t>Phase E: Opportunities and Solutions</w:t>
      </w:r>
      <w:r>
        <w:rPr>
          <w:rFonts w:ascii="DejaVu Serif" w:hAnsi="DejaVu Serif"/>
        </w:rPr>
        <w:t xml:space="preserve"> — identify implementation projects and transition architectures.</w:t>
      </w:r>
    </w:p>
    <w:p>
      <w:pPr>
        <w:pStyle w:val="ListParagraph"/>
        <w:numPr>
          <w:ilvl w:val="0"/>
          <w:numId w:val="2"/>
        </w:numPr>
        <w:spacing w:lineRule="auto" w:line="281" w:before="0" w:after="80"/>
        <w:jc w:val="both"/>
        <w:rPr/>
      </w:pPr>
      <w:r>
        <w:rPr>
          <w:rFonts w:ascii="DejaVu Serif" w:hAnsi="DejaVu Serif"/>
          <w:b/>
          <w:bCs/>
        </w:rPr>
        <w:t>Phase F: Migration Planning</w:t>
      </w:r>
      <w:r>
        <w:rPr>
          <w:rFonts w:ascii="DejaVu Serif" w:hAnsi="DejaVu Serif"/>
        </w:rPr>
        <w:t xml:space="preserve"> — produce the detailed implementation and migration plan.</w:t>
      </w:r>
    </w:p>
    <w:p>
      <w:pPr>
        <w:pStyle w:val="ListParagraph"/>
        <w:numPr>
          <w:ilvl w:val="0"/>
          <w:numId w:val="2"/>
        </w:numPr>
        <w:spacing w:lineRule="auto" w:line="281" w:before="0" w:after="80"/>
        <w:jc w:val="both"/>
        <w:rPr/>
      </w:pPr>
      <w:r>
        <w:rPr>
          <w:rFonts w:ascii="DejaVu Serif" w:hAnsi="DejaVu Serif"/>
          <w:b/>
          <w:bCs/>
        </w:rPr>
        <w:t>Phase G: Implementation Governance</w:t>
      </w:r>
      <w:r>
        <w:rPr>
          <w:rFonts w:ascii="DejaVu Serif" w:hAnsi="DejaVu Serif"/>
        </w:rPr>
        <w:t xml:space="preserve"> — oversee the actual implementation work to ensure conformance.</w:t>
      </w:r>
    </w:p>
    <w:p>
      <w:pPr>
        <w:pStyle w:val="ListParagraph"/>
        <w:numPr>
          <w:ilvl w:val="0"/>
          <w:numId w:val="2"/>
        </w:numPr>
        <w:spacing w:lineRule="auto" w:line="281" w:before="0" w:after="80"/>
        <w:jc w:val="both"/>
        <w:rPr/>
      </w:pPr>
      <w:r>
        <w:rPr>
          <w:rFonts w:ascii="DejaVu Serif" w:hAnsi="DejaVu Serif"/>
          <w:b/>
          <w:bCs/>
        </w:rPr>
        <w:t>Phase H: Architecture Change Management</w:t>
      </w:r>
      <w:r>
        <w:rPr>
          <w:rFonts w:ascii="DejaVu Serif" w:hAnsi="DejaVu Serif"/>
        </w:rPr>
        <w:t xml:space="preserve"> — manage the architecture once in production; trigger new ADM cycles when needed.</w:t>
      </w:r>
    </w:p>
    <w:p>
      <w:pPr>
        <w:pStyle w:val="ListParagraph"/>
        <w:numPr>
          <w:ilvl w:val="0"/>
          <w:numId w:val="2"/>
        </w:numPr>
        <w:spacing w:lineRule="auto" w:line="281" w:before="0" w:after="80"/>
        <w:jc w:val="both"/>
        <w:rPr/>
      </w:pPr>
      <w:r>
        <w:rPr>
          <w:rFonts w:ascii="DejaVu Serif" w:hAnsi="DejaVu Serif"/>
          <w:b/>
          <w:bCs/>
        </w:rPr>
        <w:t>Requirements Management</w:t>
      </w:r>
      <w:r>
        <w:rPr>
          <w:rFonts w:ascii="DejaVu Serif" w:hAnsi="DejaVu Serif"/>
        </w:rPr>
        <w:t xml:space="preserve"> — at the centre, continuously capturing, validating, and feeding requirements to all other phases.</w:t>
      </w:r>
    </w:p>
    <w:tbl>
      <w:tblPr>
        <w:tblW w:w="9360" w:type="dxa"/>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Normal"/>
              <w:spacing w:before="0" w:after="60"/>
              <w:rPr/>
            </w:pPr>
            <w:r>
              <w:rPr>
                <w:b/>
                <w:bCs/>
                <w:color w:val="1F4E78"/>
              </w:rPr>
              <w:t xml:space="preserve">🔑 </w:t>
            </w:r>
            <w:r>
              <w:rPr>
                <w:b/>
                <w:bCs/>
                <w:color w:val="1F4E78"/>
              </w:rPr>
              <w:t xml:space="preserve">ADM: </w:t>
            </w:r>
            <w:r>
              <w:rPr/>
              <w:t>Architecture Development Method — the iterative, phase-based process at the heart of TOGAF for developing and maintaining an enterprise architecture. It runs from the Preliminary Phase through Phases A to H, with Requirements Management at the centre.</w:t>
            </w:r>
          </w:p>
        </w:tc>
      </w:tr>
      <w:tr>
        <w:trPr/>
        <w:tc>
          <w:tcPr>
            <w:tcW w:w="9360" w:type="dxa"/>
            <w:tcBorders>
              <w:top w:val="single" w:sz="8" w:space="0" w:color="2E75B6"/>
              <w:left w:val="single" w:sz="24" w:space="0" w:color="2E75B6"/>
              <w:bottom w:val="single" w:sz="8" w:space="0" w:color="2E75B6"/>
              <w:right w:val="single" w:sz="4" w:space="0" w:color="2E75B6"/>
            </w:tcBorders>
            <w:shd w:fill="EAF1F8" w:val="clear"/>
            <w:tcMar>
              <w:top w:w="160" w:type="dxa"/>
              <w:left w:w="200" w:type="dxa"/>
              <w:bottom w:w="160" w:type="dxa"/>
              <w:right w:w="200" w:type="dxa"/>
            </w:tcMar>
          </w:tcPr>
          <w:p>
            <w:pPr>
              <w:pStyle w:val="Normal"/>
              <w:spacing w:before="0" w:after="100"/>
              <w:rPr/>
            </w:pPr>
            <w:r>
              <w:rPr>
                <w:b/>
                <w:bCs/>
                <w:color w:val="1F4E78"/>
              </w:rPr>
              <w:t xml:space="preserve">▶ </w:t>
            </w:r>
            <w:r>
              <w:rPr>
                <w:b/>
                <w:bCs/>
                <w:color w:val="1F4E78"/>
              </w:rPr>
              <w:t>ADM in Action: A Health Insurer</w:t>
            </w:r>
          </w:p>
          <w:p>
            <w:pPr>
              <w:pStyle w:val="Normal"/>
              <w:spacing w:lineRule="auto" w:line="281" w:before="0" w:after="60"/>
              <w:jc w:val="both"/>
              <w:rPr/>
            </w:pPr>
            <w:r>
              <w:rPr/>
              <w:t>A health insurer launches a programme to consolidate three legacy claims platforms into one. They run the ADM as follows:</w:t>
            </w:r>
          </w:p>
          <w:p>
            <w:pPr>
              <w:pStyle w:val="Normal"/>
              <w:spacing w:lineRule="auto" w:line="281" w:before="0" w:after="60"/>
              <w:jc w:val="both"/>
              <w:rPr/>
            </w:pPr>
            <w:r>
              <w:rPr/>
              <w:t>Preliminary: confirm architecture principles, including "buy before build". Phase A: vision is approved by the executive committee with clear scope (claims only). Phase B: model current and target business processes for claims intake, adjudication, and payment. Phase C: define target data model (one claims database) and target application portfolio (one platform). Phase D: select cloud platform and define infrastructure. Phase E: identify three transition architectures, sequenced by line of business. Phase F: produce migration plan, business cases, and go-live calendar. Phase G: ensure each project conforms to the target. Phase H: monitor in production and trigger a new ADM cycle when regulation changes.</w:t>
            </w:r>
          </w:p>
        </w:tc>
      </w:tr>
    </w:tbl>
    <w:p>
      <w:pPr>
        <w:pStyle w:val="Heading2"/>
        <w:spacing w:before="280" w:after="160"/>
        <w:rPr/>
      </w:pPr>
      <w:r>
        <w:rPr>
          <w:b/>
          <w:bCs/>
          <w:color w:val="2E75B6"/>
        </w:rPr>
        <w:t>9.2 The Architecture Content Framework</w:t>
      </w:r>
    </w:p>
    <w:p>
      <w:pPr>
        <w:pStyle w:val="BodyText"/>
        <w:jc w:val="both"/>
        <w:rPr>
          <w:rFonts w:ascii="DejaVu Serif" w:hAnsi="DejaVu Serif"/>
        </w:rPr>
      </w:pPr>
      <w:r>
        <w:rPr>
          <w:rFonts w:ascii="DejaVu Serif" w:hAnsi="DejaVu Serif"/>
        </w:rPr>
        <w:t>The Architecture Content Framework provides a structured metamodel for the artefacts that the ADM produces. Without it, every architect would invent their own structure for a deliverable, and no two architectures could be compared. With it, all TOGAF architectures share a consistent shape.</w:t>
      </w:r>
    </w:p>
    <w:p>
      <w:pPr>
        <w:pStyle w:val="Heading3"/>
        <w:spacing w:before="220" w:after="120"/>
        <w:rPr/>
      </w:pPr>
      <w:r>
        <w:rPr>
          <w:b/>
          <w:bCs/>
          <w:color w:val="404040"/>
        </w:rPr>
        <w:t>Three Categories of Content</w:t>
      </w:r>
    </w:p>
    <w:p>
      <w:pPr>
        <w:pStyle w:val="ListParagraph"/>
        <w:numPr>
          <w:ilvl w:val="0"/>
          <w:numId w:val="2"/>
        </w:numPr>
        <w:spacing w:lineRule="auto" w:line="281" w:before="0" w:after="80"/>
        <w:rPr>
          <w:rFonts w:ascii="DejaVu Serif" w:hAnsi="DejaVu Serif"/>
        </w:rPr>
      </w:pPr>
      <w:r>
        <w:rPr>
          <w:rFonts w:ascii="DejaVu Serif" w:hAnsi="DejaVu Serif"/>
          <w:b/>
          <w:bCs/>
        </w:rPr>
        <w:t>Deliverables</w:t>
      </w:r>
      <w:r>
        <w:rPr>
          <w:rFonts w:ascii="DejaVu Serif" w:hAnsi="DejaVu Serif"/>
        </w:rPr>
        <w:t xml:space="preserve"> — formal contracted outputs reviewed and approved by stakeholders (e.g., the Architecture Vision document, the Architecture Definition Document, the Architecture Requirements Specification).</w:t>
      </w:r>
    </w:p>
    <w:p>
      <w:pPr>
        <w:pStyle w:val="ListParagraph"/>
        <w:numPr>
          <w:ilvl w:val="0"/>
          <w:numId w:val="2"/>
        </w:numPr>
        <w:spacing w:lineRule="auto" w:line="281" w:before="0" w:after="80"/>
        <w:rPr>
          <w:rFonts w:ascii="DejaVu Serif" w:hAnsi="DejaVu Serif"/>
        </w:rPr>
      </w:pPr>
      <w:r>
        <w:rPr>
          <w:rFonts w:ascii="DejaVu Serif" w:hAnsi="DejaVu Serif"/>
          <w:b/>
          <w:bCs/>
        </w:rPr>
        <w:t>Artefacts</w:t>
      </w:r>
      <w:r>
        <w:rPr>
          <w:rFonts w:ascii="DejaVu Serif" w:hAnsi="DejaVu Serif"/>
        </w:rPr>
        <w:t xml:space="preserve"> — work products inside deliverables, typically diagrams, matrices, or catalogues (e.g., a Business Capability Map, an Application Communication Diagram, a Technology Standards Catalogue).</w:t>
      </w:r>
    </w:p>
    <w:p>
      <w:pPr>
        <w:pStyle w:val="ListParagraph"/>
        <w:numPr>
          <w:ilvl w:val="0"/>
          <w:numId w:val="2"/>
        </w:numPr>
        <w:spacing w:lineRule="auto" w:line="281" w:before="0" w:after="80"/>
        <w:rPr>
          <w:rFonts w:ascii="DejaVu Serif" w:hAnsi="DejaVu Serif"/>
        </w:rPr>
      </w:pPr>
      <w:r>
        <w:rPr>
          <w:rFonts w:ascii="DejaVu Serif" w:hAnsi="DejaVu Serif"/>
          <w:b/>
          <w:bCs/>
        </w:rPr>
        <w:t>Building Blocks</w:t>
      </w:r>
      <w:r>
        <w:rPr>
          <w:rFonts w:ascii="DejaVu Serif" w:hAnsi="DejaVu Serif"/>
        </w:rPr>
        <w:t xml:space="preserve"> — reusable components of architecture that meet a specific business need. Two kinds: Architecture Building Blocks (ABB), which are abstract; and Solution Building Blocks (SBB), which are concrete realisations.</w:t>
      </w:r>
    </w:p>
    <w:tbl>
      <w:tblPr>
        <w:tblW w:w="9360" w:type="dxa"/>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BodyText"/>
              <w:spacing w:before="0" w:after="140"/>
              <w:rPr>
                <w:rFonts w:ascii="DejaVu Serif" w:hAnsi="DejaVu Serif"/>
              </w:rPr>
            </w:pPr>
            <w:r>
              <w:rPr>
                <w:rFonts w:ascii="DejaVu Serif" w:hAnsi="DejaVu Serif"/>
                <w:b/>
                <w:bCs/>
                <w:color w:val="1F4E78"/>
              </w:rPr>
              <w:t xml:space="preserve">🔑 </w:t>
            </w:r>
            <w:r>
              <w:rPr>
                <w:rFonts w:ascii="DejaVu Serif" w:hAnsi="DejaVu Serif"/>
                <w:b/>
                <w:bCs/>
                <w:color w:val="1F4E78"/>
              </w:rPr>
              <w:t xml:space="preserve">Content Framework: </w:t>
            </w:r>
            <w:r>
              <w:rPr>
                <w:rFonts w:ascii="DejaVu Serif" w:hAnsi="DejaVu Serif"/>
              </w:rPr>
              <w:t>The TOGAF metamodel that defines the artefacts, deliverables, and building blocks produced during the ADM, ensuring consistency across architecture work.</w:t>
            </w:r>
          </w:p>
        </w:tc>
      </w:tr>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BodyText"/>
              <w:spacing w:before="0" w:after="140"/>
              <w:rPr>
                <w:rFonts w:ascii="DejaVu Serif" w:hAnsi="DejaVu Serif"/>
              </w:rPr>
            </w:pPr>
            <w:r>
              <w:rPr>
                <w:rFonts w:ascii="DejaVu Serif" w:hAnsi="DejaVu Serif"/>
                <w:b/>
                <w:bCs/>
                <w:color w:val="1F4E78"/>
              </w:rPr>
              <w:t xml:space="preserve">🔑 </w:t>
            </w:r>
            <w:r>
              <w:rPr>
                <w:rFonts w:ascii="DejaVu Serif" w:hAnsi="DejaVu Serif"/>
                <w:b/>
                <w:bCs/>
                <w:color w:val="1F4E78"/>
              </w:rPr>
              <w:t xml:space="preserve">ABB vs SBB: </w:t>
            </w:r>
            <w:r>
              <w:rPr>
                <w:rFonts w:ascii="DejaVu Serif" w:hAnsi="DejaVu Serif"/>
              </w:rPr>
              <w:t>An Architecture Building Block (ABB) describes required capability in abstract terms (e.g., "customer authentication service"). A Solution Building Block (SBB) is the concrete implementation that satisfies the ABB (e.g., "Okta Workforce Identity").</w:t>
            </w:r>
          </w:p>
        </w:tc>
      </w:tr>
      <w:tr>
        <w:trPr/>
        <w:tc>
          <w:tcPr>
            <w:tcW w:w="9360" w:type="dxa"/>
            <w:tcBorders>
              <w:top w:val="single" w:sz="8" w:space="0" w:color="2E75B6"/>
              <w:left w:val="single" w:sz="24" w:space="0" w:color="2E75B6"/>
              <w:bottom w:val="single" w:sz="8" w:space="0" w:color="2E75B6"/>
              <w:right w:val="single" w:sz="4" w:space="0" w:color="2E75B6"/>
            </w:tcBorders>
            <w:shd w:fill="EAF1F8" w:val="clear"/>
            <w:tcMar>
              <w:top w:w="160" w:type="dxa"/>
              <w:left w:w="200" w:type="dxa"/>
              <w:bottom w:w="160" w:type="dxa"/>
              <w:right w:w="200" w:type="dxa"/>
            </w:tcMar>
          </w:tcPr>
          <w:p>
            <w:pPr>
              <w:pStyle w:val="BodyText"/>
              <w:rPr>
                <w:rFonts w:ascii="DejaVu Serif" w:hAnsi="DejaVu Serif"/>
              </w:rPr>
            </w:pPr>
            <w:r>
              <w:rPr>
                <w:rFonts w:ascii="DejaVu Serif" w:hAnsi="DejaVu Serif"/>
              </w:rPr>
              <w:t xml:space="preserve">▶ </w:t>
            </w:r>
            <w:r>
              <w:rPr>
                <w:rFonts w:ascii="DejaVu Serif" w:hAnsi="DejaVu Serif"/>
              </w:rPr>
              <w:t>Content Framework Example</w:t>
            </w:r>
          </w:p>
          <w:p>
            <w:pPr>
              <w:pStyle w:val="BodyText"/>
              <w:rPr>
                <w:rFonts w:ascii="DejaVu Serif" w:hAnsi="DejaVu Serif"/>
              </w:rPr>
            </w:pPr>
            <w:r>
              <w:rPr>
                <w:rFonts w:ascii="DejaVu Serif" w:hAnsi="DejaVu Serif"/>
              </w:rPr>
              <w:t>Deliverable: "Architecture Definition Document" approved by the Architecture Board.</w:t>
            </w:r>
          </w:p>
          <w:p>
            <w:pPr>
              <w:pStyle w:val="BodyText"/>
              <w:rPr>
                <w:rFonts w:ascii="DejaVu Serif" w:hAnsi="DejaVu Serif"/>
              </w:rPr>
            </w:pPr>
            <w:r>
              <w:rPr>
                <w:rFonts w:ascii="DejaVu Serif" w:hAnsi="DejaVu Serif"/>
              </w:rPr>
              <w:t>Artefacts inside it: a Business Capability Map (matrix), an Application Portfolio Catalogue (catalogue), an Application Communication Diagram (diagram), a Data Lifecycle Diagram (diagram).</w:t>
            </w:r>
          </w:p>
          <w:p>
            <w:pPr>
              <w:pStyle w:val="BodyText"/>
              <w:rPr>
                <w:rFonts w:ascii="DejaVu Serif" w:hAnsi="DejaVu Serif"/>
              </w:rPr>
            </w:pPr>
            <w:r>
              <w:rPr>
                <w:rFonts w:ascii="DejaVu Serif" w:hAnsi="DejaVu Serif"/>
              </w:rPr>
              <w:t>Architecture Building Block referenced: "Customer Master Data Service" (abstract — must support 360-degree customer view).</w:t>
            </w:r>
          </w:p>
          <w:p>
            <w:pPr>
              <w:pStyle w:val="BodyText"/>
              <w:spacing w:before="0" w:after="140"/>
              <w:rPr>
                <w:rFonts w:ascii="DejaVu Serif" w:hAnsi="DejaVu Serif"/>
              </w:rPr>
            </w:pPr>
            <w:r>
              <w:rPr>
                <w:rFonts w:ascii="DejaVu Serif" w:hAnsi="DejaVu Serif"/>
              </w:rPr>
              <w:t>Solution Building Block selected later: "Informatica MDM Customer 360" (concrete product chosen to fulfil the ABB).</w:t>
            </w:r>
          </w:p>
        </w:tc>
      </w:tr>
    </w:tbl>
    <w:p>
      <w:pPr>
        <w:pStyle w:val="Heading2"/>
        <w:spacing w:before="280" w:after="160"/>
        <w:rPr/>
      </w:pPr>
      <w:r>
        <w:rPr>
          <w:b/>
          <w:bCs/>
          <w:color w:val="2E75B6"/>
        </w:rPr>
        <w:t>9.3 The Enterprise Continuum</w:t>
      </w:r>
    </w:p>
    <w:p>
      <w:pPr>
        <w:pStyle w:val="BodyText"/>
        <w:jc w:val="both"/>
        <w:rPr>
          <w:rFonts w:ascii="DejaVu Serif" w:hAnsi="DejaVu Serif"/>
        </w:rPr>
      </w:pPr>
      <w:r>
        <w:rPr>
          <w:rFonts w:ascii="DejaVu Serif" w:hAnsi="DejaVu Serif"/>
        </w:rPr>
        <w:t>The Enterprise Continuum is a way of classifying architectures and solutions on a spectrum from fully generic to fully organisation-specific. It helps architects find and reuse existing material rather than inventing everything from scratch.</w:t>
      </w:r>
    </w:p>
    <w:p>
      <w:pPr>
        <w:pStyle w:val="Heading3"/>
        <w:spacing w:before="220" w:after="120"/>
        <w:rPr/>
      </w:pPr>
      <w:r>
        <w:rPr>
          <w:b/>
          <w:bCs/>
          <w:color w:val="404040"/>
        </w:rPr>
        <w:t>The Two Sub-Continuums</w:t>
      </w:r>
    </w:p>
    <w:p>
      <w:pPr>
        <w:pStyle w:val="ListParagraph"/>
        <w:numPr>
          <w:ilvl w:val="0"/>
          <w:numId w:val="2"/>
        </w:numPr>
        <w:spacing w:lineRule="auto" w:line="281" w:before="0" w:after="80"/>
        <w:rPr>
          <w:rFonts w:ascii="DejaVu Serif" w:hAnsi="DejaVu Serif"/>
        </w:rPr>
      </w:pPr>
      <w:r>
        <w:rPr>
          <w:rFonts w:ascii="DejaVu Serif" w:hAnsi="DejaVu Serif"/>
          <w:b/>
          <w:bCs/>
        </w:rPr>
        <w:t xml:space="preserve">Architecture Continuum </w:t>
      </w:r>
      <w:r>
        <w:rPr>
          <w:rFonts w:ascii="DejaVu Serif" w:hAnsi="DejaVu Serif"/>
        </w:rPr>
        <w:t>— describes architectures, ranging from Foundation Architectures (most generic, e.g., the TOGAF Technical Reference Model), to Common Systems Architectures, Industry Architectures, and Organization-Specific Architectures (most specific).</w:t>
      </w:r>
    </w:p>
    <w:p>
      <w:pPr>
        <w:pStyle w:val="ListParagraph"/>
        <w:numPr>
          <w:ilvl w:val="0"/>
          <w:numId w:val="2"/>
        </w:numPr>
        <w:spacing w:lineRule="auto" w:line="281" w:before="0" w:after="80"/>
        <w:rPr>
          <w:rFonts w:ascii="DejaVu Serif" w:hAnsi="DejaVu Serif"/>
        </w:rPr>
      </w:pPr>
      <w:r>
        <w:rPr>
          <w:rFonts w:ascii="DejaVu Serif" w:hAnsi="DejaVu Serif"/>
          <w:b/>
          <w:bCs/>
        </w:rPr>
        <w:t xml:space="preserve">Solutions Continuum </w:t>
      </w:r>
      <w:r>
        <w:rPr>
          <w:rFonts w:ascii="DejaVu Serif" w:hAnsi="DejaVu Serif"/>
        </w:rPr>
        <w:t>— parallel structure for solutions, ranging from Foundation Solutions (generic platforms), through Common Systems Solutions and Industry Solutions, to Organization-Specific Solutions.</w:t>
      </w:r>
    </w:p>
    <w:tbl>
      <w:tblPr>
        <w:tblW w:w="9360" w:type="dxa"/>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Normal"/>
              <w:spacing w:before="0" w:after="60"/>
              <w:rPr>
                <w:rFonts w:ascii="DejaVu Serif" w:hAnsi="DejaVu Serif"/>
              </w:rPr>
            </w:pPr>
            <w:r>
              <w:rPr>
                <w:rFonts w:ascii="DejaVu Serif" w:hAnsi="DejaVu Serif"/>
                <w:b/>
                <w:bCs/>
                <w:color w:val="1F4E78"/>
              </w:rPr>
              <w:t xml:space="preserve">🔑 </w:t>
            </w:r>
            <w:r>
              <w:rPr>
                <w:rFonts w:ascii="DejaVu Serif" w:hAnsi="DejaVu Serif"/>
                <w:b/>
                <w:bCs/>
                <w:color w:val="1F4E78"/>
              </w:rPr>
              <w:t xml:space="preserve">Enterprise Continuum: </w:t>
            </w:r>
            <w:r>
              <w:rPr>
                <w:rFonts w:ascii="DejaVu Serif" w:hAnsi="DejaVu Serif"/>
              </w:rPr>
              <w:t>A virtual classification scheme spanning generic to organisation-specific architectures and solutions. It helps practitioners locate and reuse existing assets, and it provides context for new development.</w:t>
            </w:r>
          </w:p>
        </w:tc>
      </w:tr>
      <w:tr>
        <w:trPr/>
        <w:tc>
          <w:tcPr>
            <w:tcW w:w="9360" w:type="dxa"/>
            <w:tcBorders>
              <w:top w:val="single" w:sz="8" w:space="0" w:color="2E75B6"/>
              <w:left w:val="single" w:sz="24" w:space="0" w:color="2E75B6"/>
              <w:bottom w:val="single" w:sz="8" w:space="0" w:color="2E75B6"/>
              <w:right w:val="single" w:sz="4" w:space="0" w:color="2E75B6"/>
            </w:tcBorders>
            <w:shd w:fill="EAF1F8" w:val="clear"/>
            <w:tcMar>
              <w:top w:w="160" w:type="dxa"/>
              <w:left w:w="200" w:type="dxa"/>
              <w:bottom w:w="160" w:type="dxa"/>
              <w:right w:w="200" w:type="dxa"/>
            </w:tcMar>
          </w:tcPr>
          <w:p>
            <w:pPr>
              <w:pStyle w:val="Normal"/>
              <w:spacing w:before="0" w:after="100"/>
              <w:rPr>
                <w:rFonts w:ascii="DejaVu Serif" w:hAnsi="DejaVu Serif"/>
              </w:rPr>
            </w:pPr>
            <w:r>
              <w:rPr>
                <w:rFonts w:ascii="DejaVu Serif" w:hAnsi="DejaVu Serif"/>
                <w:b/>
                <w:bCs/>
                <w:color w:val="1F4E78"/>
              </w:rPr>
              <w:t xml:space="preserve">▶ </w:t>
            </w:r>
            <w:r>
              <w:rPr>
                <w:rFonts w:ascii="DejaVu Serif" w:hAnsi="DejaVu Serif"/>
                <w:b/>
                <w:bCs/>
                <w:color w:val="1F4E78"/>
              </w:rPr>
              <w:t>Continuum Example: A Bank's Online Channel</w:t>
            </w:r>
          </w:p>
          <w:p>
            <w:pPr>
              <w:pStyle w:val="Normal"/>
              <w:spacing w:lineRule="auto" w:line="281" w:before="0" w:after="60"/>
              <w:jc w:val="both"/>
              <w:rPr>
                <w:rFonts w:ascii="DejaVu Serif" w:hAnsi="DejaVu Serif"/>
              </w:rPr>
            </w:pPr>
            <w:r>
              <w:rPr>
                <w:rFonts w:ascii="DejaVu Serif" w:hAnsi="DejaVu Serif"/>
              </w:rPr>
              <w:t>Foundation Architecture: TOGAF TRM — generic concepts of application platforms.</w:t>
            </w:r>
          </w:p>
          <w:p>
            <w:pPr>
              <w:pStyle w:val="Normal"/>
              <w:spacing w:lineRule="auto" w:line="281" w:before="0" w:after="60"/>
              <w:jc w:val="both"/>
              <w:rPr>
                <w:rFonts w:ascii="DejaVu Serif" w:hAnsi="DejaVu Serif"/>
              </w:rPr>
            </w:pPr>
            <w:r>
              <w:rPr>
                <w:rFonts w:ascii="DejaVu Serif" w:hAnsi="DejaVu Serif"/>
              </w:rPr>
              <w:t>Common Systems Architecture: a generic web application architecture pattern (load balancer + web tier + app tier + database).</w:t>
            </w:r>
          </w:p>
          <w:p>
            <w:pPr>
              <w:pStyle w:val="Normal"/>
              <w:spacing w:lineRule="auto" w:line="281" w:before="0" w:after="60"/>
              <w:jc w:val="both"/>
              <w:rPr>
                <w:rFonts w:ascii="DejaVu Serif" w:hAnsi="DejaVu Serif"/>
              </w:rPr>
            </w:pPr>
            <w:r>
              <w:rPr>
                <w:rFonts w:ascii="DejaVu Serif" w:hAnsi="DejaVu Serif"/>
              </w:rPr>
              <w:t>Industry Architecture: a banking-industry online-channel reference architecture (BIAN-aligned, including specific banking services).</w:t>
            </w:r>
          </w:p>
          <w:p>
            <w:pPr>
              <w:pStyle w:val="Normal"/>
              <w:spacing w:lineRule="auto" w:line="281" w:before="0" w:after="60"/>
              <w:jc w:val="both"/>
              <w:rPr>
                <w:rFonts w:ascii="DejaVu Serif" w:hAnsi="DejaVu Serif"/>
              </w:rPr>
            </w:pPr>
            <w:r>
              <w:rPr>
                <w:rFonts w:ascii="DejaVu Serif" w:hAnsi="DejaVu Serif"/>
              </w:rPr>
              <w:t>Organization-Specific Architecture: "Acme Bank Online Banking Architecture v3.2" — concrete to Acme Bank, citing exact products and Acme's brand standards.</w:t>
            </w:r>
          </w:p>
          <w:p>
            <w:pPr>
              <w:pStyle w:val="Normal"/>
              <w:spacing w:lineRule="auto" w:line="281" w:before="0" w:after="60"/>
              <w:jc w:val="both"/>
              <w:rPr>
                <w:rFonts w:ascii="DejaVu Serif" w:hAnsi="DejaVu Serif"/>
              </w:rPr>
            </w:pPr>
            <w:r>
              <w:rPr>
                <w:rFonts w:ascii="DejaVu Serif" w:hAnsi="DejaVu Serif"/>
              </w:rPr>
              <w:t>Each level adds specificity. Architects start as far up the continuum as possible (more reuse) and only descend when necessary.</w:t>
            </w:r>
          </w:p>
        </w:tc>
      </w:tr>
    </w:tbl>
    <w:p>
      <w:pPr>
        <w:pStyle w:val="Heading2"/>
        <w:spacing w:before="280" w:after="160"/>
        <w:rPr/>
      </w:pPr>
      <w:r>
        <w:rPr>
          <w:b/>
          <w:bCs/>
          <w:color w:val="2E75B6"/>
        </w:rPr>
        <w:t>9.4 The Architecture Repository</w:t>
      </w:r>
    </w:p>
    <w:p>
      <w:pPr>
        <w:pStyle w:val="BodyText"/>
        <w:rPr>
          <w:rFonts w:ascii="DejaVu Serif" w:hAnsi="DejaVu Serif"/>
        </w:rPr>
      </w:pPr>
      <w:r>
        <w:rPr>
          <w:rFonts w:ascii="DejaVu Serif" w:hAnsi="DejaVu Serif"/>
        </w:rPr>
        <w:t>The Architecture Repository is the physical (or logical) store where all architecture work products, reference material, governance logs, and standards live. If the Continuum is the conceptual classification of content, the Repository is the actual library where content is held.</w:t>
      </w:r>
    </w:p>
    <w:p>
      <w:pPr>
        <w:pStyle w:val="Heading3"/>
        <w:spacing w:before="220" w:after="120"/>
        <w:rPr/>
      </w:pPr>
      <w:r>
        <w:rPr>
          <w:b/>
          <w:bCs/>
          <w:color w:val="404040"/>
        </w:rPr>
        <w:t>Sections of the Repository</w:t>
      </w:r>
    </w:p>
    <w:p>
      <w:pPr>
        <w:pStyle w:val="ListParagraph"/>
        <w:numPr>
          <w:ilvl w:val="0"/>
          <w:numId w:val="2"/>
        </w:numPr>
        <w:spacing w:lineRule="auto" w:line="281" w:before="0" w:after="80"/>
        <w:jc w:val="both"/>
        <w:rPr/>
      </w:pPr>
      <w:r>
        <w:rPr>
          <w:rFonts w:ascii="DejaVu Serif" w:hAnsi="DejaVu Serif"/>
          <w:b/>
          <w:bCs/>
        </w:rPr>
        <w:t>Architecture</w:t>
      </w:r>
      <w:r>
        <w:rPr>
          <w:rFonts w:ascii="DejaVu Serif" w:hAnsi="DejaVu Serif"/>
        </w:rPr>
        <w:t xml:space="preserve"> </w:t>
      </w:r>
      <w:r>
        <w:rPr>
          <w:rFonts w:ascii="DejaVu Serif" w:hAnsi="DejaVu Serif"/>
          <w:b/>
          <w:bCs/>
        </w:rPr>
        <w:t>Metamodel</w:t>
      </w:r>
      <w:r>
        <w:rPr>
          <w:rFonts w:ascii="DejaVu Serif" w:hAnsi="DejaVu Serif"/>
        </w:rPr>
        <w:t xml:space="preserve"> — describes the Content Framework being used.</w:t>
      </w:r>
    </w:p>
    <w:p>
      <w:pPr>
        <w:pStyle w:val="ListParagraph"/>
        <w:numPr>
          <w:ilvl w:val="0"/>
          <w:numId w:val="2"/>
        </w:numPr>
        <w:spacing w:lineRule="auto" w:line="281" w:before="0" w:after="80"/>
        <w:jc w:val="both"/>
        <w:rPr/>
      </w:pPr>
      <w:r>
        <w:rPr>
          <w:rFonts w:ascii="DejaVu Serif" w:hAnsi="DejaVu Serif"/>
          <w:b/>
          <w:bCs/>
        </w:rPr>
        <w:t>Architecture</w:t>
      </w:r>
      <w:r>
        <w:rPr>
          <w:rFonts w:ascii="DejaVu Serif" w:hAnsi="DejaVu Serif"/>
        </w:rPr>
        <w:t xml:space="preserve"> </w:t>
      </w:r>
      <w:r>
        <w:rPr>
          <w:rFonts w:ascii="DejaVu Serif" w:hAnsi="DejaVu Serif"/>
          <w:b/>
          <w:bCs/>
        </w:rPr>
        <w:t>Capability</w:t>
      </w:r>
      <w:r>
        <w:rPr>
          <w:rFonts w:ascii="DejaVu Serif" w:hAnsi="DejaVu Serif"/>
        </w:rPr>
        <w:t xml:space="preserve"> — records describing the architecture practice itself (skills, roles, governance bodies).</w:t>
      </w:r>
    </w:p>
    <w:p>
      <w:pPr>
        <w:pStyle w:val="ListParagraph"/>
        <w:numPr>
          <w:ilvl w:val="0"/>
          <w:numId w:val="2"/>
        </w:numPr>
        <w:spacing w:lineRule="auto" w:line="281" w:before="0" w:after="80"/>
        <w:jc w:val="both"/>
        <w:rPr/>
      </w:pPr>
      <w:r>
        <w:rPr>
          <w:rFonts w:ascii="DejaVu Serif" w:hAnsi="DejaVu Serif"/>
          <w:b/>
          <w:bCs/>
        </w:rPr>
        <w:t>Architecture</w:t>
      </w:r>
      <w:r>
        <w:rPr>
          <w:rFonts w:ascii="DejaVu Serif" w:hAnsi="DejaVu Serif"/>
        </w:rPr>
        <w:t xml:space="preserve"> </w:t>
      </w:r>
      <w:r>
        <w:rPr>
          <w:rFonts w:ascii="DejaVu Serif" w:hAnsi="DejaVu Serif"/>
          <w:b/>
          <w:bCs/>
        </w:rPr>
        <w:t>Landscape</w:t>
      </w:r>
      <w:r>
        <w:rPr>
          <w:rFonts w:ascii="DejaVu Serif" w:hAnsi="DejaVu Serif"/>
        </w:rPr>
        <w:t xml:space="preserve"> — current state, target state, and transition architectures of the enterprise, at strategic, segment, and capability levels.</w:t>
      </w:r>
    </w:p>
    <w:p>
      <w:pPr>
        <w:pStyle w:val="ListParagraph"/>
        <w:numPr>
          <w:ilvl w:val="0"/>
          <w:numId w:val="2"/>
        </w:numPr>
        <w:spacing w:lineRule="auto" w:line="281" w:before="0" w:after="80"/>
        <w:jc w:val="both"/>
        <w:rPr/>
      </w:pPr>
      <w:r>
        <w:rPr>
          <w:rFonts w:ascii="DejaVu Serif" w:hAnsi="DejaVu Serif"/>
          <w:b/>
          <w:bCs/>
        </w:rPr>
        <w:t xml:space="preserve">Standards Information Base (SIB) </w:t>
      </w:r>
      <w:r>
        <w:rPr>
          <w:rFonts w:ascii="DejaVu Serif" w:hAnsi="DejaVu Serif"/>
        </w:rPr>
        <w:t>— the standards (technical, business, data) that architectures must conform to.</w:t>
      </w:r>
    </w:p>
    <w:p>
      <w:pPr>
        <w:pStyle w:val="ListParagraph"/>
        <w:numPr>
          <w:ilvl w:val="0"/>
          <w:numId w:val="2"/>
        </w:numPr>
        <w:spacing w:lineRule="auto" w:line="281" w:before="0" w:after="80"/>
        <w:jc w:val="both"/>
        <w:rPr/>
      </w:pPr>
      <w:r>
        <w:rPr>
          <w:rFonts w:ascii="DejaVu Serif" w:hAnsi="DejaVu Serif"/>
          <w:b/>
          <w:bCs/>
        </w:rPr>
        <w:t>Reference Library</w:t>
      </w:r>
      <w:r>
        <w:rPr>
          <w:rFonts w:ascii="DejaVu Serif" w:hAnsi="DejaVu Serif"/>
        </w:rPr>
        <w:t xml:space="preserve"> — generic and industry-specific reference architectures, models, and patterns.</w:t>
      </w:r>
    </w:p>
    <w:p>
      <w:pPr>
        <w:pStyle w:val="ListParagraph"/>
        <w:numPr>
          <w:ilvl w:val="0"/>
          <w:numId w:val="2"/>
        </w:numPr>
        <w:spacing w:lineRule="auto" w:line="281" w:before="0" w:after="80"/>
        <w:jc w:val="both"/>
        <w:rPr/>
      </w:pPr>
      <w:r>
        <w:rPr>
          <w:rFonts w:ascii="DejaVu Serif" w:hAnsi="DejaVu Serif"/>
          <w:b/>
          <w:bCs/>
        </w:rPr>
        <w:t>Governance Log</w:t>
      </w:r>
      <w:r>
        <w:rPr>
          <w:rFonts w:ascii="DejaVu Serif" w:hAnsi="DejaVu Serif"/>
        </w:rPr>
        <w:t xml:space="preserve"> — records of governance activities: board minutes, compliance assessments, dispensations, and decisions.</w:t>
      </w:r>
    </w:p>
    <w:p>
      <w:pPr>
        <w:pStyle w:val="ListParagraph"/>
        <w:numPr>
          <w:ilvl w:val="0"/>
          <w:numId w:val="2"/>
        </w:numPr>
        <w:spacing w:lineRule="auto" w:line="281" w:before="0" w:after="80"/>
        <w:jc w:val="both"/>
        <w:rPr/>
      </w:pPr>
      <w:r>
        <w:rPr>
          <w:rFonts w:ascii="DejaVu Serif" w:hAnsi="DejaVu Serif"/>
          <w:b/>
          <w:bCs/>
        </w:rPr>
        <w:t xml:space="preserve">Architecture Requirements Repository </w:t>
      </w:r>
      <w:r>
        <w:rPr>
          <w:rFonts w:ascii="DejaVu Serif" w:hAnsi="DejaVu Serif"/>
        </w:rPr>
        <w:t>— record of all architecture requirements being managed.</w:t>
      </w:r>
    </w:p>
    <w:p>
      <w:pPr>
        <w:pStyle w:val="ListParagraph"/>
        <w:numPr>
          <w:ilvl w:val="0"/>
          <w:numId w:val="2"/>
        </w:numPr>
        <w:spacing w:lineRule="auto" w:line="281" w:before="0" w:after="80"/>
        <w:jc w:val="both"/>
        <w:rPr/>
      </w:pPr>
      <w:r>
        <w:rPr>
          <w:rFonts w:ascii="DejaVu Serif" w:hAnsi="DejaVu Serif"/>
          <w:b/>
          <w:bCs/>
        </w:rPr>
        <w:t>Solutions Landscape —</w:t>
      </w:r>
      <w:r>
        <w:rPr>
          <w:rFonts w:ascii="DejaVu Serif" w:hAnsi="DejaVu Serif"/>
        </w:rPr>
        <w:t xml:space="preserve"> actual solutions deployed to realise the architecture.</w:t>
      </w:r>
    </w:p>
    <w:tbl>
      <w:tblPr>
        <w:tblW w:w="9360" w:type="dxa"/>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BodyText"/>
              <w:spacing w:before="0" w:after="140"/>
              <w:jc w:val="both"/>
              <w:rPr>
                <w:rFonts w:ascii="DejaVu Serif" w:hAnsi="DejaVu Serif"/>
              </w:rPr>
            </w:pPr>
            <w:r>
              <w:rPr>
                <w:rFonts w:ascii="DejaVu Serif" w:hAnsi="DejaVu Serif"/>
                <w:b/>
                <w:bCs/>
                <w:color w:val="1F4E78"/>
              </w:rPr>
              <w:t xml:space="preserve">🔑 </w:t>
            </w:r>
            <w:r>
              <w:rPr>
                <w:rFonts w:ascii="DejaVu Serif" w:hAnsi="DejaVu Serif"/>
                <w:b/>
                <w:bCs/>
                <w:color w:val="1F4E78"/>
              </w:rPr>
              <w:t xml:space="preserve">Architecture Repository: </w:t>
            </w:r>
            <w:r>
              <w:rPr>
                <w:rFonts w:ascii="DejaVu Serif" w:hAnsi="DejaVu Serif"/>
              </w:rPr>
              <w:t>The structured store of all architecture-related material in the enterprise: metamodel, current/target/transition architectures, standards, reference models, governance records, and requirements.</w:t>
            </w:r>
          </w:p>
        </w:tc>
      </w:tr>
      <w:tr>
        <w:trPr/>
        <w:tc>
          <w:tcPr>
            <w:tcW w:w="9360" w:type="dxa"/>
            <w:tcBorders>
              <w:top w:val="single" w:sz="8" w:space="0" w:color="C9A227"/>
              <w:left w:val="single" w:sz="24" w:space="0" w:color="C9A227"/>
              <w:bottom w:val="single" w:sz="8" w:space="0" w:color="C9A227"/>
              <w:right w:val="single" w:sz="4" w:space="0" w:color="C9A227"/>
            </w:tcBorders>
            <w:shd w:fill="FFF4CE" w:val="clear"/>
            <w:tcMar>
              <w:top w:w="160" w:type="dxa"/>
              <w:left w:w="200" w:type="dxa"/>
              <w:bottom w:w="160" w:type="dxa"/>
              <w:right w:w="200" w:type="dxa"/>
            </w:tcMar>
          </w:tcPr>
          <w:p>
            <w:pPr>
              <w:pStyle w:val="BodyText"/>
              <w:jc w:val="both"/>
              <w:rPr>
                <w:rFonts w:ascii="DejaVu Serif" w:hAnsi="DejaVu Serif"/>
              </w:rPr>
            </w:pPr>
            <w:r>
              <w:rPr>
                <w:rFonts w:ascii="DejaVu Serif" w:hAnsi="DejaVu Serif"/>
                <w:b/>
                <w:bCs/>
              </w:rPr>
              <w:t xml:space="preserve">Continuum vs Repository </w:t>
            </w:r>
            <w:r>
              <w:rPr>
                <w:rFonts w:ascii="DejaVu Serif" w:hAnsi="DejaVu Serif"/>
              </w:rPr>
              <w:t>— A Common Confusion</w:t>
            </w:r>
          </w:p>
          <w:p>
            <w:pPr>
              <w:pStyle w:val="BodyText"/>
              <w:spacing w:before="0" w:after="140"/>
              <w:jc w:val="both"/>
              <w:rPr>
                <w:rFonts w:ascii="DejaVu Serif" w:hAnsi="DejaVu Serif"/>
              </w:rPr>
            </w:pPr>
            <w:r>
              <w:rPr>
                <w:rFonts w:ascii="DejaVu Serif" w:hAnsi="DejaVu Serif"/>
              </w:rPr>
              <w:t>The Enterprise Continuum is a classification (a way to talk about content from generic to specific). The Architecture Repository is a store (where the content actually lives). The Continuum tells you how to label and locate things; the Repository is where they sit. You can think of the Continuum as the Dewey Decimal System and the Repository as the actual library shelves.</w:t>
            </w:r>
          </w:p>
        </w:tc>
      </w:tr>
    </w:tbl>
    <w:p>
      <w:pPr>
        <w:pStyle w:val="Heading2"/>
        <w:spacing w:before="280" w:after="160"/>
        <w:rPr/>
      </w:pPr>
      <w:r>
        <w:rPr>
          <w:b/>
          <w:bCs/>
          <w:color w:val="2E75B6"/>
        </w:rPr>
        <w:t>9.5 The Architecture Capability Framework</w:t>
      </w:r>
    </w:p>
    <w:p>
      <w:pPr>
        <w:pStyle w:val="BodyText"/>
        <w:jc w:val="both"/>
        <w:rPr>
          <w:rFonts w:ascii="DejaVu Serif" w:hAnsi="DejaVu Serif"/>
        </w:rPr>
      </w:pPr>
      <w:r>
        <w:rPr>
          <w:rFonts w:ascii="DejaVu Serif" w:hAnsi="DejaVu Serif"/>
        </w:rPr>
        <w:t>The Architecture Capability Framework describes the people, processes, skills, roles, and tools required to establish and operate an architecture practice in an enterprise. It is the answer to the question: "how do we set up our organisation to actually do architecture?"</w:t>
      </w:r>
    </w:p>
    <w:p>
      <w:pPr>
        <w:pStyle w:val="Heading3"/>
        <w:spacing w:before="220" w:after="120"/>
        <w:rPr/>
      </w:pPr>
      <w:r>
        <w:rPr>
          <w:b/>
          <w:bCs/>
          <w:color w:val="404040"/>
        </w:rPr>
        <w:t>Key Elements</w:t>
      </w:r>
    </w:p>
    <w:p>
      <w:pPr>
        <w:pStyle w:val="ListParagraph"/>
        <w:numPr>
          <w:ilvl w:val="0"/>
          <w:numId w:val="2"/>
        </w:numPr>
        <w:spacing w:lineRule="auto" w:line="281" w:before="0" w:after="80"/>
        <w:rPr>
          <w:rFonts w:ascii="DejaVu Serif" w:hAnsi="DejaVu Serif"/>
        </w:rPr>
      </w:pPr>
      <w:r>
        <w:rPr>
          <w:rFonts w:ascii="DejaVu Serif" w:hAnsi="DejaVu Serif"/>
          <w:b/>
          <w:bCs/>
        </w:rPr>
        <w:t>Architecture Board</w:t>
      </w:r>
      <w:r>
        <w:rPr>
          <w:rFonts w:ascii="DejaVu Serif" w:hAnsi="DejaVu Serif"/>
        </w:rPr>
        <w:t xml:space="preserve"> — the cross-organisational body responsible for governing architecture decisions.</w:t>
      </w:r>
    </w:p>
    <w:p>
      <w:pPr>
        <w:pStyle w:val="ListParagraph"/>
        <w:numPr>
          <w:ilvl w:val="0"/>
          <w:numId w:val="2"/>
        </w:numPr>
        <w:spacing w:lineRule="auto" w:line="281" w:before="0" w:after="80"/>
        <w:rPr>
          <w:rFonts w:ascii="DejaVu Serif" w:hAnsi="DejaVu Serif"/>
        </w:rPr>
      </w:pPr>
      <w:r>
        <w:rPr>
          <w:rFonts w:ascii="DejaVu Serif" w:hAnsi="DejaVu Serif"/>
          <w:b/>
          <w:bCs/>
        </w:rPr>
        <w:t>Architecture Governance</w:t>
      </w:r>
      <w:r>
        <w:rPr>
          <w:rFonts w:ascii="DejaVu Serif" w:hAnsi="DejaVu Serif"/>
        </w:rPr>
        <w:t xml:space="preserve"> — the processes, structures, and behaviours that ensure architecture decisions are made, communicated, and adhered to.</w:t>
      </w:r>
    </w:p>
    <w:p>
      <w:pPr>
        <w:pStyle w:val="ListParagraph"/>
        <w:numPr>
          <w:ilvl w:val="0"/>
          <w:numId w:val="2"/>
        </w:numPr>
        <w:spacing w:lineRule="auto" w:line="281" w:before="0" w:after="80"/>
        <w:rPr>
          <w:rFonts w:ascii="DejaVu Serif" w:hAnsi="DejaVu Serif"/>
        </w:rPr>
      </w:pPr>
      <w:r>
        <w:rPr>
          <w:rFonts w:ascii="DejaVu Serif" w:hAnsi="DejaVu Serif"/>
          <w:b/>
          <w:bCs/>
        </w:rPr>
        <w:t xml:space="preserve">Architecture Compliance </w:t>
      </w:r>
      <w:r>
        <w:rPr>
          <w:rFonts w:ascii="DejaVu Serif" w:hAnsi="DejaVu Serif"/>
        </w:rPr>
        <w:t>— the formal review of projects against the architecture, with possible outcomes ranging from compliant to non-compliant or requiring dispensation.</w:t>
      </w:r>
    </w:p>
    <w:p>
      <w:pPr>
        <w:pStyle w:val="ListParagraph"/>
        <w:numPr>
          <w:ilvl w:val="0"/>
          <w:numId w:val="2"/>
        </w:numPr>
        <w:spacing w:lineRule="auto" w:line="281" w:before="0" w:after="80"/>
        <w:rPr>
          <w:rFonts w:ascii="DejaVu Serif" w:hAnsi="DejaVu Serif"/>
        </w:rPr>
      </w:pPr>
      <w:r>
        <w:rPr>
          <w:rFonts w:ascii="DejaVu Serif" w:hAnsi="DejaVu Serif"/>
          <w:b/>
          <w:bCs/>
        </w:rPr>
        <w:t xml:space="preserve">Architecture Skills Framework </w:t>
      </w:r>
      <w:r>
        <w:rPr>
          <w:rFonts w:ascii="DejaVu Serif" w:hAnsi="DejaVu Serif"/>
        </w:rPr>
        <w:t>— defined skill categories and proficiency levels for the various architect roles (Enterprise, Business, Data, Application, Technology, Solution).</w:t>
      </w:r>
    </w:p>
    <w:p>
      <w:pPr>
        <w:pStyle w:val="ListParagraph"/>
        <w:numPr>
          <w:ilvl w:val="0"/>
          <w:numId w:val="2"/>
        </w:numPr>
        <w:spacing w:lineRule="auto" w:line="281" w:before="0" w:after="80"/>
        <w:rPr>
          <w:rFonts w:ascii="DejaVu Serif" w:hAnsi="DejaVu Serif"/>
        </w:rPr>
      </w:pPr>
      <w:r>
        <w:rPr>
          <w:rFonts w:ascii="DejaVu Serif" w:hAnsi="DejaVu Serif"/>
          <w:b/>
          <w:bCs/>
        </w:rPr>
        <w:t xml:space="preserve">Architecture Contracts </w:t>
      </w:r>
      <w:r>
        <w:rPr>
          <w:rFonts w:ascii="DejaVu Serif" w:hAnsi="DejaVu Serif"/>
        </w:rPr>
        <w:t>— formal agreements between architecture providers and consumers (development teams, business sponsors).</w:t>
      </w:r>
    </w:p>
    <w:tbl>
      <w:tblPr>
        <w:tblW w:w="9360" w:type="dxa"/>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999999"/>
              <w:left w:val="single" w:sz="4" w:space="0" w:color="999999"/>
              <w:bottom w:val="single" w:sz="4" w:space="0" w:color="999999"/>
              <w:right w:val="single" w:sz="4" w:space="0" w:color="999999"/>
            </w:tcBorders>
            <w:shd w:fill="F2F2F2" w:val="clear"/>
          </w:tcPr>
          <w:p>
            <w:pPr>
              <w:pStyle w:val="Normal"/>
              <w:spacing w:before="0" w:after="60"/>
              <w:rPr/>
            </w:pPr>
            <w:r>
              <w:rPr>
                <w:b/>
                <w:bCs/>
                <w:color w:val="1F4E78"/>
              </w:rPr>
              <w:t xml:space="preserve">🔑 </w:t>
            </w:r>
            <w:r>
              <w:rPr>
                <w:b/>
                <w:bCs/>
                <w:color w:val="1F4E78"/>
              </w:rPr>
              <w:t xml:space="preserve">Architecture Capability Framework: </w:t>
            </w:r>
            <w:r>
              <w:rPr>
                <w:rFonts w:ascii="DejaVu Serif" w:hAnsi="DejaVu Serif"/>
              </w:rPr>
              <w:t>The TOGAF component that describes how to establish and operate an architecture function: the Architecture Board, governance processes, compliance reviews, skills framework, and contracts.</w:t>
            </w:r>
          </w:p>
        </w:tc>
      </w:tr>
      <w:tr>
        <w:trPr/>
        <w:tc>
          <w:tcPr>
            <w:tcW w:w="9360" w:type="dxa"/>
            <w:tcBorders>
              <w:top w:val="single" w:sz="8" w:space="0" w:color="2E75B6"/>
              <w:left w:val="single" w:sz="24" w:space="0" w:color="2E75B6"/>
              <w:bottom w:val="single" w:sz="8" w:space="0" w:color="2E75B6"/>
              <w:right w:val="single" w:sz="4" w:space="0" w:color="2E75B6"/>
            </w:tcBorders>
            <w:shd w:fill="EAF1F8" w:val="clear"/>
            <w:tcMar>
              <w:top w:w="160" w:type="dxa"/>
              <w:left w:w="200" w:type="dxa"/>
              <w:bottom w:w="160" w:type="dxa"/>
              <w:right w:w="200" w:type="dxa"/>
            </w:tcMar>
          </w:tcPr>
          <w:p>
            <w:pPr>
              <w:pStyle w:val="Normal"/>
              <w:spacing w:before="0" w:after="100"/>
              <w:rPr/>
            </w:pPr>
            <w:r>
              <w:rPr>
                <w:b/>
                <w:bCs/>
                <w:color w:val="1F4E78"/>
              </w:rPr>
              <w:t xml:space="preserve">▶ </w:t>
            </w:r>
            <w:r>
              <w:rPr>
                <w:b/>
                <w:bCs/>
                <w:color w:val="1F4E78"/>
              </w:rPr>
              <w:t>Capability Framework in Practice</w:t>
            </w:r>
          </w:p>
          <w:p>
            <w:pPr>
              <w:pStyle w:val="Normal"/>
              <w:spacing w:lineRule="auto" w:line="281" w:before="0" w:after="60"/>
              <w:jc w:val="both"/>
              <w:rPr>
                <w:rFonts w:ascii="DejaVu Serif" w:hAnsi="DejaVu Serif"/>
              </w:rPr>
            </w:pPr>
            <w:r>
              <w:rPr>
                <w:rFonts w:ascii="DejaVu Serif" w:hAnsi="DejaVu Serif"/>
              </w:rPr>
              <w:t>A retailer creates an Architecture Board chaired by the CIO and including the Heads of Business Architecture, Data Architecture, Security, and Operations. The Board meets monthly. Every project over £500K must come to the Board for an Architecture Compliance Review at design stage.</w:t>
            </w:r>
          </w:p>
          <w:p>
            <w:pPr>
              <w:pStyle w:val="Normal"/>
              <w:spacing w:lineRule="auto" w:line="281" w:before="0" w:after="60"/>
              <w:jc w:val="both"/>
              <w:rPr>
                <w:rFonts w:ascii="DejaVu Serif" w:hAnsi="DejaVu Serif"/>
              </w:rPr>
            </w:pPr>
            <w:r>
              <w:rPr>
                <w:rFonts w:ascii="DejaVu Serif" w:hAnsi="DejaVu Serif"/>
              </w:rPr>
              <w:t>Compliance outcomes are recorded in the Governance Log within the Architecture Repository. Where a project cannot conform (e.g., for time-to-market reasons), the Board may grant a formal dispensation, time-boxed and with a remediation plan.</w:t>
            </w:r>
          </w:p>
          <w:p>
            <w:pPr>
              <w:pStyle w:val="Normal"/>
              <w:spacing w:lineRule="auto" w:line="281" w:before="0" w:after="60"/>
              <w:jc w:val="both"/>
              <w:rPr>
                <w:rFonts w:ascii="DejaVu Serif" w:hAnsi="DejaVu Serif"/>
              </w:rPr>
            </w:pPr>
            <w:r>
              <w:rPr>
                <w:rFonts w:ascii="DejaVu Serif" w:hAnsi="DejaVu Serif"/>
              </w:rPr>
              <w:t>The Architecture Skills Framework is used by HR to define role profiles and by the architects themselves to plan their own development. Architecture Contracts are signed at the start of each project, defining what the architects will deliver and what the development team commits to in return.</w:t>
            </w:r>
          </w:p>
        </w:tc>
      </w:tr>
    </w:tbl>
    <w:p>
      <w:pPr>
        <w:pStyle w:val="Heading2"/>
        <w:spacing w:before="280" w:after="160"/>
        <w:rPr/>
      </w:pPr>
      <w:r>
        <w:rPr>
          <w:b/>
          <w:bCs/>
          <w:color w:val="2E75B6"/>
        </w:rPr>
        <w:t>9.6 How the Five Components Fit Together</w:t>
      </w:r>
    </w:p>
    <w:p>
      <w:pPr>
        <w:pStyle w:val="BodyText"/>
        <w:rPr/>
      </w:pPr>
      <w:r>
        <w:rPr/>
        <w:t>The five core components are not five separate frameworks. They are five facets of one integrated whole, each addressing a different question about doing enterprise architecture:</w:t>
      </w:r>
    </w:p>
    <w:p>
      <w:pPr>
        <w:pStyle w:val="Normal"/>
        <w:jc w:val="both"/>
        <w:rPr>
          <w:rFonts w:ascii="DejaVu Serif" w:hAnsi="DejaVu Serif"/>
        </w:rPr>
      </w:pPr>
      <w:r>
        <w:rPr>
          <w:rFonts w:ascii="DejaVu Serif" w:hAnsi="DejaVu Serif"/>
        </w:rPr>
      </w:r>
    </w:p>
    <w:tbl>
      <w:tblPr>
        <w:tblW w:w="9360" w:type="dxa"/>
        <w:jc w:val="left"/>
        <w:tblInd w:w="0" w:type="dxa"/>
        <w:tblLayout w:type="fixed"/>
        <w:tblCellMar>
          <w:top w:w="100" w:type="dxa"/>
          <w:left w:w="120" w:type="dxa"/>
          <w:bottom w:w="100" w:type="dxa"/>
          <w:right w:w="120" w:type="dxa"/>
        </w:tblCellMar>
      </w:tblPr>
      <w:tblGrid>
        <w:gridCol w:w="3498"/>
        <w:gridCol w:w="5861"/>
      </w:tblGrid>
      <w:tr>
        <w:trPr>
          <w:tblHeader w:val="true"/>
        </w:trPr>
        <w:tc>
          <w:tcPr>
            <w:tcW w:w="3498" w:type="dxa"/>
            <w:tcBorders>
              <w:top w:val="single" w:sz="4" w:space="0" w:color="999999"/>
              <w:left w:val="single" w:sz="4" w:space="0" w:color="999999"/>
              <w:bottom w:val="single" w:sz="4" w:space="0" w:color="999999"/>
              <w:right w:val="single" w:sz="4" w:space="0" w:color="999999"/>
            </w:tcBorders>
            <w:shd w:fill="1F4E78" w:val="clear"/>
          </w:tcPr>
          <w:p>
            <w:pPr>
              <w:pStyle w:val="Normal"/>
              <w:rPr>
                <w:rFonts w:ascii="DejaVu Serif" w:hAnsi="DejaVu Serif"/>
                <w:sz w:val="20"/>
                <w:szCs w:val="20"/>
              </w:rPr>
            </w:pPr>
            <w:r>
              <w:rPr>
                <w:rFonts w:ascii="DejaVu Serif" w:hAnsi="DejaVu Serif"/>
                <w:b/>
                <w:bCs/>
                <w:color w:val="FFFFFF"/>
                <w:sz w:val="20"/>
                <w:szCs w:val="20"/>
              </w:rPr>
              <w:t>Component</w:t>
            </w:r>
          </w:p>
        </w:tc>
        <w:tc>
          <w:tcPr>
            <w:tcW w:w="5861" w:type="dxa"/>
            <w:tcBorders>
              <w:top w:val="single" w:sz="4" w:space="0" w:color="999999"/>
              <w:left w:val="single" w:sz="4" w:space="0" w:color="999999"/>
              <w:bottom w:val="single" w:sz="4" w:space="0" w:color="999999"/>
              <w:right w:val="single" w:sz="4" w:space="0" w:color="999999"/>
            </w:tcBorders>
            <w:shd w:fill="1F4E78" w:val="clear"/>
          </w:tcPr>
          <w:p>
            <w:pPr>
              <w:pStyle w:val="Normal"/>
              <w:rPr>
                <w:rFonts w:ascii="DejaVu Serif" w:hAnsi="DejaVu Serif"/>
                <w:sz w:val="20"/>
                <w:szCs w:val="20"/>
              </w:rPr>
            </w:pPr>
            <w:r>
              <w:rPr>
                <w:rFonts w:ascii="DejaVu Serif" w:hAnsi="DejaVu Serif"/>
                <w:b/>
                <w:bCs/>
                <w:color w:val="FFFFFF"/>
                <w:sz w:val="20"/>
                <w:szCs w:val="20"/>
              </w:rPr>
              <w:t>Question It Answers</w:t>
            </w:r>
          </w:p>
        </w:tc>
      </w:tr>
      <w:tr>
        <w:trPr/>
        <w:tc>
          <w:tcPr>
            <w:tcW w:w="3498"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sz w:val="20"/>
                <w:szCs w:val="20"/>
              </w:rPr>
            </w:pPr>
            <w:r>
              <w:rPr>
                <w:rFonts w:ascii="DejaVu Serif" w:hAnsi="DejaVu Serif"/>
                <w:sz w:val="20"/>
                <w:szCs w:val="20"/>
              </w:rPr>
              <w:t>Architecture Development Method (ADM)</w:t>
            </w:r>
          </w:p>
        </w:tc>
        <w:tc>
          <w:tcPr>
            <w:tcW w:w="586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sz w:val="20"/>
                <w:szCs w:val="20"/>
              </w:rPr>
            </w:pPr>
            <w:r>
              <w:rPr>
                <w:rFonts w:ascii="DejaVu Serif" w:hAnsi="DejaVu Serif"/>
                <w:sz w:val="20"/>
                <w:szCs w:val="20"/>
              </w:rPr>
              <w:t>How do we develop the architecture?</w:t>
            </w:r>
          </w:p>
        </w:tc>
      </w:tr>
      <w:tr>
        <w:trPr/>
        <w:tc>
          <w:tcPr>
            <w:tcW w:w="3498"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sz w:val="20"/>
                <w:szCs w:val="20"/>
              </w:rPr>
            </w:pPr>
            <w:r>
              <w:rPr>
                <w:rFonts w:ascii="DejaVu Serif" w:hAnsi="DejaVu Serif"/>
                <w:sz w:val="20"/>
                <w:szCs w:val="20"/>
              </w:rPr>
              <w:t>Architecture Content Framework</w:t>
            </w:r>
          </w:p>
        </w:tc>
        <w:tc>
          <w:tcPr>
            <w:tcW w:w="5861"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sz w:val="20"/>
                <w:szCs w:val="20"/>
              </w:rPr>
            </w:pPr>
            <w:r>
              <w:rPr>
                <w:rFonts w:ascii="DejaVu Serif" w:hAnsi="DejaVu Serif"/>
                <w:sz w:val="20"/>
                <w:szCs w:val="20"/>
              </w:rPr>
              <w:t>What do we produce when we develop it?</w:t>
            </w:r>
          </w:p>
        </w:tc>
      </w:tr>
      <w:tr>
        <w:trPr/>
        <w:tc>
          <w:tcPr>
            <w:tcW w:w="3498"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sz w:val="20"/>
                <w:szCs w:val="20"/>
              </w:rPr>
            </w:pPr>
            <w:r>
              <w:rPr>
                <w:rFonts w:ascii="DejaVu Serif" w:hAnsi="DejaVu Serif"/>
                <w:sz w:val="20"/>
                <w:szCs w:val="20"/>
              </w:rPr>
              <w:t>Enterprise Continuum</w:t>
            </w:r>
          </w:p>
        </w:tc>
        <w:tc>
          <w:tcPr>
            <w:tcW w:w="586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sz w:val="20"/>
                <w:szCs w:val="20"/>
              </w:rPr>
            </w:pPr>
            <w:r>
              <w:rPr>
                <w:rFonts w:ascii="DejaVu Serif" w:hAnsi="DejaVu Serif"/>
                <w:sz w:val="20"/>
                <w:szCs w:val="20"/>
              </w:rPr>
              <w:t>How do we classify and reuse what we produce?</w:t>
            </w:r>
          </w:p>
        </w:tc>
      </w:tr>
      <w:tr>
        <w:trPr/>
        <w:tc>
          <w:tcPr>
            <w:tcW w:w="3498"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sz w:val="20"/>
                <w:szCs w:val="20"/>
              </w:rPr>
            </w:pPr>
            <w:r>
              <w:rPr>
                <w:rFonts w:ascii="DejaVu Serif" w:hAnsi="DejaVu Serif"/>
                <w:sz w:val="20"/>
                <w:szCs w:val="20"/>
              </w:rPr>
              <w:t>Architecture Repository</w:t>
            </w:r>
          </w:p>
        </w:tc>
        <w:tc>
          <w:tcPr>
            <w:tcW w:w="5861"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Normal"/>
              <w:spacing w:lineRule="auto" w:line="262" w:before="0" w:after="40"/>
              <w:rPr>
                <w:rFonts w:ascii="DejaVu Serif" w:hAnsi="DejaVu Serif"/>
                <w:sz w:val="20"/>
                <w:szCs w:val="20"/>
              </w:rPr>
            </w:pPr>
            <w:r>
              <w:rPr>
                <w:rFonts w:ascii="DejaVu Serif" w:hAnsi="DejaVu Serif"/>
                <w:sz w:val="20"/>
                <w:szCs w:val="20"/>
              </w:rPr>
              <w:t>Where do we store what we produce?</w:t>
            </w:r>
          </w:p>
        </w:tc>
      </w:tr>
      <w:tr>
        <w:trPr/>
        <w:tc>
          <w:tcPr>
            <w:tcW w:w="3498"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sz w:val="20"/>
                <w:szCs w:val="20"/>
              </w:rPr>
            </w:pPr>
            <w:r>
              <w:rPr>
                <w:rFonts w:ascii="DejaVu Serif" w:hAnsi="DejaVu Serif"/>
                <w:sz w:val="20"/>
                <w:szCs w:val="20"/>
              </w:rPr>
              <w:t>Architecture Capability Framework</w:t>
            </w:r>
          </w:p>
        </w:tc>
        <w:tc>
          <w:tcPr>
            <w:tcW w:w="5861"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Normal"/>
              <w:spacing w:lineRule="auto" w:line="262" w:before="0" w:after="40"/>
              <w:rPr>
                <w:rFonts w:ascii="DejaVu Serif" w:hAnsi="DejaVu Serif"/>
                <w:sz w:val="20"/>
                <w:szCs w:val="20"/>
              </w:rPr>
            </w:pPr>
            <w:r>
              <w:rPr>
                <w:rFonts w:ascii="DejaVu Serif" w:hAnsi="DejaVu Serif"/>
                <w:sz w:val="20"/>
                <w:szCs w:val="20"/>
              </w:rPr>
              <w:t>Who develops it, and how is the practice run?</w:t>
            </w:r>
          </w:p>
        </w:tc>
      </w:tr>
    </w:tbl>
    <w:p>
      <w:pPr>
        <w:pStyle w:val="Normal"/>
        <w:jc w:val="both"/>
        <w:rPr>
          <w:rFonts w:ascii="DejaVu Serif" w:hAnsi="DejaVu Serif"/>
        </w:rPr>
      </w:pPr>
      <w:r>
        <w:rPr/>
      </w:r>
    </w:p>
    <w:p>
      <w:pPr>
        <w:pStyle w:val="BodyText"/>
        <w:jc w:val="both"/>
        <w:rPr>
          <w:rFonts w:ascii="DejaVu Serif" w:hAnsi="DejaVu Serif"/>
        </w:rPr>
      </w:pPr>
      <w:r>
        <w:rPr>
          <w:rFonts w:ascii="DejaVu Serif" w:hAnsi="DejaVu Serif"/>
        </w:rPr>
        <w:t>In a properly TOGAF-aligned enterprise, the Architecture Capability Framework establishes the practice and the Board; the practice runs the ADM to produce architectures; the ADM is shaped by the Content Framework to ensure consistent deliverables; finished work is classified using the Enterprise Continuum and stored in the Architecture Repository; and the Board governs the whole life cycle, drawing on the same Repository for evidence.</w:t>
      </w:r>
    </w:p>
    <w:p>
      <w:pPr>
        <w:pStyle w:val="Normal"/>
        <w:jc w:val="both"/>
        <w:rPr>
          <w:rFonts w:ascii="DejaVu Serif" w:hAnsi="DejaVu Serif"/>
        </w:rPr>
      </w:pPr>
      <w:r>
        <w:rPr/>
      </w:r>
    </w:p>
    <w:p>
      <w:pPr>
        <w:pStyle w:val="Heading1"/>
        <w:spacing w:before="0" w:after="200"/>
        <w:rPr/>
      </w:pPr>
      <w:r>
        <w:drawing>
          <wp:anchor behindDoc="0" distT="0" distB="0" distL="0" distR="0" simplePos="0" locked="0" layoutInCell="0" allowOverlap="1" relativeHeight="3">
            <wp:simplePos x="0" y="0"/>
            <wp:positionH relativeFrom="column">
              <wp:posOffset>-9525</wp:posOffset>
            </wp:positionH>
            <wp:positionV relativeFrom="paragraph">
              <wp:posOffset>17780</wp:posOffset>
            </wp:positionV>
            <wp:extent cx="6219825" cy="621982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219825" cy="6219825"/>
                    </a:xfrm>
                    <a:prstGeom prst="rect">
                      <a:avLst/>
                    </a:prstGeom>
                    <a:noFill/>
                  </pic:spPr>
                </pic:pic>
              </a:graphicData>
            </a:graphic>
          </wp:anchor>
        </w:drawing>
      </w:r>
      <w:r>
        <w:rPr>
          <w:b/>
          <w:bCs/>
          <w:color w:val="1F4E78"/>
        </w:rPr>
        <w:t>10. Summary and Review</w:t>
      </w:r>
    </w:p>
    <w:p>
      <w:pPr>
        <w:pStyle w:val="Heading2"/>
        <w:spacing w:before="280" w:after="160"/>
        <w:rPr/>
      </w:pPr>
      <w:r>
        <w:rPr>
          <w:b/>
          <w:bCs/>
          <w:color w:val="2E75B6"/>
        </w:rPr>
        <w:t>10.1 The Big Picture</w:t>
      </w:r>
    </w:p>
    <w:p>
      <w:pPr>
        <w:pStyle w:val="BodyText"/>
        <w:jc w:val="both"/>
        <w:rPr>
          <w:rFonts w:ascii="DejaVu Serif" w:hAnsi="DejaVu Serif"/>
        </w:rPr>
      </w:pPr>
      <w:r>
        <w:rPr>
          <w:rFonts w:ascii="DejaVu Serif" w:hAnsi="DejaVu Serif"/>
        </w:rPr>
        <w:t>If you remember nothing else, remember this. TOGAF is an open, vendor-neutral framework for doing enterprise architecture. It exists because organisations that grow without architectural discipline collapse into fragmentation, duplication, drift, lock-in, risk-blindness, and inability to change. TOGAF gives those organisations a common vocabulary, a repeatable method, a structured set of deliverables, a way to classify and reuse content, a place to store it, and a model for how to run the practice. Compared with peer frameworks, TOGAF is the most methodology-rich and the most widely adopted.</w:t>
      </w:r>
    </w:p>
    <w:p>
      <w:pPr>
        <w:pStyle w:val="Heading2"/>
        <w:spacing w:before="280" w:after="160"/>
        <w:rPr/>
      </w:pPr>
      <w:r>
        <w:rPr>
          <w:b/>
          <w:bCs/>
          <w:color w:val="2E75B6"/>
        </w:rPr>
        <w:t>10.2 Quick-Reference Summary Table</w:t>
      </w:r>
    </w:p>
    <w:tbl>
      <w:tblPr>
        <w:tblW w:w="9360" w:type="dxa"/>
        <w:jc w:val="left"/>
        <w:tblInd w:w="0" w:type="dxa"/>
        <w:tblLayout w:type="fixed"/>
        <w:tblCellMar>
          <w:top w:w="100" w:type="dxa"/>
          <w:left w:w="120" w:type="dxa"/>
          <w:bottom w:w="100" w:type="dxa"/>
          <w:right w:w="120" w:type="dxa"/>
        </w:tblCellMar>
      </w:tblPr>
      <w:tblGrid>
        <w:gridCol w:w="2369"/>
        <w:gridCol w:w="6990"/>
      </w:tblGrid>
      <w:tr>
        <w:trPr>
          <w:tblHeader w:val="true"/>
        </w:trPr>
        <w:tc>
          <w:tcPr>
            <w:tcW w:w="2369"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b/>
                <w:bCs/>
                <w:sz w:val="20"/>
                <w:szCs w:val="20"/>
              </w:rPr>
            </w:pPr>
            <w:r>
              <w:rPr>
                <w:rFonts w:ascii="DejaVu Serif" w:hAnsi="DejaVu Serif"/>
                <w:b/>
                <w:bCs/>
                <w:sz w:val="20"/>
                <w:szCs w:val="20"/>
              </w:rPr>
              <w:t>Topic</w:t>
            </w:r>
          </w:p>
        </w:tc>
        <w:tc>
          <w:tcPr>
            <w:tcW w:w="6990" w:type="dxa"/>
            <w:tcBorders>
              <w:top w:val="single" w:sz="4" w:space="0" w:color="999999"/>
              <w:left w:val="single" w:sz="4" w:space="0" w:color="999999"/>
              <w:bottom w:val="single" w:sz="4" w:space="0" w:color="999999"/>
              <w:right w:val="single" w:sz="4" w:space="0" w:color="999999"/>
            </w:tcBorders>
            <w:shd w:fill="1F4E78" w:val="clear"/>
          </w:tcPr>
          <w:p>
            <w:pPr>
              <w:pStyle w:val="BodyText"/>
              <w:spacing w:before="0" w:after="140"/>
              <w:rPr>
                <w:rFonts w:ascii="DejaVu Serif" w:hAnsi="DejaVu Serif"/>
                <w:b/>
                <w:bCs/>
                <w:sz w:val="20"/>
                <w:szCs w:val="20"/>
              </w:rPr>
            </w:pPr>
            <w:r>
              <w:rPr>
                <w:rFonts w:ascii="DejaVu Serif" w:hAnsi="DejaVu Serif"/>
                <w:b/>
                <w:bCs/>
                <w:sz w:val="20"/>
                <w:szCs w:val="20"/>
              </w:rPr>
              <w:t>One-Line Takeaway</w:t>
            </w:r>
          </w:p>
        </w:tc>
      </w:tr>
      <w:tr>
        <w:trPr/>
        <w:tc>
          <w:tcPr>
            <w:tcW w:w="236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What is TOGAF</w:t>
            </w:r>
          </w:p>
        </w:tc>
        <w:tc>
          <w:tcPr>
            <w:tcW w:w="699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Open, vendor-neutral EA framework owned by The Open Group.</w:t>
            </w:r>
          </w:p>
        </w:tc>
      </w:tr>
      <w:tr>
        <w:trPr/>
        <w:tc>
          <w:tcPr>
            <w:tcW w:w="236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TAFIM</w:t>
            </w:r>
          </w:p>
        </w:tc>
        <w:tc>
          <w:tcPr>
            <w:tcW w:w="699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1990 U.S. DoD framework that became TOGAF when transferred to The Open Group in 1995.</w:t>
            </w:r>
          </w:p>
        </w:tc>
      </w:tr>
      <w:tr>
        <w:trPr/>
        <w:tc>
          <w:tcPr>
            <w:tcW w:w="236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TOGAF 1</w:t>
            </w:r>
          </w:p>
        </w:tc>
        <w:tc>
          <w:tcPr>
            <w:tcW w:w="699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1995 — first publication of TOGAF as an open standard.</w:t>
            </w:r>
          </w:p>
        </w:tc>
      </w:tr>
      <w:tr>
        <w:trPr/>
        <w:tc>
          <w:tcPr>
            <w:tcW w:w="236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TOGAF 9</w:t>
            </w:r>
          </w:p>
        </w:tc>
        <w:tc>
          <w:tcPr>
            <w:tcW w:w="699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2009 — modular structure, Content Framework, Continuum, Capability Framework formalised.</w:t>
            </w:r>
          </w:p>
        </w:tc>
      </w:tr>
      <w:tr>
        <w:trPr/>
        <w:tc>
          <w:tcPr>
            <w:tcW w:w="236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TOGAF 9.2</w:t>
            </w:r>
          </w:p>
        </w:tc>
        <w:tc>
          <w:tcPr>
            <w:tcW w:w="699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2018 — refinements, especially Business Architecture, last single-book version.</w:t>
            </w:r>
          </w:p>
        </w:tc>
      </w:tr>
      <w:tr>
        <w:trPr/>
        <w:tc>
          <w:tcPr>
            <w:tcW w:w="236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TOGAF 10</w:t>
            </w:r>
          </w:p>
        </w:tc>
        <w:tc>
          <w:tcPr>
            <w:tcW w:w="699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2022 — split into Fundamental Content + Series Guides; certifications renamed.</w:t>
            </w:r>
          </w:p>
        </w:tc>
      </w:tr>
      <w:tr>
        <w:trPr/>
        <w:tc>
          <w:tcPr>
            <w:tcW w:w="236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The Open Group</w:t>
            </w:r>
          </w:p>
        </w:tc>
        <w:tc>
          <w:tcPr>
            <w:tcW w:w="699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Vendor-neutral standards consortium that owns and governs TOGAF.</w:t>
            </w:r>
          </w:p>
        </w:tc>
      </w:tr>
      <w:tr>
        <w:trPr/>
        <w:tc>
          <w:tcPr>
            <w:tcW w:w="236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Fundamental Content</w:t>
            </w:r>
          </w:p>
        </w:tc>
        <w:tc>
          <w:tcPr>
            <w:tcW w:w="699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Stable core: ADM, Content Framework, Continuum, Capability Framework.</w:t>
            </w:r>
          </w:p>
        </w:tc>
      </w:tr>
      <w:tr>
        <w:trPr/>
        <w:tc>
          <w:tcPr>
            <w:tcW w:w="236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Series Guides</w:t>
            </w:r>
          </w:p>
        </w:tc>
        <w:tc>
          <w:tcPr>
            <w:tcW w:w="699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Topic-specific, independently updated guides complementing the core.</w:t>
            </w:r>
          </w:p>
        </w:tc>
      </w:tr>
      <w:tr>
        <w:trPr/>
        <w:tc>
          <w:tcPr>
            <w:tcW w:w="236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EA (TOGAF/Gartner/IEEE 42010)</w:t>
            </w:r>
          </w:p>
        </w:tc>
        <w:tc>
          <w:tcPr>
            <w:tcW w:w="699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Structure, relationships, principles, evolution — applied at enterprise scope.</w:t>
            </w:r>
          </w:p>
        </w:tc>
      </w:tr>
      <w:tr>
        <w:trPr/>
        <w:tc>
          <w:tcPr>
            <w:tcW w:w="236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6 Failure Patterns</w:t>
            </w:r>
          </w:p>
        </w:tc>
        <w:tc>
          <w:tcPr>
            <w:tcW w:w="699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Fragmentation, Duplication, Drift, Lock-in, Risk Blindness, Inability to Change.</w:t>
            </w:r>
          </w:p>
        </w:tc>
      </w:tr>
      <w:tr>
        <w:trPr/>
        <w:tc>
          <w:tcPr>
            <w:tcW w:w="236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Zachman</w:t>
            </w:r>
          </w:p>
        </w:tc>
        <w:tc>
          <w:tcPr>
            <w:tcW w:w="699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Classification ontology (6×6 matrix), descriptive not prescriptive.</w:t>
            </w:r>
          </w:p>
        </w:tc>
      </w:tr>
      <w:tr>
        <w:trPr/>
        <w:tc>
          <w:tcPr>
            <w:tcW w:w="236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FEAF</w:t>
            </w:r>
          </w:p>
        </w:tc>
        <w:tc>
          <w:tcPr>
            <w:tcW w:w="699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U.S. federal EA framework with mandated reference models.</w:t>
            </w:r>
          </w:p>
        </w:tc>
      </w:tr>
      <w:tr>
        <w:trPr/>
        <w:tc>
          <w:tcPr>
            <w:tcW w:w="236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DoDAF</w:t>
            </w:r>
          </w:p>
        </w:tc>
        <w:tc>
          <w:tcPr>
            <w:tcW w:w="699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U.S. Department of Defense framework, viewpoint-based, mandatory for defence.</w:t>
            </w:r>
          </w:p>
        </w:tc>
      </w:tr>
      <w:tr>
        <w:trPr/>
        <w:tc>
          <w:tcPr>
            <w:tcW w:w="236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Gartner EA</w:t>
            </w:r>
          </w:p>
        </w:tc>
        <w:tc>
          <w:tcPr>
            <w:tcW w:w="699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Outcome-focused methodology + advisory, not a published standard.</w:t>
            </w:r>
          </w:p>
        </w:tc>
      </w:tr>
      <w:tr>
        <w:trPr/>
        <w:tc>
          <w:tcPr>
            <w:tcW w:w="236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ADM</w:t>
            </w:r>
          </w:p>
        </w:tc>
        <w:tc>
          <w:tcPr>
            <w:tcW w:w="699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Iterative phase-based method for architecture development (Preliminary, A–H, Requirements Mgmt).</w:t>
            </w:r>
          </w:p>
        </w:tc>
      </w:tr>
      <w:tr>
        <w:trPr/>
        <w:tc>
          <w:tcPr>
            <w:tcW w:w="236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Content Framework</w:t>
            </w:r>
          </w:p>
        </w:tc>
        <w:tc>
          <w:tcPr>
            <w:tcW w:w="699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Metamodel for deliverables, artefacts, and building blocks (ABB and SBB).</w:t>
            </w:r>
          </w:p>
        </w:tc>
      </w:tr>
      <w:tr>
        <w:trPr/>
        <w:tc>
          <w:tcPr>
            <w:tcW w:w="236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Enterprise Continuum</w:t>
            </w:r>
          </w:p>
        </w:tc>
        <w:tc>
          <w:tcPr>
            <w:tcW w:w="699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Classification from generic to organisation-specific (Architecture + Solutions).</w:t>
            </w:r>
          </w:p>
        </w:tc>
      </w:tr>
      <w:tr>
        <w:trPr/>
        <w:tc>
          <w:tcPr>
            <w:tcW w:w="2369"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Architecture Repository</w:t>
            </w:r>
          </w:p>
        </w:tc>
        <w:tc>
          <w:tcPr>
            <w:tcW w:w="6990" w:type="dxa"/>
            <w:tcBorders>
              <w:top w:val="single" w:sz="4" w:space="0" w:color="999999"/>
              <w:left w:val="single" w:sz="4" w:space="0" w:color="999999"/>
              <w:bottom w:val="single" w:sz="4" w:space="0" w:color="999999"/>
              <w:right w:val="single" w:sz="4" w:space="0" w:color="999999"/>
            </w:tcBorders>
            <w:shd w:fill="FFFFFF"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Physical/logical store for all architecture material.</w:t>
            </w:r>
          </w:p>
        </w:tc>
      </w:tr>
      <w:tr>
        <w:trPr/>
        <w:tc>
          <w:tcPr>
            <w:tcW w:w="2369"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Capability Framework</w:t>
            </w:r>
          </w:p>
        </w:tc>
        <w:tc>
          <w:tcPr>
            <w:tcW w:w="6990" w:type="dxa"/>
            <w:tcBorders>
              <w:top w:val="single" w:sz="4" w:space="0" w:color="999999"/>
              <w:left w:val="single" w:sz="4" w:space="0" w:color="999999"/>
              <w:bottom w:val="single" w:sz="4" w:space="0" w:color="999999"/>
              <w:right w:val="single" w:sz="4" w:space="0" w:color="999999"/>
            </w:tcBorders>
            <w:shd w:fill="EAF1F8" w:val="clear"/>
            <w:tcMar>
              <w:top w:w="80" w:type="dxa"/>
              <w:bottom w:w="80" w:type="dxa"/>
            </w:tcMar>
          </w:tcPr>
          <w:p>
            <w:pPr>
              <w:pStyle w:val="BodyText"/>
              <w:spacing w:before="0" w:after="140"/>
              <w:rPr>
                <w:rFonts w:ascii="DejaVu Serif" w:hAnsi="DejaVu Serif"/>
                <w:sz w:val="20"/>
                <w:szCs w:val="20"/>
              </w:rPr>
            </w:pPr>
            <w:r>
              <w:rPr>
                <w:rFonts w:ascii="DejaVu Serif" w:hAnsi="DejaVu Serif"/>
                <w:sz w:val="20"/>
                <w:szCs w:val="20"/>
              </w:rPr>
              <w:t>How to set up and run the architecture practice (Board, governance, skills, contracts).</w:t>
            </w:r>
          </w:p>
        </w:tc>
      </w:tr>
    </w:tbl>
    <w:p>
      <w:pPr>
        <w:pStyle w:val="Heading2"/>
        <w:spacing w:before="280" w:after="160"/>
        <w:rPr/>
      </w:pPr>
      <w:r>
        <w:rPr>
          <w:b/>
          <w:bCs/>
          <w:color w:val="2E75B6"/>
        </w:rPr>
        <w:t>10.3 Self-Test Questions</w:t>
      </w:r>
    </w:p>
    <w:p>
      <w:pPr>
        <w:pStyle w:val="BodyText"/>
        <w:rPr>
          <w:rFonts w:ascii="DejaVu Serif" w:hAnsi="DejaVu Serif"/>
        </w:rPr>
      </w:pPr>
      <w:r>
        <w:rPr>
          <w:rFonts w:ascii="DejaVu Serif" w:hAnsi="DejaVu Serif"/>
        </w:rPr>
        <w:t>Use these questions to test your understanding before moving to Module 2. Try to answer in your own words before checking back through the guide.</w:t>
      </w:r>
    </w:p>
    <w:p>
      <w:pPr>
        <w:pStyle w:val="ListParagraph"/>
        <w:numPr>
          <w:ilvl w:val="0"/>
          <w:numId w:val="4"/>
        </w:numPr>
        <w:spacing w:lineRule="auto" w:line="281" w:before="0" w:after="80"/>
        <w:rPr>
          <w:rFonts w:ascii="DejaVu Serif" w:hAnsi="DejaVu Serif"/>
        </w:rPr>
      </w:pPr>
      <w:r>
        <w:rPr>
          <w:rFonts w:ascii="DejaVu Serif" w:hAnsi="DejaVu Serif"/>
        </w:rPr>
        <w:t>In one sentence, what is TOGAF and what problem does it solve?</w:t>
      </w:r>
    </w:p>
    <w:p>
      <w:pPr>
        <w:pStyle w:val="ListParagraph"/>
        <w:numPr>
          <w:ilvl w:val="0"/>
          <w:numId w:val="4"/>
        </w:numPr>
        <w:spacing w:lineRule="auto" w:line="281" w:before="0" w:after="80"/>
        <w:rPr>
          <w:rFonts w:ascii="DejaVu Serif" w:hAnsi="DejaVu Serif"/>
        </w:rPr>
      </w:pPr>
      <w:r>
        <w:rPr>
          <w:rFonts w:ascii="DejaVu Serif" w:hAnsi="DejaVu Serif"/>
        </w:rPr>
        <w:t>Name the five major versions of TOGAF and the year each was released.</w:t>
      </w:r>
    </w:p>
    <w:p>
      <w:pPr>
        <w:pStyle w:val="ListParagraph"/>
        <w:numPr>
          <w:ilvl w:val="0"/>
          <w:numId w:val="4"/>
        </w:numPr>
        <w:spacing w:lineRule="auto" w:line="281" w:before="0" w:after="80"/>
        <w:rPr>
          <w:rFonts w:ascii="DejaVu Serif" w:hAnsi="DejaVu Serif"/>
        </w:rPr>
      </w:pPr>
      <w:r>
        <w:rPr>
          <w:rFonts w:ascii="DejaVu Serif" w:hAnsi="DejaVu Serif"/>
        </w:rPr>
        <w:t>Who owns and governs TOGAF, and how is its content developed?</w:t>
      </w:r>
    </w:p>
    <w:p>
      <w:pPr>
        <w:pStyle w:val="ListParagraph"/>
        <w:numPr>
          <w:ilvl w:val="0"/>
          <w:numId w:val="4"/>
        </w:numPr>
        <w:spacing w:lineRule="auto" w:line="281" w:before="0" w:after="80"/>
        <w:rPr>
          <w:rFonts w:ascii="DejaVu Serif" w:hAnsi="DejaVu Serif"/>
        </w:rPr>
      </w:pPr>
      <w:r>
        <w:rPr>
          <w:rFonts w:ascii="DejaVu Serif" w:hAnsi="DejaVu Serif"/>
        </w:rPr>
        <w:t>What is the difference between Fundamental Content and Series Guides? Give an example of each.</w:t>
      </w:r>
    </w:p>
    <w:p>
      <w:pPr>
        <w:pStyle w:val="ListParagraph"/>
        <w:numPr>
          <w:ilvl w:val="0"/>
          <w:numId w:val="4"/>
        </w:numPr>
        <w:spacing w:lineRule="auto" w:line="281" w:before="0" w:after="80"/>
        <w:rPr>
          <w:rFonts w:ascii="DejaVu Serif" w:hAnsi="DejaVu Serif"/>
        </w:rPr>
      </w:pPr>
      <w:r>
        <w:rPr>
          <w:rFonts w:ascii="DejaVu Serif" w:hAnsi="DejaVu Serif"/>
        </w:rPr>
        <w:t>Name three changes from TOGAF 9.2 to TOGAF 10.</w:t>
      </w:r>
    </w:p>
    <w:p>
      <w:pPr>
        <w:pStyle w:val="ListParagraph"/>
        <w:numPr>
          <w:ilvl w:val="0"/>
          <w:numId w:val="4"/>
        </w:numPr>
        <w:spacing w:lineRule="auto" w:line="281" w:before="0" w:after="80"/>
        <w:rPr>
          <w:rFonts w:ascii="DejaVu Serif" w:hAnsi="DejaVu Serif"/>
        </w:rPr>
      </w:pPr>
      <w:r>
        <w:rPr>
          <w:rFonts w:ascii="DejaVu Serif" w:hAnsi="DejaVu Serif"/>
        </w:rPr>
        <w:t>State the TOGAF, Gartner, and IEEE 42010 definitions of architecture, and identify two ideas they share.</w:t>
      </w:r>
    </w:p>
    <w:p>
      <w:pPr>
        <w:pStyle w:val="ListParagraph"/>
        <w:numPr>
          <w:ilvl w:val="0"/>
          <w:numId w:val="4"/>
        </w:numPr>
        <w:spacing w:lineRule="auto" w:line="281" w:before="0" w:after="80"/>
        <w:rPr>
          <w:rFonts w:ascii="DejaVu Serif" w:hAnsi="DejaVu Serif"/>
        </w:rPr>
      </w:pPr>
      <w:r>
        <w:rPr>
          <w:rFonts w:ascii="DejaVu Serif" w:hAnsi="DejaVu Serif"/>
        </w:rPr>
        <w:t>List the six failure patterns that motivate the existence of EA, and give one real-world example for each.</w:t>
      </w:r>
    </w:p>
    <w:p>
      <w:pPr>
        <w:pStyle w:val="ListParagraph"/>
        <w:numPr>
          <w:ilvl w:val="0"/>
          <w:numId w:val="4"/>
        </w:numPr>
        <w:spacing w:lineRule="auto" w:line="281" w:before="0" w:after="80"/>
        <w:rPr>
          <w:rFonts w:ascii="DejaVu Serif" w:hAnsi="DejaVu Serif"/>
        </w:rPr>
      </w:pPr>
      <w:r>
        <w:rPr>
          <w:rFonts w:ascii="DejaVu Serif" w:hAnsi="DejaVu Serif"/>
        </w:rPr>
        <w:t>Compare TOGAF and Zachman in terms of prescriptiveness.</w:t>
      </w:r>
    </w:p>
    <w:p>
      <w:pPr>
        <w:pStyle w:val="ListParagraph"/>
        <w:numPr>
          <w:ilvl w:val="0"/>
          <w:numId w:val="4"/>
        </w:numPr>
        <w:spacing w:lineRule="auto" w:line="281" w:before="0" w:after="80"/>
        <w:rPr>
          <w:rFonts w:ascii="DejaVu Serif" w:hAnsi="DejaVu Serif"/>
        </w:rPr>
      </w:pPr>
      <w:r>
        <w:rPr>
          <w:rFonts w:ascii="DejaVu Serif" w:hAnsi="DejaVu Serif"/>
        </w:rPr>
        <w:t>Name the five core components of TOGAF and the question each one answers.</w:t>
      </w:r>
    </w:p>
    <w:p>
      <w:pPr>
        <w:pStyle w:val="ListParagraph"/>
        <w:numPr>
          <w:ilvl w:val="0"/>
          <w:numId w:val="4"/>
        </w:numPr>
        <w:spacing w:lineRule="auto" w:line="281" w:before="0" w:after="80"/>
        <w:rPr>
          <w:rFonts w:ascii="DejaVu Serif" w:hAnsi="DejaVu Serif"/>
        </w:rPr>
      </w:pPr>
      <w:r>
        <w:rPr>
          <w:rFonts w:ascii="DejaVu Serif" w:hAnsi="DejaVu Serif"/>
        </w:rPr>
        <w:t>Explain the difference between the Enterprise Continuum and the Architecture Repository.</w:t>
      </w:r>
    </w:p>
    <w:p>
      <w:pPr>
        <w:pStyle w:val="Heading2"/>
        <w:spacing w:before="280" w:after="160"/>
        <w:rPr/>
      </w:pPr>
      <w:r>
        <w:rPr>
          <w:b/>
          <w:bCs/>
          <w:color w:val="2E75B6"/>
        </w:rPr>
        <w:t>10.4 Closing Note</w:t>
      </w:r>
    </w:p>
    <w:p>
      <w:pPr>
        <w:pStyle w:val="BodyText"/>
        <w:jc w:val="both"/>
        <w:rPr>
          <w:rFonts w:ascii="DejaVu Serif" w:hAnsi="DejaVu Serif"/>
        </w:rPr>
      </w:pPr>
      <w:r>
        <w:rPr>
          <w:rFonts w:ascii="DejaVu Serif" w:hAnsi="DejaVu Serif"/>
        </w:rPr>
        <w:t>Module 1 is the foundation on which every other TOGAF module rests. Once you can fluently explain what TOGAF is, why it exists, how it is governed, how it is structured, and how it compares to its peers, the rest of the syllabus becomes much easier — every later concept will land somewhere on the map you have just built. Take the time to make Module 1 second nature before moving on.</w:t>
      </w:r>
    </w:p>
    <w:p>
      <w:pPr>
        <w:pStyle w:val="Normal"/>
        <w:spacing w:before="0" w:after="120"/>
        <w:rPr/>
      </w:pPr>
      <w:r>
        <w:rPr/>
      </w:r>
    </w:p>
    <w:p>
      <w:pPr>
        <w:pStyle w:val="Normal"/>
        <w:spacing w:before="400" w:after="0"/>
        <w:jc w:val="center"/>
        <w:rPr/>
      </w:pPr>
      <w:r>
        <w:rPr>
          <w:i/>
          <w:iCs/>
          <w:color w:val="808080"/>
        </w:rPr>
        <w:t xml:space="preserve">— </w:t>
      </w:r>
      <w:r>
        <w:rPr>
          <w:i/>
          <w:iCs/>
          <w:color w:val="808080"/>
        </w:rPr>
        <w:t>End of Module 1 —</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DejaVu Serif">
    <w:charset w:val="01"/>
    <w:family w:val="roman"/>
    <w:pitch w:val="variable"/>
  </w:font>
  <w:font w:name="Symbol">
    <w:charset w:val="02"/>
    <w:family w:val="auto"/>
    <w:pitch w:val="default"/>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8"/>
        <w:szCs w:val="18"/>
      </w:rPr>
      <w:t xml:space="preserve">Page </w:t>
    </w:r>
    <w:r>
      <w:rPr/>
      <w:fldChar w:fldCharType="begin"/>
    </w:r>
    <w:r>
      <w:rPr/>
      <w:instrText xml:space="preserve"> PAGE </w:instrText>
    </w:r>
    <w:r>
      <w:rPr/>
      <w:fldChar w:fldCharType="separate"/>
    </w:r>
    <w:r>
      <w:rPr/>
      <w:t>29</w:t>
    </w:r>
    <w:r>
      <w:rPr/>
      <w:fldChar w:fldCharType="end"/>
    </w:r>
    <w:r>
      <w:rPr>
        <w:color w:val="808080"/>
        <w:sz w:val="18"/>
        <w:szCs w:val="18"/>
      </w:rPr>
      <w:t xml:space="preserve"> of </w:t>
    </w:r>
    <w:r>
      <w:rPr/>
      <w:fldChar w:fldCharType="begin"/>
    </w:r>
    <w:r>
      <w:rPr/>
      <w:instrText xml:space="preserve"> NUMPAGES </w:instrText>
    </w:r>
    <w:r>
      <w:rPr/>
      <w:fldChar w:fldCharType="separate"/>
    </w:r>
    <w:r>
      <w:rPr/>
      <w:t>29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8"/>
        <w:szCs w:val="18"/>
      </w:rPr>
      <w:t xml:space="preserve">Page </w:t>
    </w:r>
    <w:r>
      <w:rPr/>
      <w:fldChar w:fldCharType="begin"/>
    </w:r>
    <w:r>
      <w:rPr/>
      <w:instrText xml:space="preserve"> PAGE </w:instrText>
    </w:r>
    <w:r>
      <w:rPr/>
      <w:fldChar w:fldCharType="separate"/>
    </w:r>
    <w:r>
      <w:rPr/>
      <w:t>29</w:t>
    </w:r>
    <w:r>
      <w:rPr/>
      <w:fldChar w:fldCharType="end"/>
    </w:r>
    <w:r>
      <w:rPr>
        <w:color w:val="808080"/>
        <w:sz w:val="18"/>
        <w:szCs w:val="18"/>
      </w:rPr>
      <w:t xml:space="preserve"> of </w:t>
    </w:r>
    <w:r>
      <w:rPr/>
      <w:fldChar w:fldCharType="begin"/>
    </w:r>
    <w:r>
      <w:rPr/>
      <w:instrText xml:space="preserve"> NUMPAGES </w:instrText>
    </w:r>
    <w:r>
      <w:rPr/>
      <w:fldChar w:fldCharType="separate"/>
    </w:r>
    <w:r>
      <w:rPr/>
      <w:t>29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08080"/>
        <w:sz w:val="18"/>
        <w:szCs w:val="18"/>
      </w:rPr>
      <w:t>TOGAF Module 1: Fundamentals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08080"/>
        <w:sz w:val="18"/>
        <w:szCs w:val="18"/>
      </w:rPr>
      <w:t>TOGAF Module 1: Fundamentals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5"/>
    <w:lvlOverride w:ilvl="0">
      <w:startOverride w:val="1"/>
    </w:lvlOverride>
  </w:num>
  <w:num w:numId="13">
    <w:abstractNumId w:val="5"/>
  </w:num>
  <w:num w:numId="14">
    <w:abstractNumId w:val="5"/>
  </w:num>
  <w:num w:numId="15">
    <w:abstractNumId w:val="5"/>
  </w:num>
  <w:num w:numId="16">
    <w:abstractNumId w:val="5"/>
  </w:num>
  <w:num w:numId="17">
    <w:abstractNumId w:val="5"/>
  </w:num>
  <w:num w:numId="18">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60" w:after="200"/>
      <w:outlineLvl w:val="0"/>
    </w:pPr>
    <w:rPr>
      <w:rFonts w:ascii="Calibri" w:hAnsi="Calibri" w:eastAsia="Calibri" w:cs="Calibri"/>
      <w:b/>
      <w:bCs/>
      <w:color w:val="1F4E78"/>
      <w:sz w:val="36"/>
      <w:szCs w:val="36"/>
    </w:rPr>
  </w:style>
  <w:style w:type="paragraph" w:styleId="Heading2">
    <w:name w:val="heading 2"/>
    <w:basedOn w:val="Heading"/>
    <w:qFormat/>
    <w:pPr>
      <w:spacing w:before="280" w:after="160"/>
      <w:outlineLvl w:val="1"/>
    </w:pPr>
    <w:rPr>
      <w:rFonts w:ascii="Calibri" w:hAnsi="Calibri" w:eastAsia="Calibri" w:cs="Calibri"/>
      <w:b/>
      <w:bCs/>
      <w:color w:val="2E75B6"/>
      <w:sz w:val="30"/>
      <w:szCs w:val="30"/>
    </w:rPr>
  </w:style>
  <w:style w:type="paragraph" w:styleId="Heading3">
    <w:name w:val="heading 3"/>
    <w:basedOn w:val="Heading"/>
    <w:qFormat/>
    <w:pPr>
      <w:spacing w:before="220" w:after="120"/>
      <w:outlineLvl w:val="2"/>
    </w:pPr>
    <w:rPr>
      <w:rFonts w:ascii="Calibri" w:hAnsi="Calibri" w:eastAsia="Calibri" w:cs="Calibri"/>
      <w:b/>
      <w:bCs/>
      <w:color w:val="404040"/>
      <w:sz w:val="26"/>
      <w:szCs w:val="26"/>
    </w:rPr>
  </w:style>
  <w:style w:type="paragraph" w:styleId="Heading4">
    <w:name w:val="heading 4"/>
    <w:basedOn w:val="Heading"/>
    <w:qFormat/>
    <w:pPr>
      <w:spacing w:before="160" w:after="80"/>
      <w:outlineLvl w:val="3"/>
    </w:pPr>
    <w:rPr>
      <w:rFonts w:ascii="Calibri" w:hAnsi="Calibri" w:eastAsia="Calibri" w:cs="Calibri"/>
      <w:b/>
      <w:bCs/>
      <w:i/>
      <w:iCs/>
      <w:color w:val="595959"/>
      <w:sz w:val="24"/>
      <w:szCs w:val="24"/>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222</TotalTime>
  <Application>LibreOffice/25.2.1.2$Linux_X86_64 LibreOffice_project/d3abf4aee5fd705e4a92bba33a32f40bc4e56f49</Application>
  <AppVersion>15.0000</AppVersion>
  <Pages>29</Pages>
  <Words>7209</Words>
  <Characters>43256</Characters>
  <CharactersWithSpaces>49968</CharactersWithSpaces>
  <Paragraphs>506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2026-05-02T02:06:30Z</dcterms:created>
  <dc:creator>Claude</dc:creator>
  <dc:description>Comprehensive in-depth study guide for TOGAF Fundamentals (Module 1)</dc:description>
  <dc:language>en-US</dc:language>
  <cp:lastModifiedBy/>
  <dcterms:modified xsi:type="dcterms:W3CDTF">2026-05-05T16:32:51Z</dcterms:modified>
  <cp:revision>95</cp:revision>
  <dc:subject/>
  <dc:title>TOGAF Module 1 Study Guide</dc:title>
</cp:coreProperties>
</file>

<file path=docProps/custom.xml><?xml version="1.0" encoding="utf-8"?>
<Properties xmlns="http://schemas.openxmlformats.org/officeDocument/2006/custom-properties" xmlns:vt="http://schemas.openxmlformats.org/officeDocument/2006/docPropsVTypes"/>
</file>