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b/>
          <w:bCs/>
          <w:color w:val="1F4E78"/>
          <w:sz w:val="96"/>
          <w:szCs w:val="96"/>
        </w:rPr>
        <w:t>TOGAF</w:t>
      </w:r>
    </w:p>
    <w:p>
      <w:pPr>
        <w:pStyle w:val="Normal"/>
        <w:spacing w:before="0" w:after="400"/>
        <w:jc w:val="center"/>
        <w:rPr/>
      </w:pPr>
      <w:r>
        <w:rPr>
          <w:b/>
          <w:bCs/>
          <w:color w:val="2E75B6"/>
          <w:sz w:val="44"/>
          <w:szCs w:val="44"/>
        </w:rPr>
        <w:t>Enterprise Architecture Study Guide</w:t>
      </w:r>
    </w:p>
    <w:p>
      <w:pPr>
        <w:pStyle w:val="Normal"/>
        <w:spacing w:before="0" w:after="1600"/>
        <w:jc w:val="center"/>
        <w:rPr/>
      </w:pPr>
      <w:r>
        <w:rPr>
          <w:i/>
          <w:iCs/>
          <w:color w:val="595959"/>
          <w:sz w:val="36"/>
          <w:szCs w:val="36"/>
        </w:rPr>
        <w:t>Module 5: ADM Phases — Preliminary &amp; A (Vision)</w:t>
      </w:r>
    </w:p>
    <w:p>
      <w:pPr>
        <w:pStyle w:val="Normal"/>
        <w:spacing w:before="0" w:after="200"/>
        <w:jc w:val="center"/>
        <w:rPr/>
      </w:pPr>
      <w:r>
        <w:rPr>
          <w:color w:val="595959"/>
          <w:sz w:val="28"/>
          <w:szCs w:val="28"/>
        </w:rPr>
        <w:t>Preparing the Practice and Securing the Mandate</w:t>
      </w:r>
    </w:p>
    <w:p>
      <w:pPr>
        <w:pStyle w:val="Normal"/>
        <w:spacing w:before="0" w:after="200"/>
        <w:jc w:val="center"/>
        <w:rPr/>
      </w:pPr>
      <w:r>
        <w:rPr>
          <w:color w:val="808080"/>
          <w:sz w:val="24"/>
          <w:szCs w:val="24"/>
        </w:rPr>
        <w:t>Principles · Repository · Governance · Vision · SoAW · Business Scenarios</w:t>
      </w:r>
    </w:p>
    <w:p>
      <w:pPr>
        <w:pStyle w:val="Normal"/>
        <w:spacing w:before="2400" w:after="0"/>
        <w:jc w:val="center"/>
        <w:rPr/>
      </w:pPr>
      <w:r>
        <w:rPr>
          <w:i/>
          <w:iCs/>
          <w:color w:val="808080"/>
          <w:sz w:val="22"/>
          <w:szCs w:val="22"/>
        </w:rPr>
        <w:t>Aligned with TOGAF® Standard, 10th Edition (The Open Group)</w:t>
      </w:r>
    </w:p>
    <w:p>
      <w:pPr>
        <w:pStyle w:val="Normal"/>
        <w:rPr/>
      </w:pPr>
      <w:r>
        <w:rPr/>
      </w:r>
      <w:r>
        <w:br w:type="page"/>
      </w:r>
    </w:p>
    <w:p>
      <w:pPr>
        <w:pStyle w:val="Heading1"/>
        <w:spacing w:before="0" w:after="200"/>
        <w:rPr/>
      </w:pPr>
      <w:r>
        <w:rPr>
          <w:b/>
          <w:bCs/>
          <w:color w:val="1F4E78"/>
        </w:rPr>
        <w:t>Introduction to Module 5</w:t>
      </w:r>
    </w:p>
    <w:p>
      <w:pPr>
        <w:pStyle w:val="Normal"/>
        <w:spacing w:lineRule="auto" w:line="300" w:before="0" w:after="120"/>
        <w:jc w:val="both"/>
        <w:rPr/>
      </w:pPr>
      <w:r>
        <w:rPr/>
        <w:t>Module 4 introduced the ADM as a whole — its ten elements, its cyclical nature, its iteration patterns, and the architecture levels at which it operates. Module 5 now drills into the first two of those elements: the Preliminary Phase, which prepares the enterprise to do architecture work at all; and Phase A, which initiates a specific engagement and secures the mandate to proceed.</w:t>
      </w:r>
    </w:p>
    <w:p>
      <w:pPr>
        <w:pStyle w:val="Normal"/>
        <w:spacing w:lineRule="auto" w:line="300" w:before="0" w:after="120"/>
        <w:jc w:val="both"/>
        <w:rPr/>
      </w:pPr>
      <w:r>
        <w:rPr/>
        <w:t>These two phases share a particular characteristic: they are about establishing rather than developing. The Preliminary Phase establishes the practice; Phase A establishes the engagement. Neither produces a target architecture — that work begins in Phase B. But without these two foundational phases done correctly, everything that follows will be unstable: principles will be ad hoc, governance will be weak, scope will drift, and stakeholders will withdraw support mid-cycle.</w:t>
      </w:r>
    </w:p>
    <w:p>
      <w:pPr>
        <w:pStyle w:val="Normal"/>
        <w:spacing w:lineRule="auto" w:line="300" w:before="0" w:after="120"/>
        <w:jc w:val="both"/>
        <w:rPr/>
      </w:pPr>
      <w:r>
        <w:rPr/>
        <w:t>The central exam-relevant insights of this module are three. First, the Preliminary Phase is NOT part of the recurring ADM cycle — it precedes the cycle and is performed only when the practice is being established or refounded. Second, Phase A produces an Architecture Vision, which is fundamentally different from the Architecture Definition Document produced later — confusing the two is a classic exam mistake. Third, the signature technique of Phase A is the Business Scenario, which is the formal method by which architects translate vague business desire into specific, traceable architecture requirements.</w:t>
      </w:r>
    </w:p>
    <w:p>
      <w:pPr>
        <w:pStyle w:val="Normal"/>
        <w:spacing w:before="0" w:after="12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Normal"/>
              <w:spacing w:before="0" w:after="80"/>
              <w:rPr/>
            </w:pPr>
            <w:r>
              <w:rPr>
                <w:b/>
                <w:bCs/>
                <w:color w:val="7C5800"/>
              </w:rPr>
              <w:t>How to Read This Module</w:t>
            </w:r>
          </w:p>
          <w:p>
            <w:pPr>
              <w:pStyle w:val="Normal"/>
              <w:spacing w:lineRule="auto" w:line="281" w:before="0" w:after="60"/>
              <w:jc w:val="both"/>
              <w:rPr/>
            </w:pPr>
            <w:r>
              <w:rPr/>
              <w:t>If you are coming from a project-management background, you may be tempted to read the Preliminary Phase as project initiation and Phase A as project planning. Resist that mapping. The Preliminary Phase initiates the architecture function, not a project; Phase A initiates a specific architecture cycle, which may itself authorise many projects. Keep these two scopes separate as you read.</w:t>
            </w:r>
          </w:p>
        </w:tc>
      </w:tr>
    </w:tbl>
    <w:p>
      <w:pPr>
        <w:pStyle w:val="Normal"/>
        <w:rPr/>
      </w:pPr>
      <w:r>
        <w:rPr/>
      </w:r>
      <w:r>
        <w:br w:type="page"/>
      </w:r>
    </w:p>
    <w:p>
      <w:pPr>
        <w:pStyle w:val="Heading1"/>
        <w:spacing w:before="0" w:after="200"/>
        <w:rPr/>
      </w:pPr>
      <w:r>
        <w:rPr>
          <w:b/>
          <w:bCs/>
          <w:color w:val="1F4E78"/>
        </w:rPr>
        <w:t>1. The Preliminary Phase Is Not Part of the ADM Cycle</w:t>
      </w:r>
    </w:p>
    <w:p>
      <w:pPr>
        <w:pStyle w:val="Normal"/>
        <w:spacing w:lineRule="auto" w:line="300" w:before="0" w:after="120"/>
        <w:jc w:val="both"/>
        <w:rPr/>
      </w:pPr>
      <w:r>
        <w:rPr/>
        <w:t>The most common misconception about the Preliminary Phase is to read it as the first step of every architecture cycle — a kind of "phase zero" that runs before Phase A each time. This reading is wrong, and it appears explicitly on certification exams. The Preliminary Phase precedes the ADM cycle; it is not part of it.</w:t>
      </w:r>
    </w:p>
    <w:p>
      <w:pPr>
        <w:pStyle w:val="Heading2"/>
        <w:spacing w:before="280" w:after="160"/>
        <w:rPr/>
      </w:pPr>
      <w:r>
        <w:rPr>
          <w:b/>
          <w:bCs/>
          <w:color w:val="2E75B6"/>
        </w:rPr>
        <w:t>1.1 What "Precedes the Cycle" Means</w:t>
      </w:r>
    </w:p>
    <w:p>
      <w:pPr>
        <w:pStyle w:val="Normal"/>
        <w:spacing w:lineRule="auto" w:line="300" w:before="0" w:after="120"/>
        <w:jc w:val="both"/>
        <w:rPr/>
      </w:pPr>
      <w:r>
        <w:rPr/>
        <w:t>The ADM cycle, as covered in Module 4, runs Preliminary → A → B → C → D → E → F → G → H, with Phase H triggering a new Phase A. The diagrams in TOGAF documentation show this as a circle of phases A through H, with Requirements Management at the centre. The Preliminary Phase is shown separately, often as an arrow leading INTO the circle from outside, not as a wedge of the circle itself.</w:t>
      </w:r>
    </w:p>
    <w:p>
      <w:pPr>
        <w:pStyle w:val="Normal"/>
        <w:spacing w:lineRule="auto" w:line="300" w:before="0" w:after="120"/>
        <w:jc w:val="both"/>
        <w:rPr/>
      </w:pPr>
      <w:r>
        <w:rPr/>
        <w:t>This visual treatment encodes the meaning. The cycle is the recurring engine of the architecture practice; engagements run through it again and again. The Preliminary Phase sits outside the cycle because it does not recur. It is performed once — when the practice is established — and only revisited under exceptional circumstances such as a major restructure or a fundamental change in the architecture function's scope.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Preliminary Phase: </w:t>
            </w:r>
            <w:r>
              <w:rPr/>
              <w:t>The activity that establishes (or substantially refounds) an enterprise's architecture practice. It is performed before the ADM cycle begins and is not part of the recurring cycle. Its outputs — principles, governance, repository, tailored framework — are the substrate on which all subsequent cycles run.</w:t>
            </w:r>
          </w:p>
        </w:tc>
      </w:tr>
    </w:tbl>
    <w:p>
      <w:pPr>
        <w:pStyle w:val="Heading2"/>
        <w:spacing w:before="280" w:after="160"/>
        <w:rPr/>
      </w:pPr>
      <w:r>
        <w:rPr>
          <w:b/>
          <w:bCs/>
          <w:color w:val="2E75B6"/>
        </w:rPr>
        <w:t>1.2 Why It Is Outside the Cycle</w:t>
      </w:r>
    </w:p>
    <w:p>
      <w:pPr>
        <w:pStyle w:val="Normal"/>
        <w:spacing w:lineRule="auto" w:line="300" w:before="0" w:after="120"/>
        <w:jc w:val="both"/>
        <w:rPr/>
      </w:pPr>
      <w:r>
        <w:rPr/>
        <w:t>Three reasons clarify why the standard treats the Preliminary Phase as outside the cycle:</w:t>
      </w:r>
    </w:p>
    <w:p>
      <w:pPr>
        <w:pStyle w:val="ListParagraph"/>
        <w:numPr>
          <w:ilvl w:val="0"/>
          <w:numId w:val="4"/>
        </w:numPr>
        <w:spacing w:lineRule="auto" w:line="281" w:before="0" w:after="80"/>
        <w:rPr/>
      </w:pPr>
      <w:r>
        <w:rPr/>
        <w:t>Frequency. The cycle runs continuously; the Preliminary Phase runs once. Treating something that happens once as a step in a recurring loop misrepresents the cadence.</w:t>
      </w:r>
    </w:p>
    <w:p>
      <w:pPr>
        <w:pStyle w:val="ListParagraph"/>
        <w:numPr>
          <w:ilvl w:val="0"/>
          <w:numId w:val="2"/>
        </w:numPr>
        <w:spacing w:lineRule="auto" w:line="281" w:before="0" w:after="80"/>
        <w:rPr/>
      </w:pPr>
      <w:r>
        <w:rPr/>
        <w:t>Scope. The cycle is concerned with developing architecture; the Preliminary Phase is concerned with developing the architecture function. These are different objects of work — one produces architectures, the other produces the capability to produce architectures.</w:t>
      </w:r>
    </w:p>
    <w:p>
      <w:pPr>
        <w:pStyle w:val="ListParagraph"/>
        <w:numPr>
          <w:ilvl w:val="0"/>
          <w:numId w:val="2"/>
        </w:numPr>
        <w:spacing w:lineRule="auto" w:line="281" w:before="0" w:after="80"/>
        <w:rPr/>
      </w:pPr>
      <w:r>
        <w:rPr/>
        <w:t>Sequence dependence. Every cycle depends on Preliminary Phase outputs (principles, governance, repository, tailored framework), but no Preliminary Phase activity depends on cycle outputs. The dependency is one-way.</w:t>
      </w:r>
    </w:p>
    <w:p>
      <w:pPr>
        <w:pStyle w:val="Heading2"/>
        <w:spacing w:before="280" w:after="160"/>
        <w:rPr/>
      </w:pPr>
      <w:r>
        <w:rPr>
          <w:b/>
          <w:bCs/>
          <w:color w:val="2E75B6"/>
        </w:rPr>
        <w:t>1.3 When the Preliminary Phase IS Revisited</w:t>
      </w:r>
    </w:p>
    <w:p>
      <w:pPr>
        <w:pStyle w:val="Normal"/>
        <w:spacing w:lineRule="auto" w:line="300" w:before="0" w:after="120"/>
        <w:jc w:val="both"/>
        <w:rPr/>
      </w:pPr>
      <w:r>
        <w:rPr/>
        <w:t>Although it is not part of the recurring cycle, the Preliminary Phase is not strictly a one-time event. It is revisited — fully or partially — under specific conditions:</w:t>
      </w:r>
    </w:p>
    <w:p>
      <w:pPr>
        <w:pStyle w:val="ListParagraph"/>
        <w:numPr>
          <w:ilvl w:val="0"/>
          <w:numId w:val="5"/>
        </w:numPr>
        <w:spacing w:lineRule="auto" w:line="281" w:before="0" w:after="80"/>
        <w:rPr/>
      </w:pPr>
      <w:r>
        <w:rPr/>
        <w:t>The architecture practice is being established for the first time.</w:t>
      </w:r>
    </w:p>
    <w:p>
      <w:pPr>
        <w:pStyle w:val="ListParagraph"/>
        <w:numPr>
          <w:ilvl w:val="0"/>
          <w:numId w:val="3"/>
        </w:numPr>
        <w:spacing w:lineRule="auto" w:line="281" w:before="0" w:after="80"/>
        <w:rPr/>
      </w:pPr>
      <w:r>
        <w:rPr/>
        <w:t>The practice is being substantially refounded after a period of dormancy or after a major reorganisation.</w:t>
      </w:r>
    </w:p>
    <w:p>
      <w:pPr>
        <w:pStyle w:val="ListParagraph"/>
        <w:numPr>
          <w:ilvl w:val="0"/>
          <w:numId w:val="3"/>
        </w:numPr>
        <w:spacing w:lineRule="auto" w:line="281" w:before="0" w:after="80"/>
        <w:rPr/>
      </w:pPr>
      <w:r>
        <w:rPr/>
        <w:t>The scope of the architecture function has changed materially (e.g., extending from one business unit to enterprise-wide, or absorbing a newly acquired company).</w:t>
      </w:r>
    </w:p>
    <w:p>
      <w:pPr>
        <w:pStyle w:val="ListParagraph"/>
        <w:numPr>
          <w:ilvl w:val="0"/>
          <w:numId w:val="3"/>
        </w:numPr>
        <w:spacing w:lineRule="auto" w:line="281" w:before="0" w:after="80"/>
        <w:rPr/>
      </w:pPr>
      <w:r>
        <w:rPr/>
        <w:t>Architecture principles need to be revised at a foundational level — not just tweaked, but re-debated.</w:t>
      </w:r>
    </w:p>
    <w:p>
      <w:pPr>
        <w:pStyle w:val="ListParagraph"/>
        <w:numPr>
          <w:ilvl w:val="0"/>
          <w:numId w:val="3"/>
        </w:numPr>
        <w:spacing w:lineRule="auto" w:line="281" w:before="0" w:after="80"/>
        <w:rPr/>
      </w:pPr>
      <w:r>
        <w:rPr/>
        <w:t>The governance model is being restructured (new Architecture Board composition, new escalation paths).</w:t>
      </w:r>
    </w:p>
    <w:p>
      <w:pPr>
        <w:pStyle w:val="ListParagraph"/>
        <w:numPr>
          <w:ilvl w:val="0"/>
          <w:numId w:val="3"/>
        </w:numPr>
        <w:spacing w:lineRule="auto" w:line="281" w:before="0" w:after="80"/>
        <w:rPr/>
      </w:pPr>
      <w:r>
        <w:rPr/>
        <w:t>The TOGAF framework tailoring needs material revision (e.g., adopting a new edition of TOGAF, or significantly changing which deliverables are mandatory).</w:t>
      </w:r>
    </w:p>
    <w:p>
      <w:pPr>
        <w:pStyle w:val="Normal"/>
        <w:spacing w:lineRule="auto" w:line="300" w:before="0" w:after="120"/>
        <w:jc w:val="both"/>
        <w:rPr/>
      </w:pPr>
      <w:r>
        <w:rPr/>
        <w:t>None of these triggers happen on a regular schedule; they are exceptional events. In a stable architecture practice, the Preliminary Phase outputs may go untouched for many years.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Preliminary Phase: Once or Many Times?</w:t>
            </w:r>
          </w:p>
          <w:p>
            <w:pPr>
              <w:pStyle w:val="Normal"/>
              <w:spacing w:lineRule="auto" w:line="281" w:before="0" w:after="60"/>
              <w:jc w:val="both"/>
              <w:rPr/>
            </w:pPr>
            <w:r>
              <w:rPr/>
              <w:t>A retailer establishes its architecture practice in 2018. Preliminary Phase activities take three months: defining principles, setting up the Architecture Board, choosing tools, and tailoring TOGAF.</w:t>
            </w:r>
          </w:p>
          <w:p>
            <w:pPr>
              <w:pStyle w:val="Normal"/>
              <w:spacing w:lineRule="auto" w:line="281" w:before="0" w:after="60"/>
              <w:jc w:val="both"/>
              <w:rPr/>
            </w:pPr>
            <w:r>
              <w:rPr/>
              <w:t>Between 2018 and 2024, the practice runs dozens of ADM cycles. The Preliminary Phase outputs — principles, governance, repository, tailored framework — are referenced by every cycle but never revisited as an exercise.</w:t>
            </w:r>
          </w:p>
          <w:p>
            <w:pPr>
              <w:pStyle w:val="Normal"/>
              <w:spacing w:lineRule="auto" w:line="281" w:before="0" w:after="60"/>
              <w:jc w:val="both"/>
              <w:rPr/>
            </w:pPr>
            <w:r>
              <w:rPr/>
              <w:t>In 2024, the retailer acquires a major competitor, doubling in size and adding a new line of business. The architecture function's scope changes materially. The Preliminary Phase is now revisited: principles are re-debated to accommodate the acquired business, the Architecture Board is reconstituted, and the framework tailoring is updated.</w:t>
            </w:r>
          </w:p>
          <w:p>
            <w:pPr>
              <w:pStyle w:val="Normal"/>
              <w:spacing w:lineRule="auto" w:line="281" w:before="0" w:after="60"/>
              <w:jc w:val="both"/>
              <w:rPr/>
            </w:pPr>
            <w:r>
              <w:rPr/>
              <w:t>The Preliminary Phase is therefore not strictly one-time, but it is also not part of the cycle. It runs when the practice itself needs to be re-established — a rare event compared to the cycle's continuous run.</w:t>
            </w:r>
          </w:p>
        </w:tc>
      </w:tr>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Common Exam Trap</w:t>
            </w:r>
          </w:p>
          <w:p>
            <w:pPr>
              <w:pStyle w:val="Normal"/>
              <w:spacing w:lineRule="auto" w:line="281" w:before="0" w:after="60"/>
              <w:jc w:val="both"/>
              <w:rPr/>
            </w:pPr>
            <w:r>
              <w:rPr/>
              <w:t>An exam question might ask: "In a typical ADM cycle, which phase comes first?" The correct answer is Phase A (Architecture Vision), NOT the Preliminary Phase. The Preliminary Phase is performed before any cycle and is therefore not the first phase of the cycle.</w:t>
            </w:r>
          </w:p>
          <w:p>
            <w:pPr>
              <w:pStyle w:val="Normal"/>
              <w:spacing w:lineRule="auto" w:line="281" w:before="0" w:after="60"/>
              <w:jc w:val="both"/>
              <w:rPr/>
            </w:pPr>
            <w:r>
              <w:rPr/>
              <w:t>Another version: "Which phase establishes architecture principles?" Answer: Preliminary Phase. Principles are set once for the practice, not anew each cycle.</w:t>
            </w:r>
          </w:p>
          <w:p>
            <w:pPr>
              <w:pStyle w:val="Normal"/>
              <w:spacing w:lineRule="auto" w:line="281" w:before="0" w:after="60"/>
              <w:jc w:val="both"/>
              <w:rPr/>
            </w:pPr>
            <w:r>
              <w:rPr/>
              <w:t>A subtler version: "Which phase tailors TOGAF for the enterprise?" Answer: Preliminary Phase. Tailoring is a once-and-revisited activity, not a per-cycle activity.</w:t>
            </w:r>
          </w:p>
        </w:tc>
      </w:tr>
    </w:tbl>
    <w:p>
      <w:pPr>
        <w:pStyle w:val="Normal"/>
        <w:rPr/>
      </w:pPr>
      <w:r>
        <w:rPr/>
      </w:r>
      <w:r>
        <w:br w:type="page"/>
      </w:r>
    </w:p>
    <w:p>
      <w:pPr>
        <w:pStyle w:val="Heading1"/>
        <w:spacing w:before="0" w:after="200"/>
        <w:rPr/>
      </w:pPr>
      <w:r>
        <w:rPr>
          <w:b/>
          <w:bCs/>
          <w:color w:val="1F4E78"/>
        </w:rPr>
        <w:t>2. Preliminary Phase Outputs</w:t>
      </w:r>
    </w:p>
    <w:p>
      <w:pPr>
        <w:pStyle w:val="Normal"/>
        <w:spacing w:lineRule="auto" w:line="300" w:before="0" w:after="120"/>
        <w:jc w:val="both"/>
        <w:rPr/>
      </w:pPr>
      <w:r>
        <w:rPr/>
        <w:t>The Preliminary Phase produces four primary outputs that together constitute the substrate on which all subsequent architecture work depends. These are: (1) the Tailored Architecture Framework, (2) the Architecture Principles, (3) the Architecture Repository, and (4) the Governance Framework. Each is treated below in detail.</w:t>
      </w:r>
    </w:p>
    <w:p>
      <w:pPr>
        <w:pStyle w:val="Heading2"/>
        <w:spacing w:before="280" w:after="160"/>
        <w:rPr/>
      </w:pPr>
      <w:r>
        <w:rPr>
          <w:b/>
          <w:bCs/>
          <w:color w:val="2E75B6"/>
        </w:rPr>
        <w:t>2.1 Output 1: The Tailored Architecture Framework</w:t>
      </w:r>
    </w:p>
    <w:p>
      <w:pPr>
        <w:pStyle w:val="Normal"/>
        <w:spacing w:lineRule="auto" w:line="300" w:before="0" w:after="120"/>
        <w:jc w:val="both"/>
        <w:rPr/>
      </w:pPr>
      <w:r>
        <w:rPr/>
        <w:t>TOGAF as published is generic. No real organisation runs the framework exactly as written — every enterprise tailors it. The Preliminary Phase is the formal place where this tailoring is performed, recorded, and approved.</w:t>
      </w:r>
    </w:p>
    <w:p>
      <w:pPr>
        <w:pStyle w:val="Heading3"/>
        <w:spacing w:before="220" w:after="120"/>
        <w:rPr/>
      </w:pPr>
      <w:r>
        <w:rPr>
          <w:b/>
          <w:bCs/>
          <w:color w:val="404040"/>
        </w:rPr>
        <w:t>What Tailoring Means</w:t>
      </w:r>
    </w:p>
    <w:p>
      <w:pPr>
        <w:pStyle w:val="ListParagraph"/>
        <w:numPr>
          <w:ilvl w:val="0"/>
          <w:numId w:val="3"/>
        </w:numPr>
        <w:spacing w:lineRule="auto" w:line="281" w:before="0" w:after="80"/>
        <w:rPr/>
      </w:pPr>
      <w:r>
        <w:rPr/>
        <w:t>Selecting which TOGAF deliverables are mandatory, optional, or omitted for this enterprise.</w:t>
      </w:r>
    </w:p>
    <w:p>
      <w:pPr>
        <w:pStyle w:val="ListParagraph"/>
        <w:numPr>
          <w:ilvl w:val="0"/>
          <w:numId w:val="3"/>
        </w:numPr>
        <w:spacing w:lineRule="auto" w:line="281" w:before="0" w:after="80"/>
        <w:rPr/>
      </w:pPr>
      <w:r>
        <w:rPr/>
        <w:t>Adjusting terminology to match the enterprise's existing vocabulary (e.g., calling the Architecture Board the "Design Authority" if that name already exists).</w:t>
      </w:r>
    </w:p>
    <w:p>
      <w:pPr>
        <w:pStyle w:val="ListParagraph"/>
        <w:numPr>
          <w:ilvl w:val="0"/>
          <w:numId w:val="3"/>
        </w:numPr>
        <w:spacing w:lineRule="auto" w:line="281" w:before="0" w:after="80"/>
        <w:rPr/>
      </w:pPr>
      <w:r>
        <w:rPr/>
        <w:t>Deciding whether to use the standard ADM phases as written, combine some, or split others.</w:t>
      </w:r>
    </w:p>
    <w:p>
      <w:pPr>
        <w:pStyle w:val="ListParagraph"/>
        <w:numPr>
          <w:ilvl w:val="0"/>
          <w:numId w:val="3"/>
        </w:numPr>
        <w:spacing w:lineRule="auto" w:line="281" w:before="0" w:after="80"/>
        <w:rPr/>
      </w:pPr>
      <w:r>
        <w:rPr/>
        <w:t>Choosing which Series Guides apply (e.g., adopting the Agile-and-the-ADM guide if delivery is largely Agile).</w:t>
      </w:r>
    </w:p>
    <w:p>
      <w:pPr>
        <w:pStyle w:val="ListParagraph"/>
        <w:numPr>
          <w:ilvl w:val="0"/>
          <w:numId w:val="3"/>
        </w:numPr>
        <w:spacing w:lineRule="auto" w:line="281" w:before="0" w:after="80"/>
        <w:rPr/>
      </w:pPr>
      <w:r>
        <w:rPr/>
        <w:t>Defining the depth of formality — for a small organisation, a slim version; for a regulated enterprise, a heavier version.</w:t>
      </w:r>
    </w:p>
    <w:p>
      <w:pPr>
        <w:pStyle w:val="ListParagraph"/>
        <w:numPr>
          <w:ilvl w:val="0"/>
          <w:numId w:val="3"/>
        </w:numPr>
        <w:spacing w:lineRule="auto" w:line="281" w:before="0" w:after="80"/>
        <w:rPr/>
      </w:pPr>
      <w:r>
        <w:rPr/>
        <w:t>Choosing the architecture levels that will be used (Strategic only, Strategic + Segment, all three).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Tailored Architecture Framework: </w:t>
            </w:r>
            <w:r>
              <w:rPr/>
              <w:t>The version of TOGAF that this specific enterprise will use, after the Preliminary Phase has selected, adapted, omitted, and renamed elements to fit local needs. It is the official architecture method of the enterprise from that point forward.</w:t>
            </w:r>
          </w:p>
        </w:tc>
      </w:tr>
    </w:tbl>
    <w:p>
      <w:pPr>
        <w:pStyle w:val="Heading2"/>
        <w:spacing w:before="280" w:after="160"/>
        <w:rPr/>
      </w:pPr>
      <w:r>
        <w:rPr>
          <w:b/>
          <w:bCs/>
          <w:color w:val="2E75B6"/>
        </w:rPr>
        <w:t>2.2 Output 2: Architecture Principles</w:t>
      </w:r>
    </w:p>
    <w:p>
      <w:pPr>
        <w:pStyle w:val="Normal"/>
        <w:spacing w:lineRule="auto" w:line="300" w:before="0" w:after="120"/>
        <w:jc w:val="both"/>
        <w:rPr/>
      </w:pPr>
      <w:r>
        <w:rPr/>
        <w:t>Architecture Principles are the durable, high-level guidance statements that every subsequent architecture decision must conform to. They are agreed once, in the Preliminary Phase, and revised only rarely. They are typically owned at the executive level (CIO, CTO) and approved by the Architecture Board.</w:t>
      </w:r>
    </w:p>
    <w:p>
      <w:pPr>
        <w:pStyle w:val="Heading3"/>
        <w:spacing w:before="220" w:after="120"/>
        <w:rPr/>
      </w:pPr>
      <w:r>
        <w:rPr>
          <w:b/>
          <w:bCs/>
          <w:color w:val="404040"/>
        </w:rPr>
        <w:t>The Standard Form of a Principle</w:t>
      </w:r>
    </w:p>
    <w:p>
      <w:pPr>
        <w:pStyle w:val="Normal"/>
        <w:spacing w:lineRule="auto" w:line="300" w:before="0" w:after="120"/>
        <w:jc w:val="both"/>
        <w:rPr/>
      </w:pPr>
      <w:r>
        <w:rPr/>
        <w:t>TOGAF specifies a four-part standard form for each principle:</w:t>
      </w:r>
    </w:p>
    <w:p>
      <w:pPr>
        <w:pStyle w:val="ListParagraph"/>
        <w:numPr>
          <w:ilvl w:val="0"/>
          <w:numId w:val="3"/>
        </w:numPr>
        <w:spacing w:lineRule="auto" w:line="281" w:before="0" w:after="80"/>
        <w:rPr/>
      </w:pPr>
      <w:r>
        <w:rPr/>
        <w:t>Name — short, memorable label (e.g., "Buy Before Build", "Data Is an Enterprise Asset").</w:t>
      </w:r>
    </w:p>
    <w:p>
      <w:pPr>
        <w:pStyle w:val="ListParagraph"/>
        <w:numPr>
          <w:ilvl w:val="0"/>
          <w:numId w:val="3"/>
        </w:numPr>
        <w:spacing w:lineRule="auto" w:line="281" w:before="0" w:after="80"/>
        <w:rPr/>
      </w:pPr>
      <w:r>
        <w:rPr/>
        <w:t>Statement — the principle expressed concisely as a directive sentence.</w:t>
      </w:r>
    </w:p>
    <w:p>
      <w:pPr>
        <w:pStyle w:val="ListParagraph"/>
        <w:numPr>
          <w:ilvl w:val="0"/>
          <w:numId w:val="3"/>
        </w:numPr>
        <w:spacing w:lineRule="auto" w:line="281" w:before="0" w:after="80"/>
        <w:rPr/>
      </w:pPr>
      <w:r>
        <w:rPr/>
        <w:t>Rationale — the reasoning behind the principle; why this rule exists.</w:t>
      </w:r>
    </w:p>
    <w:p>
      <w:pPr>
        <w:pStyle w:val="ListParagraph"/>
        <w:numPr>
          <w:ilvl w:val="0"/>
          <w:numId w:val="3"/>
        </w:numPr>
        <w:spacing w:lineRule="auto" w:line="281" w:before="0" w:after="80"/>
        <w:rPr/>
      </w:pPr>
      <w:r>
        <w:rPr/>
        <w:t>Implications — the consequences of adopting the principle, both positive and negative.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Architecture Principle in Standard Form</w:t>
            </w:r>
          </w:p>
          <w:p>
            <w:pPr>
              <w:pStyle w:val="Normal"/>
              <w:spacing w:lineRule="auto" w:line="281" w:before="0" w:after="60"/>
              <w:jc w:val="both"/>
              <w:rPr/>
            </w:pPr>
            <w:r>
              <w:rPr/>
              <w:t>Name: Data Is an Enterprise Asset</w:t>
            </w:r>
          </w:p>
          <w:p>
            <w:pPr>
              <w:pStyle w:val="Normal"/>
              <w:spacing w:lineRule="auto" w:line="281" w:before="0" w:after="60"/>
              <w:jc w:val="both"/>
              <w:rPr/>
            </w:pPr>
            <w:r>
              <w:rPr/>
              <w:t>Statement: Data is a corporate resource owned by the enterprise as a whole, not by individual systems or departments.</w:t>
            </w:r>
          </w:p>
          <w:p>
            <w:pPr>
              <w:pStyle w:val="Normal"/>
              <w:spacing w:lineRule="auto" w:line="281" w:before="0" w:after="60"/>
              <w:jc w:val="both"/>
              <w:rPr/>
            </w:pPr>
            <w:r>
              <w:rPr/>
              <w:t>Rationale: Treating data as an enterprise asset prevents silos, enables consistent reporting, and supports regulatory compliance. Without this principle, every system optimises for its local need and the enterprise loses the ability to see itself coherently.</w:t>
            </w:r>
          </w:p>
          <w:p>
            <w:pPr>
              <w:pStyle w:val="Normal"/>
              <w:spacing w:lineRule="auto" w:line="281" w:before="0" w:after="60"/>
              <w:jc w:val="both"/>
              <w:rPr/>
            </w:pPr>
            <w:r>
              <w:rPr/>
              <w:t>Implications: A formal data ownership model must be established. System designs must allow data to be exposed to authorised consumers. Master Data Management is required for shared entities. Data quality issues become an enterprise concern, not a system concern. Costs of data governance must be budgeted at the enterprise level.</w:t>
            </w:r>
          </w:p>
        </w:tc>
      </w:tr>
    </w:tbl>
    <w:p>
      <w:pPr>
        <w:pStyle w:val="Heading3"/>
        <w:spacing w:before="220" w:after="120"/>
        <w:rPr/>
      </w:pPr>
      <w:r>
        <w:rPr>
          <w:b/>
          <w:bCs/>
          <w:color w:val="404040"/>
        </w:rPr>
        <w:t>How Many Principles?</w:t>
      </w:r>
    </w:p>
    <w:p>
      <w:pPr>
        <w:pStyle w:val="Normal"/>
        <w:spacing w:lineRule="auto" w:line="300" w:before="0" w:after="120"/>
        <w:jc w:val="both"/>
        <w:rPr/>
      </w:pPr>
      <w:r>
        <w:rPr/>
        <w:t>TOGAF does not prescribe a number, but practitioner experience converges on twelve to twenty. Fewer than ten typically means the principles are too high-level to guide decisions; more than thirty typically means the list has been padded with operational rules or industry truisms that should not be principles. Each principle should be debatable in concept (i.e., a contrary position is conceivable) but agreed for this enterprise.</w:t>
      </w:r>
    </w:p>
    <w:p>
      <w:pPr>
        <w:pStyle w:val="Heading3"/>
        <w:spacing w:before="220" w:after="120"/>
        <w:rPr/>
      </w:pPr>
      <w:r>
        <w:rPr>
          <w:b/>
          <w:bCs/>
          <w:color w:val="404040"/>
        </w:rPr>
        <w:t>Categories of Principle</w:t>
      </w:r>
    </w:p>
    <w:p>
      <w:pPr>
        <w:pStyle w:val="Normal"/>
        <w:spacing w:lineRule="auto" w:line="300" w:before="0" w:after="120"/>
        <w:jc w:val="both"/>
        <w:rPr/>
      </w:pPr>
      <w:r>
        <w:rPr/>
        <w:t>Most enterprises organise their principles under four headings, mirroring BDAT:</w:t>
      </w:r>
    </w:p>
    <w:p>
      <w:pPr>
        <w:pStyle w:val="ListParagraph"/>
        <w:numPr>
          <w:ilvl w:val="0"/>
          <w:numId w:val="3"/>
        </w:numPr>
        <w:spacing w:lineRule="auto" w:line="281" w:before="0" w:after="80"/>
        <w:rPr/>
      </w:pPr>
      <w:r>
        <w:rPr/>
        <w:t>Business principles — e.g., "Business Continuity", "Compliance with Regulation", "Maximise Benefit to the Enterprise".</w:t>
      </w:r>
    </w:p>
    <w:p>
      <w:pPr>
        <w:pStyle w:val="ListParagraph"/>
        <w:numPr>
          <w:ilvl w:val="0"/>
          <w:numId w:val="3"/>
        </w:numPr>
        <w:spacing w:lineRule="auto" w:line="281" w:before="0" w:after="80"/>
        <w:rPr/>
      </w:pPr>
      <w:r>
        <w:rPr/>
        <w:t>Data principles — e.g., "Data Is Shared", "Data Has Trustees", "Common Vocabulary and Data Definitions".</w:t>
      </w:r>
    </w:p>
    <w:p>
      <w:pPr>
        <w:pStyle w:val="ListParagraph"/>
        <w:numPr>
          <w:ilvl w:val="0"/>
          <w:numId w:val="3"/>
        </w:numPr>
        <w:spacing w:lineRule="auto" w:line="281" w:before="0" w:after="80"/>
        <w:rPr/>
      </w:pPr>
      <w:r>
        <w:rPr/>
        <w:t>Application principles — e.g., "Technology Independence", "Ease of Use", "Requirements-Based Change".</w:t>
      </w:r>
    </w:p>
    <w:p>
      <w:pPr>
        <w:pStyle w:val="ListParagraph"/>
        <w:numPr>
          <w:ilvl w:val="0"/>
          <w:numId w:val="3"/>
        </w:numPr>
        <w:spacing w:lineRule="auto" w:line="281" w:before="0" w:after="80"/>
        <w:rPr/>
      </w:pPr>
      <w:r>
        <w:rPr/>
        <w:t>Technology principles — e.g., "Control Technical Diversity", "Interoperability", "Responsive Change Management".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Architecture Principle: </w:t>
            </w:r>
            <w:r>
              <w:rPr/>
              <w:t>A general rule and guideline, intended to be enduring and seldom amended, that informs and supports the way an organisation sets about fulfilling its mission. Stated in standard form (Name, Statement, Rationale, Implications) and approved by the Architecture Board.</w:t>
            </w:r>
          </w:p>
        </w:tc>
      </w:tr>
    </w:tbl>
    <w:p>
      <w:pPr>
        <w:pStyle w:val="Heading2"/>
        <w:spacing w:before="280" w:after="160"/>
        <w:rPr/>
      </w:pPr>
      <w:r>
        <w:rPr>
          <w:b/>
          <w:bCs/>
          <w:color w:val="2E75B6"/>
        </w:rPr>
        <w:t>2.3 Output 3: The Architecture Repository</w:t>
      </w:r>
    </w:p>
    <w:p>
      <w:pPr>
        <w:pStyle w:val="Normal"/>
        <w:spacing w:lineRule="auto" w:line="300" w:before="0" w:after="120"/>
        <w:jc w:val="both"/>
        <w:rPr/>
      </w:pPr>
      <w:r>
        <w:rPr/>
        <w:t>The Architecture Repository is the structured store of all architecture-related material in the enterprise. It is established in the Preliminary Phase: the structure is defined, the technology is chosen, the access model is agreed, and the initial content (principles, framework tailoring, governance documents) is loaded.</w:t>
      </w:r>
    </w:p>
    <w:p>
      <w:pPr>
        <w:pStyle w:val="Normal"/>
        <w:spacing w:lineRule="auto" w:line="300" w:before="0" w:after="120"/>
        <w:jc w:val="both"/>
        <w:rPr/>
      </w:pPr>
      <w:r>
        <w:rPr/>
        <w:t>As covered in Module 1, the Repository contains seven sections: Architecture Metamodel, Architecture Capability, Architecture Landscape, Standards Information Base, Reference Library, Governance Log, and Solutions Landscape. The Preliminary Phase establishes the empty structure and seeds it; subsequent ADM cycles fill it with content.</w:t>
      </w:r>
    </w:p>
    <w:p>
      <w:pPr>
        <w:pStyle w:val="Heading3"/>
        <w:spacing w:before="220" w:after="120"/>
        <w:rPr/>
      </w:pPr>
      <w:r>
        <w:rPr>
          <w:b/>
          <w:bCs/>
          <w:color w:val="404040"/>
        </w:rPr>
        <w:t>Repository Decisions Made in the Preliminary Phase</w:t>
      </w:r>
    </w:p>
    <w:p>
      <w:pPr>
        <w:pStyle w:val="ListParagraph"/>
        <w:numPr>
          <w:ilvl w:val="0"/>
          <w:numId w:val="3"/>
        </w:numPr>
        <w:spacing w:lineRule="auto" w:line="281" w:before="0" w:after="80"/>
        <w:rPr/>
      </w:pPr>
      <w:r>
        <w:rPr/>
        <w:t>Tooling choice — from a wiki-and-spreadsheet at the small end, to dedicated EA management platforms (LeanIX, Ardoq, Bizzdesign, Sparx EA) at the large end.</w:t>
      </w:r>
    </w:p>
    <w:p>
      <w:pPr>
        <w:pStyle w:val="ListParagraph"/>
        <w:numPr>
          <w:ilvl w:val="0"/>
          <w:numId w:val="3"/>
        </w:numPr>
        <w:spacing w:lineRule="auto" w:line="281" w:before="0" w:after="80"/>
        <w:rPr/>
      </w:pPr>
      <w:r>
        <w:rPr/>
        <w:t>Structural choices — how to subdivide the Architecture Landscape across business units or domains; how to organise reference content.</w:t>
      </w:r>
    </w:p>
    <w:p>
      <w:pPr>
        <w:pStyle w:val="ListParagraph"/>
        <w:numPr>
          <w:ilvl w:val="0"/>
          <w:numId w:val="3"/>
        </w:numPr>
        <w:spacing w:lineRule="auto" w:line="281" w:before="0" w:after="80"/>
        <w:rPr/>
      </w:pPr>
      <w:r>
        <w:rPr/>
        <w:t>Access model — who can read, who can write, who can approve; integration with corporate identity and access management.</w:t>
      </w:r>
    </w:p>
    <w:p>
      <w:pPr>
        <w:pStyle w:val="ListParagraph"/>
        <w:numPr>
          <w:ilvl w:val="0"/>
          <w:numId w:val="3"/>
        </w:numPr>
        <w:spacing w:lineRule="auto" w:line="281" w:before="0" w:after="80"/>
        <w:rPr/>
      </w:pPr>
      <w:r>
        <w:rPr/>
        <w:t>Integration points — links to portfolio management, configuration management database (CMDB), enterprise risk register, and finance systems.</w:t>
      </w:r>
    </w:p>
    <w:p>
      <w:pPr>
        <w:pStyle w:val="ListParagraph"/>
        <w:numPr>
          <w:ilvl w:val="0"/>
          <w:numId w:val="3"/>
        </w:numPr>
        <w:spacing w:lineRule="auto" w:line="281" w:before="0" w:after="80"/>
        <w:rPr/>
      </w:pPr>
      <w:r>
        <w:rPr/>
        <w:t>Lifecycle and retention rules — how long architecture artefacts are kept, when they are retired, how versions are managed.</w:t>
      </w:r>
    </w:p>
    <w:p>
      <w:pPr>
        <w:pStyle w:val="Heading2"/>
        <w:spacing w:before="280" w:after="160"/>
        <w:rPr/>
      </w:pPr>
      <w:r>
        <w:rPr>
          <w:b/>
          <w:bCs/>
          <w:color w:val="2E75B6"/>
        </w:rPr>
        <w:t>2.4 Output 4: The Governance Framework</w:t>
      </w:r>
    </w:p>
    <w:p>
      <w:pPr>
        <w:pStyle w:val="Normal"/>
        <w:spacing w:lineRule="auto" w:line="300" w:before="0" w:after="120"/>
        <w:jc w:val="both"/>
        <w:rPr/>
      </w:pPr>
      <w:r>
        <w:rPr/>
        <w:t>The Governance Framework defines who decides what, how, and with what authority across the architecture function. It is established in the Preliminary Phase and is referenced — but not redefined — by every subsequent ADM cycle.</w:t>
      </w:r>
    </w:p>
    <w:p>
      <w:pPr>
        <w:pStyle w:val="Heading3"/>
        <w:spacing w:before="220" w:after="120"/>
        <w:rPr/>
      </w:pPr>
      <w:r>
        <w:rPr>
          <w:b/>
          <w:bCs/>
          <w:color w:val="404040"/>
        </w:rPr>
        <w:t>Components of the Governance Framework</w:t>
      </w:r>
    </w:p>
    <w:p>
      <w:pPr>
        <w:pStyle w:val="ListParagraph"/>
        <w:numPr>
          <w:ilvl w:val="0"/>
          <w:numId w:val="3"/>
        </w:numPr>
        <w:spacing w:lineRule="auto" w:line="281" w:before="0" w:after="80"/>
        <w:rPr/>
      </w:pPr>
      <w:r>
        <w:rPr/>
        <w:t>The Architecture Board — its composition, chair, charter, decision rights, escalation paths to and from executive committees.</w:t>
      </w:r>
    </w:p>
    <w:p>
      <w:pPr>
        <w:pStyle w:val="ListParagraph"/>
        <w:numPr>
          <w:ilvl w:val="0"/>
          <w:numId w:val="3"/>
        </w:numPr>
        <w:spacing w:lineRule="auto" w:line="281" w:before="0" w:after="80"/>
        <w:rPr/>
      </w:pPr>
      <w:r>
        <w:rPr/>
        <w:t>Architecture Compliance — the process by which projects are reviewed against the architecture, the categories of compliance outcome, and the dispensation process.</w:t>
      </w:r>
    </w:p>
    <w:p>
      <w:pPr>
        <w:pStyle w:val="ListParagraph"/>
        <w:numPr>
          <w:ilvl w:val="0"/>
          <w:numId w:val="3"/>
        </w:numPr>
        <w:spacing w:lineRule="auto" w:line="281" w:before="0" w:after="80"/>
        <w:rPr/>
      </w:pPr>
      <w:r>
        <w:rPr/>
        <w:t>Architecture Contracts — the standard form of agreement between architecture providers and consumers (development teams, business sponsors).</w:t>
      </w:r>
    </w:p>
    <w:p>
      <w:pPr>
        <w:pStyle w:val="ListParagraph"/>
        <w:numPr>
          <w:ilvl w:val="0"/>
          <w:numId w:val="3"/>
        </w:numPr>
        <w:spacing w:lineRule="auto" w:line="281" w:before="0" w:after="80"/>
        <w:rPr/>
      </w:pPr>
      <w:r>
        <w:rPr/>
        <w:t>Architecture Skills Framework — the role categories (Enterprise Architect, Solution Architect, etc.), proficiency levels, and links to HR processes.</w:t>
      </w:r>
    </w:p>
    <w:p>
      <w:pPr>
        <w:pStyle w:val="ListParagraph"/>
        <w:numPr>
          <w:ilvl w:val="0"/>
          <w:numId w:val="3"/>
        </w:numPr>
        <w:spacing w:lineRule="auto" w:line="281" w:before="0" w:after="80"/>
        <w:rPr/>
      </w:pPr>
      <w:r>
        <w:rPr/>
        <w:t>Communication and engagement model — how architecture decisions are communicated; how stakeholders are kept informed; cadence of architecture meetings.</w:t>
      </w:r>
    </w:p>
    <w:p>
      <w:pPr>
        <w:pStyle w:val="ListParagraph"/>
        <w:numPr>
          <w:ilvl w:val="0"/>
          <w:numId w:val="3"/>
        </w:numPr>
        <w:spacing w:lineRule="auto" w:line="281" w:before="0" w:after="80"/>
        <w:rPr/>
      </w:pPr>
      <w:r>
        <w:rPr/>
        <w:t>Tooling and Repository governance — who is permitted to add, modify, or retire entries; approval workflows.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Governance Framework: </w:t>
            </w:r>
            <w:r>
              <w:rPr/>
              <w:t>The structured set of governance bodies, processes, contracts, skills definitions, and communication channels through which the architecture function operates. Established in the Preliminary Phase and referenced by every cycle thereafter.</w:t>
            </w:r>
          </w:p>
        </w:tc>
      </w:tr>
    </w:tbl>
    <w:p>
      <w:pPr>
        <w:pStyle w:val="Heading2"/>
        <w:spacing w:before="280" w:after="160"/>
        <w:rPr/>
      </w:pPr>
      <w:r>
        <w:rPr>
          <w:b/>
          <w:bCs/>
          <w:color w:val="2E75B6"/>
        </w:rPr>
        <w:t>2.5 The Four Outputs Summarised</w:t>
      </w:r>
    </w:p>
    <w:tbl>
      <w:tblPr>
        <w:tblW w:w="9360" w:type="dxa"/>
        <w:jc w:val="left"/>
        <w:tblInd w:w="0" w:type="dxa"/>
        <w:tblLayout w:type="fixed"/>
        <w:tblCellMar>
          <w:top w:w="100" w:type="dxa"/>
          <w:left w:w="120" w:type="dxa"/>
          <w:bottom w:w="100" w:type="dxa"/>
          <w:right w:w="120" w:type="dxa"/>
        </w:tblCellMar>
      </w:tblPr>
      <w:tblGrid>
        <w:gridCol w:w="2399"/>
        <w:gridCol w:w="4401"/>
        <w:gridCol w:w="25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Output</w:t>
            </w:r>
          </w:p>
        </w:tc>
        <w:tc>
          <w:tcPr>
            <w:tcW w:w="440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What It Is</w:t>
            </w:r>
          </w:p>
        </w:tc>
        <w:tc>
          <w:tcPr>
            <w:tcW w:w="25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Lifespan</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Tailored Architecture Framework</w:t>
            </w:r>
          </w:p>
        </w:tc>
        <w:tc>
          <w:tcPr>
            <w:tcW w:w="44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The enterprise's specific version of TOGAF, with selected deliverables, adjusted terminology, chosen levels and Series Guides</w:t>
            </w:r>
          </w:p>
        </w:tc>
        <w:tc>
          <w:tcPr>
            <w:tcW w:w="2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Multi-year; revised on framework updates or major scope change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Architecture Principles</w:t>
            </w:r>
          </w:p>
        </w:tc>
        <w:tc>
          <w:tcPr>
            <w:tcW w:w="44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12–20 durable rules in standard form (Name, Statement, Rationale, Implications), categorised under BDAT</w:t>
            </w:r>
          </w:p>
        </w:tc>
        <w:tc>
          <w:tcPr>
            <w:tcW w:w="2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Years; rarely amended once agreed</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Repository</w:t>
            </w:r>
          </w:p>
        </w:tc>
        <w:tc>
          <w:tcPr>
            <w:tcW w:w="44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The structured store of all architecture material, with chosen tooling, access model, and integrations</w:t>
            </w:r>
          </w:p>
        </w:tc>
        <w:tc>
          <w:tcPr>
            <w:tcW w:w="2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Permanent; structure stable, content evolves continuously</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Governance Framework</w:t>
            </w:r>
          </w:p>
        </w:tc>
        <w:tc>
          <w:tcPr>
            <w:tcW w:w="44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Architecture Board, compliance processes, contracts, skills model, communication cadence</w:t>
            </w:r>
          </w:p>
        </w:tc>
        <w:tc>
          <w:tcPr>
            <w:tcW w:w="2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Multi-year; restructured on major reorganisation</w:t>
            </w:r>
          </w:p>
        </w:tc>
      </w:tr>
    </w:tbl>
    <w:p>
      <w:pPr>
        <w:pStyle w:val="Normal"/>
        <w:rPr/>
      </w:pPr>
      <w:r>
        <w:rPr/>
      </w:r>
      <w:r>
        <w:br w:type="page"/>
      </w:r>
    </w:p>
    <w:p>
      <w:pPr>
        <w:pStyle w:val="Heading1"/>
        <w:spacing w:before="0" w:after="200"/>
        <w:rPr/>
      </w:pPr>
      <w:r>
        <w:rPr>
          <w:b/>
          <w:bCs/>
          <w:color w:val="1F4E78"/>
        </w:rPr>
        <w:t>3. Phase A — Purpose: Define the Vision, Secure the Mandate</w:t>
      </w:r>
    </w:p>
    <w:p>
      <w:pPr>
        <w:pStyle w:val="Normal"/>
        <w:spacing w:lineRule="auto" w:line="300" w:before="0" w:after="120"/>
        <w:jc w:val="both"/>
        <w:rPr/>
      </w:pPr>
      <w:r>
        <w:rPr/>
        <w:t>Phase A is the first phase of the recurring ADM cycle. It is initiated by a Request for Architecture Work and runs until the Statement of Architecture Work is signed. Its purpose has two halves: first, to define the high-level vision of where this engagement will take the enterprise; second, to secure the formal mandate authorising the architecture team to proceed through the substantive phases B, C, D, and beyond.</w:t>
      </w:r>
    </w:p>
    <w:p>
      <w:pPr>
        <w:pStyle w:val="Heading2"/>
        <w:spacing w:before="280" w:after="160"/>
        <w:rPr/>
      </w:pPr>
      <w:r>
        <w:rPr>
          <w:b/>
          <w:bCs/>
          <w:color w:val="2E75B6"/>
        </w:rPr>
        <w:t>3.1 The Two Halves of Phase A</w:t>
      </w:r>
    </w:p>
    <w:p>
      <w:pPr>
        <w:pStyle w:val="Heading3"/>
        <w:spacing w:before="220" w:after="120"/>
        <w:rPr/>
      </w:pPr>
      <w:r>
        <w:rPr>
          <w:b/>
          <w:bCs/>
          <w:color w:val="404040"/>
        </w:rPr>
        <w:t>Half 1: Define the Vision</w:t>
      </w:r>
    </w:p>
    <w:p>
      <w:pPr>
        <w:pStyle w:val="Normal"/>
        <w:spacing w:lineRule="auto" w:line="300" w:before="0" w:after="120"/>
        <w:jc w:val="both"/>
        <w:rPr/>
      </w:pPr>
      <w:r>
        <w:rPr/>
        <w:t>Vision in Phase A means a clear, executive-friendly description of what the engagement is for, who it serves, what it will produce, and why it matters. It is not a detailed design — it is the narrative that lets a sponsor say "yes, that is what I want, please proceed."</w:t>
      </w:r>
    </w:p>
    <w:p>
      <w:pPr>
        <w:pStyle w:val="Normal"/>
        <w:spacing w:lineRule="auto" w:line="300" w:before="0" w:after="120"/>
        <w:jc w:val="both"/>
        <w:rPr/>
      </w:pPr>
      <w:r>
        <w:rPr/>
        <w:t>Defining the vision involves: identifying the stakeholders and eliciting their concerns, understanding the business goals and drivers behind the engagement, scoping the architecture work (what is in, what is out), capturing high-level requirements, and articulating the value the architecture will deliver.</w:t>
      </w:r>
    </w:p>
    <w:p>
      <w:pPr>
        <w:pStyle w:val="Heading3"/>
        <w:spacing w:before="220" w:after="120"/>
        <w:rPr/>
      </w:pPr>
      <w:r>
        <w:rPr>
          <w:b/>
          <w:bCs/>
          <w:color w:val="404040"/>
        </w:rPr>
        <w:t>Half 2: Secure the Mandate</w:t>
      </w:r>
    </w:p>
    <w:p>
      <w:pPr>
        <w:pStyle w:val="Normal"/>
        <w:spacing w:lineRule="auto" w:line="300" w:before="0" w:after="120"/>
        <w:jc w:val="both"/>
        <w:rPr/>
      </w:pPr>
      <w:r>
        <w:rPr/>
        <w:t>A vision without a mandate is a wish list. The second half of Phase A converts the vision into formal authorisation. This means producing the Statement of Architecture Work, a document that names the architecture team, defines what they will deliver, sets the schedule and resources, and is signed by the sponsors. Without that signature the engagement does not proceed.</w:t>
      </w:r>
    </w:p>
    <w:p>
      <w:pPr>
        <w:pStyle w:val="Heading2"/>
        <w:spacing w:before="280" w:after="160"/>
        <w:rPr/>
      </w:pPr>
      <w:r>
        <w:rPr>
          <w:b/>
          <w:bCs/>
          <w:color w:val="2E75B6"/>
        </w:rPr>
        <w:t>3.2 Why Phase A Exists as a Distinct Phase</w:t>
      </w:r>
    </w:p>
    <w:p>
      <w:pPr>
        <w:pStyle w:val="Normal"/>
        <w:spacing w:lineRule="auto" w:line="300" w:before="0" w:after="120"/>
        <w:jc w:val="both"/>
        <w:rPr/>
      </w:pPr>
      <w:r>
        <w:rPr/>
        <w:t>It might seem natural to skip Phase A and start directly with Phase B (Business Architecture). Many newcomers attempt exactly that. Three reasons explain why TOGAF makes Phase A a distinct, mandatory step before any substantive architecture work begins:</w:t>
      </w:r>
    </w:p>
    <w:p>
      <w:pPr>
        <w:pStyle w:val="ListParagraph"/>
        <w:numPr>
          <w:ilvl w:val="0"/>
          <w:numId w:val="2"/>
        </w:numPr>
        <w:spacing w:lineRule="auto" w:line="281" w:before="0" w:after="80"/>
        <w:rPr/>
      </w:pPr>
      <w:r>
        <w:rPr/>
        <w:t>Authorisation. Architecture work consumes scarce resources (architects' time, business stakeholders' attention, technology budget). Spending these without explicit sponsor authorisation creates political risk and is the most common cause of architecture engagements being cancelled mid-flight.</w:t>
      </w:r>
    </w:p>
    <w:p>
      <w:pPr>
        <w:pStyle w:val="ListParagraph"/>
        <w:numPr>
          <w:ilvl w:val="0"/>
          <w:numId w:val="2"/>
        </w:numPr>
        <w:spacing w:lineRule="auto" w:line="281" w:before="0" w:after="80"/>
        <w:rPr/>
      </w:pPr>
      <w:r>
        <w:rPr/>
        <w:t>Scope discipline. Without Phase A, scope drifts. The engagement that started as "redesign the e-commerce checkout" expands silently into "redesign all customer-facing systems" because no formal scope was ever agreed. Phase A's deliverables — Architecture Vision and SoAW — make the scope contractual.</w:t>
      </w:r>
    </w:p>
    <w:p>
      <w:pPr>
        <w:pStyle w:val="ListParagraph"/>
        <w:numPr>
          <w:ilvl w:val="0"/>
          <w:numId w:val="2"/>
        </w:numPr>
        <w:spacing w:lineRule="auto" w:line="281" w:before="0" w:after="80"/>
        <w:rPr/>
      </w:pPr>
      <w:r>
        <w:rPr/>
        <w:t>Stakeholder alignment. Different stakeholders have different visions. Phase A's purpose is to surface those differences, debate them, and arrive at a single agreed vision before the team commits to detailed work. Skipping Phase A means discovering the disagreements during or after Phase B, when reversal is expensive.</w:t>
      </w:r>
    </w:p>
    <w:p>
      <w:pPr>
        <w:pStyle w:val="Heading2"/>
        <w:spacing w:before="280" w:after="160"/>
        <w:rPr/>
      </w:pPr>
      <w:r>
        <w:rPr>
          <w:b/>
          <w:bCs/>
          <w:color w:val="2E75B6"/>
        </w:rPr>
        <w:t>3.3 What Phase A Is Not</w:t>
      </w:r>
    </w:p>
    <w:p>
      <w:pPr>
        <w:pStyle w:val="Normal"/>
        <w:spacing w:lineRule="auto" w:line="300" w:before="0" w:after="120"/>
        <w:jc w:val="both"/>
        <w:rPr/>
      </w:pPr>
      <w:r>
        <w:rPr/>
        <w:t>Three boundaries on Phase A's scope are worth stating explicitly because all three are commonly violated in practice: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Phase A Is Not Architecture Design</w:t>
            </w:r>
          </w:p>
          <w:p>
            <w:pPr>
              <w:pStyle w:val="Normal"/>
              <w:spacing w:lineRule="auto" w:line="281" w:before="0" w:after="60"/>
              <w:jc w:val="both"/>
              <w:rPr/>
            </w:pPr>
            <w:r>
              <w:rPr/>
              <w:t>Phase A produces a Vision, not a design. The Vision describes intent, scope, and value. The actual target architecture is developed in Phases B, C, and D. Architects who try to deliver detailed target diagrams in Phase A typically delay the SoAW, exhaust stakeholder patience, and arrive at Phase B with rework already required.</w:t>
            </w:r>
          </w:p>
          <w:p>
            <w:pPr>
              <w:pStyle w:val="Normal"/>
              <w:spacing w:lineRule="auto" w:line="281" w:before="0" w:after="60"/>
              <w:jc w:val="both"/>
              <w:rPr/>
            </w:pPr>
            <w:r>
              <w:rPr/>
              <w:t>Phase A Is Not the Business Case. The business case may be informed by the Vision but is owned by the programme management or finance function. Phase A may contribute to the case; it does not produce it.</w:t>
            </w:r>
          </w:p>
          <w:p>
            <w:pPr>
              <w:pStyle w:val="Normal"/>
              <w:spacing w:lineRule="auto" w:line="281" w:before="0" w:after="60"/>
              <w:jc w:val="both"/>
              <w:rPr/>
            </w:pPr>
            <w:r>
              <w:rPr/>
              <w:t>Phase A Is Not Detailed Requirements Gathering. Phase A captures high-level requirements only — enough to describe scope and value. Detailed requirements emerge throughout Phases B, C, and D and are managed by Requirements Management at the centre.</w:t>
            </w:r>
          </w:p>
        </w:tc>
      </w:tr>
    </w:tbl>
    <w:p>
      <w:pPr>
        <w:pStyle w:val="Normal"/>
        <w:rPr/>
      </w:pPr>
      <w:r>
        <w:rPr/>
      </w:r>
      <w:r>
        <w:br w:type="page"/>
      </w:r>
    </w:p>
    <w:p>
      <w:pPr>
        <w:pStyle w:val="Heading1"/>
        <w:spacing w:before="0" w:after="200"/>
        <w:rPr/>
      </w:pPr>
      <w:r>
        <w:rPr>
          <w:b/>
          <w:bCs/>
          <w:color w:val="1F4E78"/>
        </w:rPr>
        <w:t>4. Phase A Outputs</w:t>
      </w:r>
    </w:p>
    <w:p>
      <w:pPr>
        <w:pStyle w:val="Normal"/>
        <w:spacing w:lineRule="auto" w:line="300" w:before="0" w:after="120"/>
        <w:jc w:val="both"/>
        <w:rPr/>
      </w:pPr>
      <w:r>
        <w:rPr/>
        <w:t>Phase A produces three primary outputs: the Architecture Vision, the Statement of Architecture Work, and the Stakeholder Map. Each is treated below.</w:t>
      </w:r>
    </w:p>
    <w:p>
      <w:pPr>
        <w:pStyle w:val="Heading2"/>
        <w:spacing w:before="280" w:after="160"/>
        <w:rPr/>
      </w:pPr>
      <w:r>
        <w:rPr>
          <w:b/>
          <w:bCs/>
          <w:color w:val="2E75B6"/>
        </w:rPr>
        <w:t>4.1 Output 1: The Architecture Vision</w:t>
      </w:r>
    </w:p>
    <w:p>
      <w:pPr>
        <w:pStyle w:val="Normal"/>
        <w:spacing w:lineRule="auto" w:line="300" w:before="0" w:after="120"/>
        <w:jc w:val="both"/>
        <w:rPr/>
      </w:pPr>
      <w:r>
        <w:rPr/>
        <w:t>The Architecture Vision is the principal substantive output of Phase A. It is a high-level, executive-friendly description of the target architecture and the value it will deliver. Its audience is sponsors and stakeholders — people who need to understand what is being proposed and decide whether to authorise it, but who do not need (and would not read) the detailed designs that will follow in later phases.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Architecture Vision: </w:t>
            </w:r>
            <w:r>
              <w:rPr/>
              <w:t>A high-level description of the proposed architecture and the value it will deliver, produced in Phase A. It is the executive-level narrative used to secure stakeholder buy-in and authorisation. It is intentionally short, intentionally non-detailed, and intentionally non-binding on lower-level design choices.</w:t>
            </w:r>
          </w:p>
        </w:tc>
      </w:tr>
    </w:tbl>
    <w:p>
      <w:pPr>
        <w:pStyle w:val="Heading2"/>
        <w:spacing w:before="280" w:after="160"/>
        <w:rPr/>
      </w:pPr>
      <w:r>
        <w:rPr>
          <w:b/>
          <w:bCs/>
          <w:color w:val="2E75B6"/>
        </w:rPr>
        <w:t>4.2 Output 2: The Statement of Architecture Work (SoAW)</w:t>
      </w:r>
    </w:p>
    <w:p>
      <w:pPr>
        <w:pStyle w:val="Normal"/>
        <w:spacing w:lineRule="auto" w:line="300" w:before="0" w:after="120"/>
        <w:jc w:val="both"/>
        <w:rPr/>
      </w:pPr>
      <w:r>
        <w:rPr/>
        <w:t>The Statement of Architecture Work — abbreviated SoAW and pronounced "so-aw" or spelled out — is the formal contract between the architecture team and the engagement sponsors. It authorises the team to proceed with the substantive phases of the cycle and defines the terms on which they do so.</w:t>
      </w:r>
    </w:p>
    <w:p>
      <w:pPr>
        <w:pStyle w:val="Normal"/>
        <w:spacing w:lineRule="auto" w:line="300" w:before="0" w:after="120"/>
        <w:jc w:val="both"/>
        <w:rPr/>
      </w:pPr>
      <w:r>
        <w:rPr/>
        <w:t>The SoAW is treated in detail in Section 6 of this module, but its essential characteristic should be noted here: it is a signed document. Without sponsor signature on the SoAW, Phase A is incomplete and Phase B cannot legitimately begin.</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Statement of Architecture Work (SoAW): </w:t>
            </w:r>
            <w:r>
              <w:rPr/>
              <w:t>The signed contract produced in Phase A that authorises the architecture engagement. It defines scope, deliverables, schedule, resources, governance, and acceptance criteria. Acts as the project charter for the architecture cycle that runs through Phases B, C, D, E, and F.</w:t>
            </w:r>
          </w:p>
        </w:tc>
      </w:tr>
    </w:tbl>
    <w:p>
      <w:pPr>
        <w:pStyle w:val="Heading2"/>
        <w:spacing w:before="280" w:after="160"/>
        <w:rPr/>
      </w:pPr>
      <w:r>
        <w:rPr>
          <w:b/>
          <w:bCs/>
          <w:color w:val="2E75B6"/>
        </w:rPr>
        <w:t>4.3 Output 3: The Stakeholder Map</w:t>
      </w:r>
    </w:p>
    <w:p>
      <w:pPr>
        <w:pStyle w:val="Normal"/>
        <w:spacing w:lineRule="auto" w:line="300" w:before="0" w:after="120"/>
        <w:jc w:val="both"/>
        <w:rPr/>
      </w:pPr>
      <w:r>
        <w:rPr/>
        <w:t>The Stakeholder Map is the structured record of every individual or group with an interest in or influence over the engagement. It is produced or updated in Phase A and used throughout subsequent phases to guide engagement, communication, and view production (per Module 3).</w:t>
      </w:r>
    </w:p>
    <w:p>
      <w:pPr>
        <w:pStyle w:val="Heading3"/>
        <w:spacing w:before="220" w:after="120"/>
        <w:rPr/>
      </w:pPr>
      <w:r>
        <w:rPr>
          <w:b/>
          <w:bCs/>
          <w:color w:val="404040"/>
        </w:rPr>
        <w:t>Contents of the Stakeholder Map</w:t>
      </w:r>
    </w:p>
    <w:p>
      <w:pPr>
        <w:pStyle w:val="ListParagraph"/>
        <w:numPr>
          <w:ilvl w:val="0"/>
          <w:numId w:val="3"/>
        </w:numPr>
        <w:spacing w:lineRule="auto" w:line="281" w:before="0" w:after="80"/>
        <w:rPr/>
      </w:pPr>
      <w:r>
        <w:rPr/>
        <w:t>Identification — name and role of each stakeholder (or class of stakeholder where individuals are not yet known).</w:t>
      </w:r>
    </w:p>
    <w:p>
      <w:pPr>
        <w:pStyle w:val="ListParagraph"/>
        <w:numPr>
          <w:ilvl w:val="0"/>
          <w:numId w:val="3"/>
        </w:numPr>
        <w:spacing w:lineRule="auto" w:line="281" w:before="0" w:after="80"/>
        <w:rPr/>
      </w:pPr>
      <w:r>
        <w:rPr/>
        <w:t>Interest level — how strongly the stakeholder is affected by or invested in the engagement.</w:t>
      </w:r>
    </w:p>
    <w:p>
      <w:pPr>
        <w:pStyle w:val="ListParagraph"/>
        <w:numPr>
          <w:ilvl w:val="0"/>
          <w:numId w:val="3"/>
        </w:numPr>
        <w:spacing w:lineRule="auto" w:line="281" w:before="0" w:after="80"/>
        <w:rPr/>
      </w:pPr>
      <w:r>
        <w:rPr/>
        <w:t>Influence level — how much power the stakeholder has over the engagement's success or failure.</w:t>
      </w:r>
    </w:p>
    <w:p>
      <w:pPr>
        <w:pStyle w:val="ListParagraph"/>
        <w:numPr>
          <w:ilvl w:val="0"/>
          <w:numId w:val="3"/>
        </w:numPr>
        <w:spacing w:lineRule="auto" w:line="281" w:before="0" w:after="80"/>
        <w:rPr/>
      </w:pPr>
      <w:r>
        <w:rPr/>
        <w:t>Key concerns — the questions, risks, or properties this stakeholder needs addressed (linked to Module 3's view/viewpoint discipline).</w:t>
      </w:r>
    </w:p>
    <w:p>
      <w:pPr>
        <w:pStyle w:val="ListParagraph"/>
        <w:numPr>
          <w:ilvl w:val="0"/>
          <w:numId w:val="3"/>
        </w:numPr>
        <w:spacing w:lineRule="auto" w:line="281" w:before="0" w:after="80"/>
        <w:rPr/>
      </w:pPr>
      <w:r>
        <w:rPr/>
        <w:t>Engagement strategy — how often this stakeholder will be informed, consulted, or asked to decide.</w:t>
      </w:r>
    </w:p>
    <w:p>
      <w:pPr>
        <w:pStyle w:val="ListParagraph"/>
        <w:numPr>
          <w:ilvl w:val="0"/>
          <w:numId w:val="3"/>
        </w:numPr>
        <w:spacing w:lineRule="auto" w:line="281" w:before="0" w:after="80"/>
        <w:rPr/>
      </w:pPr>
      <w:r>
        <w:rPr/>
        <w:t>Preferred view types — what kind of architectural view this stakeholder will most usefully receive.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A Simple Stakeholder Map Entry</w:t>
            </w:r>
          </w:p>
          <w:p>
            <w:pPr>
              <w:pStyle w:val="Normal"/>
              <w:spacing w:lineRule="auto" w:line="281" w:before="0" w:after="60"/>
              <w:jc w:val="both"/>
              <w:rPr/>
            </w:pPr>
            <w:r>
              <w:rPr/>
              <w:t>Stakeholder: Group CFO (Sarah Patel)</w:t>
            </w:r>
          </w:p>
          <w:p>
            <w:pPr>
              <w:pStyle w:val="Normal"/>
              <w:spacing w:lineRule="auto" w:line="281" w:before="0" w:after="60"/>
              <w:jc w:val="both"/>
              <w:rPr/>
            </w:pPr>
            <w:r>
              <w:rPr/>
              <w:t>Interest: High — the engagement claims a £20m annual saving that will be reported on the P&amp;L.</w:t>
            </w:r>
          </w:p>
          <w:p>
            <w:pPr>
              <w:pStyle w:val="Normal"/>
              <w:spacing w:lineRule="auto" w:line="281" w:before="0" w:after="60"/>
              <w:jc w:val="both"/>
              <w:rPr/>
            </w:pPr>
            <w:r>
              <w:rPr/>
              <w:t>Influence: High — funding approval rests with her.</w:t>
            </w:r>
          </w:p>
          <w:p>
            <w:pPr>
              <w:pStyle w:val="Normal"/>
              <w:spacing w:lineRule="auto" w:line="281" w:before="0" w:after="60"/>
              <w:jc w:val="both"/>
              <w:rPr/>
            </w:pPr>
            <w:r>
              <w:rPr/>
              <w:t>Key Concerns: Where does the saving come from year by year? What is the cash-flow profile? What happens if delivery slips?</w:t>
            </w:r>
          </w:p>
          <w:p>
            <w:pPr>
              <w:pStyle w:val="Normal"/>
              <w:spacing w:lineRule="auto" w:line="281" w:before="0" w:after="60"/>
              <w:jc w:val="both"/>
              <w:rPr/>
            </w:pPr>
            <w:r>
              <w:rPr/>
              <w:t>Engagement Strategy: Monthly written update; quarterly formal review; ad-hoc availability for material changes.</w:t>
            </w:r>
          </w:p>
          <w:p>
            <w:pPr>
              <w:pStyle w:val="Normal"/>
              <w:spacing w:lineRule="auto" w:line="281" w:before="0" w:after="60"/>
              <w:jc w:val="both"/>
              <w:rPr/>
            </w:pPr>
            <w:r>
              <w:rPr/>
              <w:t>Preferred Views: Investment &amp; Cash-Flow Viewpoint (financial-focused, see Module 3); high-level capability impact view.</w:t>
            </w:r>
          </w:p>
          <w:p>
            <w:pPr>
              <w:pStyle w:val="Normal"/>
              <w:spacing w:lineRule="auto" w:line="281" w:before="0" w:after="60"/>
              <w:jc w:val="both"/>
              <w:rPr/>
            </w:pPr>
            <w:r>
              <w:rPr/>
              <w:t>This entry tells the architects: produce financial views for Sarah, brief her monthly, escalate any material change, and treat her as a key approver. Without the entry, default behaviour would be to send her the same architecture deck as everyone else — which she would not read.</w:t>
            </w:r>
          </w:p>
        </w:tc>
      </w:tr>
    </w:tbl>
    <w:p>
      <w:pPr>
        <w:pStyle w:val="Heading2"/>
        <w:spacing w:before="280" w:after="160"/>
        <w:rPr/>
      </w:pPr>
      <w:r>
        <w:rPr>
          <w:b/>
          <w:bCs/>
          <w:color w:val="2E75B6"/>
        </w:rPr>
        <w:t>4.4 The Three Outputs Summarised</w:t>
      </w:r>
    </w:p>
    <w:tbl>
      <w:tblPr>
        <w:tblW w:w="9360" w:type="dxa"/>
        <w:jc w:val="left"/>
        <w:tblInd w:w="0" w:type="dxa"/>
        <w:tblLayout w:type="fixed"/>
        <w:tblCellMar>
          <w:top w:w="100" w:type="dxa"/>
          <w:left w:w="120" w:type="dxa"/>
          <w:bottom w:w="100" w:type="dxa"/>
          <w:right w:w="120" w:type="dxa"/>
        </w:tblCellMar>
      </w:tblPr>
      <w:tblGrid>
        <w:gridCol w:w="2399"/>
        <w:gridCol w:w="3500"/>
        <w:gridCol w:w="3461"/>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Output</w:t>
            </w:r>
          </w:p>
        </w:tc>
        <w:tc>
          <w:tcPr>
            <w:tcW w:w="35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Audience</w:t>
            </w:r>
          </w:p>
        </w:tc>
        <w:tc>
          <w:tcPr>
            <w:tcW w:w="346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Purpose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Vision</w:t>
            </w:r>
          </w:p>
        </w:tc>
        <w:tc>
          <w:tcPr>
            <w:tcW w:w="3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Sponsors and senior stakeholders</w:t>
            </w:r>
          </w:p>
        </w:tc>
        <w:tc>
          <w:tcPr>
            <w:tcW w:w="34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Communicate intent, scope, and value to secure buy-in</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Statement of Architecture Work</w:t>
            </w:r>
          </w:p>
        </w:tc>
        <w:tc>
          <w:tcPr>
            <w:tcW w:w="35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Sponsors (signers) and architecture team (executors)</w:t>
            </w:r>
          </w:p>
        </w:tc>
        <w:tc>
          <w:tcPr>
            <w:tcW w:w="34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Formally authorise the engagement; act as the contract</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Stakeholder Map</w:t>
            </w:r>
          </w:p>
        </w:tc>
        <w:tc>
          <w:tcPr>
            <w:tcW w:w="35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team (internal use)</w:t>
            </w:r>
          </w:p>
        </w:tc>
        <w:tc>
          <w:tcPr>
            <w:tcW w:w="34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Guide engagement and view production through subsequent phases</w:t>
            </w:r>
          </w:p>
        </w:tc>
      </w:tr>
    </w:tbl>
    <w:p>
      <w:pPr>
        <w:pStyle w:val="Normal"/>
        <w:rPr/>
      </w:pPr>
      <w:r>
        <w:rPr/>
      </w:r>
      <w:r>
        <w:br w:type="page"/>
      </w:r>
    </w:p>
    <w:p>
      <w:pPr>
        <w:pStyle w:val="Heading1"/>
        <w:spacing w:before="0" w:after="200"/>
        <w:rPr/>
      </w:pPr>
      <w:r>
        <w:rPr>
          <w:b/>
          <w:bCs/>
          <w:color w:val="1F4E78"/>
        </w:rPr>
        <w:t>5. Architecture Vision Is NOT the Architecture Definition Document</w:t>
      </w:r>
    </w:p>
    <w:p>
      <w:pPr>
        <w:pStyle w:val="Normal"/>
        <w:spacing w:lineRule="auto" w:line="300" w:before="0" w:after="120"/>
        <w:jc w:val="both"/>
        <w:rPr/>
      </w:pPr>
      <w:r>
        <w:rPr/>
        <w:t>This is the most-tested distinction inside Phase A. The two artefacts have similar-sounding names and overlapping topics, and they are easy to confuse. Confusing them produces architects who try to deliver Phase B work in Phase A, sponsors who reject Phase A documents because they are "not detailed enough", and exam candidates who lose marks on this exact question.</w:t>
      </w:r>
    </w:p>
    <w:p>
      <w:pPr>
        <w:pStyle w:val="Heading2"/>
        <w:spacing w:before="280" w:after="160"/>
        <w:rPr/>
      </w:pPr>
      <w:r>
        <w:rPr>
          <w:b/>
          <w:bCs/>
          <w:color w:val="2E75B6"/>
        </w:rPr>
        <w:t>5.1 Side-by-Side Comparison</w:t>
      </w:r>
    </w:p>
    <w:tbl>
      <w:tblPr>
        <w:tblW w:w="9360" w:type="dxa"/>
        <w:jc w:val="left"/>
        <w:tblInd w:w="0" w:type="dxa"/>
        <w:tblLayout w:type="fixed"/>
        <w:tblCellMar>
          <w:top w:w="100" w:type="dxa"/>
          <w:left w:w="120" w:type="dxa"/>
          <w:bottom w:w="100" w:type="dxa"/>
          <w:right w:w="120" w:type="dxa"/>
        </w:tblCellMar>
      </w:tblPr>
      <w:tblGrid>
        <w:gridCol w:w="1699"/>
        <w:gridCol w:w="3700"/>
        <w:gridCol w:w="3961"/>
      </w:tblGrid>
      <w:tr>
        <w:trPr>
          <w:tblHeader w:val="true"/>
        </w:trPr>
        <w:tc>
          <w:tcPr>
            <w:tcW w:w="16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Aspect</w:t>
            </w:r>
          </w:p>
        </w:tc>
        <w:tc>
          <w:tcPr>
            <w:tcW w:w="370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Architecture Vision</w:t>
            </w:r>
          </w:p>
        </w:tc>
        <w:tc>
          <w:tcPr>
            <w:tcW w:w="396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Architecture Definition Document</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Phase produced</w:t>
            </w:r>
          </w:p>
        </w:tc>
        <w:tc>
          <w:tcPr>
            <w:tcW w:w="37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Phase A</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Phases B, C, D (built incrementally)</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Level of detail</w:t>
            </w:r>
          </w:p>
        </w:tc>
        <w:tc>
          <w:tcPr>
            <w:tcW w:w="37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High level — narrative and intent</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Detailed — designs and specifications</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Length</w:t>
            </w:r>
          </w:p>
        </w:tc>
        <w:tc>
          <w:tcPr>
            <w:tcW w:w="37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Short (often 5–20 pages)</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Long (typically 50–200 pages or structured database)</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Audience</w:t>
            </w:r>
          </w:p>
        </w:tc>
        <w:tc>
          <w:tcPr>
            <w:tcW w:w="37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Executive sponsors, senior stakeholders</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Architects, designers, implementers, governance</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Purpose</w:t>
            </w:r>
          </w:p>
        </w:tc>
        <w:tc>
          <w:tcPr>
            <w:tcW w:w="37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Secure mandate and alignment</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Specify the architecture in implementable detail</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Binding on later design?</w:t>
            </w:r>
          </w:p>
        </w:tc>
        <w:tc>
          <w:tcPr>
            <w:tcW w:w="37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No — design choices made in B/C/D</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Yes — the design baseline against which compliance is measured</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Contains target architecture?</w:t>
            </w:r>
          </w:p>
        </w:tc>
        <w:tc>
          <w:tcPr>
            <w:tcW w:w="37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Conceptual sketch only</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Full Business, Data, Application, and Technology architectures</w:t>
            </w:r>
          </w:p>
        </w:tc>
      </w:tr>
      <w:tr>
        <w:trPr/>
        <w:tc>
          <w:tcPr>
            <w:tcW w:w="16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Updated when?</w:t>
            </w:r>
          </w:p>
        </w:tc>
        <w:tc>
          <w:tcPr>
            <w:tcW w:w="37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Rarely after Phase A; only on major scope change</w:t>
            </w:r>
          </w:p>
        </w:tc>
        <w:tc>
          <w:tcPr>
            <w:tcW w:w="396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Continuously through B, C, D; baselined for governance</w:t>
            </w:r>
          </w:p>
        </w:tc>
      </w:tr>
      <w:tr>
        <w:trPr/>
        <w:tc>
          <w:tcPr>
            <w:tcW w:w="16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Decision support</w:t>
            </w:r>
          </w:p>
        </w:tc>
        <w:tc>
          <w:tcPr>
            <w:tcW w:w="37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Should we do this engagement at all?</w:t>
            </w:r>
          </w:p>
        </w:tc>
        <w:tc>
          <w:tcPr>
            <w:tcW w:w="396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How exactly will the architecture be designed?</w:t>
            </w:r>
          </w:p>
        </w:tc>
      </w:tr>
    </w:tbl>
    <w:p>
      <w:pPr>
        <w:pStyle w:val="Heading2"/>
        <w:spacing w:before="280" w:after="160"/>
        <w:rPr/>
      </w:pPr>
      <w:r>
        <w:rPr>
          <w:b/>
          <w:bCs/>
          <w:color w:val="2E75B6"/>
        </w:rPr>
        <w:t>5.2 Why They Are Different</w:t>
      </w:r>
    </w:p>
    <w:p>
      <w:pPr>
        <w:pStyle w:val="Normal"/>
        <w:spacing w:lineRule="auto" w:line="300" w:before="0" w:after="120"/>
        <w:jc w:val="both"/>
        <w:rPr/>
      </w:pPr>
      <w:r>
        <w:rPr/>
        <w:t>The Vision and the Definition Document serve different decisions at different times in the cycle, for different audiences.</w:t>
      </w:r>
    </w:p>
    <w:p>
      <w:pPr>
        <w:pStyle w:val="Heading3"/>
        <w:spacing w:before="220" w:after="120"/>
        <w:rPr/>
      </w:pPr>
      <w:r>
        <w:rPr>
          <w:b/>
          <w:bCs/>
          <w:color w:val="404040"/>
        </w:rPr>
        <w:t>Different Decisions</w:t>
      </w:r>
    </w:p>
    <w:p>
      <w:pPr>
        <w:pStyle w:val="Normal"/>
        <w:spacing w:lineRule="auto" w:line="300" w:before="0" w:after="120"/>
        <w:jc w:val="both"/>
        <w:rPr/>
      </w:pPr>
      <w:r>
        <w:rPr/>
        <w:t>The Vision supports the decision: "Should the enterprise commit resources to this architecture engagement?" That decision is made by sponsors at the end of Phase A. They need enough information to say yes or no — not so much that they are flooded with detail.</w:t>
      </w:r>
    </w:p>
    <w:p>
      <w:pPr>
        <w:pStyle w:val="Normal"/>
        <w:spacing w:lineRule="auto" w:line="300" w:before="0" w:after="120"/>
        <w:jc w:val="both"/>
        <w:rPr/>
      </w:pPr>
      <w:r>
        <w:rPr/>
        <w:t>The Definition Document supports a different decision: "Is this design correct, and should implementation projects build to it?" That decision is made by the Architecture Board at the end of Phases B, C, and D, before Phase E commits work packages to delivery. The Board needs detailed information — diagrams, specifications, gap analyses — to evaluate the design.</w:t>
      </w:r>
    </w:p>
    <w:p>
      <w:pPr>
        <w:pStyle w:val="Heading3"/>
        <w:spacing w:before="220" w:after="120"/>
        <w:rPr/>
      </w:pPr>
      <w:r>
        <w:rPr>
          <w:b/>
          <w:bCs/>
          <w:color w:val="404040"/>
        </w:rPr>
        <w:t>Different Times</w:t>
      </w:r>
    </w:p>
    <w:p>
      <w:pPr>
        <w:pStyle w:val="Normal"/>
        <w:spacing w:lineRule="auto" w:line="300" w:before="0" w:after="120"/>
        <w:jc w:val="both"/>
        <w:rPr/>
      </w:pPr>
      <w:r>
        <w:rPr/>
        <w:t>The Vision is produced and signed off in Phase A, before any substantive architecture work has begun. At that point, the detailed information needed for a Definition Document does not yet exist — it has not been developed. Trying to write the Definition Document in Phase A would mean producing it in advance of the work that informs it, which is back-to-front.</w:t>
      </w:r>
    </w:p>
    <w:p>
      <w:pPr>
        <w:pStyle w:val="Heading3"/>
        <w:spacing w:before="220" w:after="120"/>
        <w:rPr/>
      </w:pPr>
      <w:r>
        <w:rPr>
          <w:b/>
          <w:bCs/>
          <w:color w:val="404040"/>
        </w:rPr>
        <w:t>Different Audiences</w:t>
      </w:r>
    </w:p>
    <w:p>
      <w:pPr>
        <w:pStyle w:val="Normal"/>
        <w:spacing w:lineRule="auto" w:line="300" w:before="0" w:after="120"/>
        <w:jc w:val="both"/>
        <w:rPr/>
      </w:pPr>
      <w:r>
        <w:rPr/>
        <w:t>The Vision is for sponsors. Sponsors are typically executives — busy, time-constrained, decision-oriented. They will not read a 200-page document; they need a 10-page narrative that lets them say yes or no. The Definition Document is for technical reviewers and implementers. They need depth, traceability, and precision. A 10-page narrative is insufficient for them.</w:t>
      </w:r>
    </w:p>
    <w:p>
      <w:pPr>
        <w:pStyle w:val="Heading2"/>
        <w:spacing w:before="280" w:after="160"/>
        <w:rPr/>
      </w:pPr>
      <w:r>
        <w:rPr>
          <w:b/>
          <w:bCs/>
          <w:color w:val="2E75B6"/>
        </w:rPr>
        <w:t>5.3 What Each Document Looks Like</w:t>
      </w:r>
    </w:p>
    <w:p>
      <w:pPr>
        <w:pStyle w:val="Heading3"/>
        <w:spacing w:before="220" w:after="120"/>
        <w:rPr/>
      </w:pPr>
      <w:r>
        <w:rPr>
          <w:b/>
          <w:bCs/>
          <w:color w:val="404040"/>
        </w:rPr>
        <w:t>Typical Architecture Vision Contents</w:t>
      </w:r>
    </w:p>
    <w:p>
      <w:pPr>
        <w:pStyle w:val="ListParagraph"/>
        <w:numPr>
          <w:ilvl w:val="0"/>
          <w:numId w:val="3"/>
        </w:numPr>
        <w:spacing w:lineRule="auto" w:line="281" w:before="0" w:after="80"/>
        <w:rPr/>
      </w:pPr>
      <w:r>
        <w:rPr/>
        <w:t>Executive summary (one page) — what we are doing and why.</w:t>
      </w:r>
    </w:p>
    <w:p>
      <w:pPr>
        <w:pStyle w:val="ListParagraph"/>
        <w:numPr>
          <w:ilvl w:val="0"/>
          <w:numId w:val="3"/>
        </w:numPr>
        <w:spacing w:lineRule="auto" w:line="281" w:before="0" w:after="80"/>
        <w:rPr/>
      </w:pPr>
      <w:r>
        <w:rPr/>
        <w:t>Business goals and drivers — the strategic context.</w:t>
      </w:r>
    </w:p>
    <w:p>
      <w:pPr>
        <w:pStyle w:val="ListParagraph"/>
        <w:numPr>
          <w:ilvl w:val="0"/>
          <w:numId w:val="3"/>
        </w:numPr>
        <w:spacing w:lineRule="auto" w:line="281" w:before="0" w:after="80"/>
        <w:rPr/>
      </w:pPr>
      <w:r>
        <w:rPr/>
        <w:t>Stakeholders and concerns — who cares and what they care about.</w:t>
      </w:r>
    </w:p>
    <w:p>
      <w:pPr>
        <w:pStyle w:val="ListParagraph"/>
        <w:numPr>
          <w:ilvl w:val="0"/>
          <w:numId w:val="3"/>
        </w:numPr>
        <w:spacing w:lineRule="auto" w:line="281" w:before="0" w:after="80"/>
        <w:rPr/>
      </w:pPr>
      <w:r>
        <w:rPr/>
        <w:t>Scope — what is in, what is out.</w:t>
      </w:r>
    </w:p>
    <w:p>
      <w:pPr>
        <w:pStyle w:val="ListParagraph"/>
        <w:numPr>
          <w:ilvl w:val="0"/>
          <w:numId w:val="3"/>
        </w:numPr>
        <w:spacing w:lineRule="auto" w:line="281" w:before="0" w:after="80"/>
        <w:rPr/>
      </w:pPr>
      <w:r>
        <w:rPr/>
        <w:t>High-level baseline and target architecture sketch — typically a single conceptual diagram per domain at most.</w:t>
      </w:r>
    </w:p>
    <w:p>
      <w:pPr>
        <w:pStyle w:val="ListParagraph"/>
        <w:numPr>
          <w:ilvl w:val="0"/>
          <w:numId w:val="3"/>
        </w:numPr>
        <w:spacing w:lineRule="auto" w:line="281" w:before="0" w:after="80"/>
        <w:rPr/>
      </w:pPr>
      <w:r>
        <w:rPr/>
        <w:t>Value statement — the benefits the engagement will deliver.</w:t>
      </w:r>
    </w:p>
    <w:p>
      <w:pPr>
        <w:pStyle w:val="ListParagraph"/>
        <w:numPr>
          <w:ilvl w:val="0"/>
          <w:numId w:val="3"/>
        </w:numPr>
        <w:spacing w:lineRule="auto" w:line="281" w:before="0" w:after="80"/>
        <w:rPr/>
      </w:pPr>
      <w:r>
        <w:rPr/>
        <w:t>Approach and high-level roadmap — the shape of the journey, not the detailed plan.</w:t>
      </w:r>
    </w:p>
    <w:p>
      <w:pPr>
        <w:pStyle w:val="ListParagraph"/>
        <w:numPr>
          <w:ilvl w:val="0"/>
          <w:numId w:val="3"/>
        </w:numPr>
        <w:spacing w:lineRule="auto" w:line="281" w:before="0" w:after="80"/>
        <w:rPr/>
      </w:pPr>
      <w:r>
        <w:rPr/>
        <w:t>Key risks and assumptions.</w:t>
      </w:r>
    </w:p>
    <w:p>
      <w:pPr>
        <w:pStyle w:val="Heading3"/>
        <w:spacing w:before="220" w:after="120"/>
        <w:rPr/>
      </w:pPr>
      <w:r>
        <w:rPr>
          <w:b/>
          <w:bCs/>
          <w:color w:val="404040"/>
        </w:rPr>
        <w:t>Typical Architecture Definition Document Contents</w:t>
      </w:r>
    </w:p>
    <w:p>
      <w:pPr>
        <w:pStyle w:val="ListParagraph"/>
        <w:numPr>
          <w:ilvl w:val="0"/>
          <w:numId w:val="3"/>
        </w:numPr>
        <w:spacing w:lineRule="auto" w:line="281" w:before="0" w:after="80"/>
        <w:rPr/>
      </w:pPr>
      <w:r>
        <w:rPr/>
        <w:t>Detailed Baseline Business Architecture — capability map, value streams, organisation, processes.</w:t>
      </w:r>
    </w:p>
    <w:p>
      <w:pPr>
        <w:pStyle w:val="ListParagraph"/>
        <w:numPr>
          <w:ilvl w:val="0"/>
          <w:numId w:val="3"/>
        </w:numPr>
        <w:spacing w:lineRule="auto" w:line="281" w:before="0" w:after="80"/>
        <w:rPr/>
      </w:pPr>
      <w:r>
        <w:rPr/>
        <w:t>Detailed Target Business Architecture — same artefacts, target state.</w:t>
      </w:r>
    </w:p>
    <w:p>
      <w:pPr>
        <w:pStyle w:val="ListParagraph"/>
        <w:numPr>
          <w:ilvl w:val="0"/>
          <w:numId w:val="3"/>
        </w:numPr>
        <w:spacing w:lineRule="auto" w:line="281" w:before="0" w:after="80"/>
        <w:rPr/>
      </w:pPr>
      <w:r>
        <w:rPr/>
        <w:t>Business Architecture gap analysis.</w:t>
      </w:r>
    </w:p>
    <w:p>
      <w:pPr>
        <w:pStyle w:val="ListParagraph"/>
        <w:numPr>
          <w:ilvl w:val="0"/>
          <w:numId w:val="3"/>
        </w:numPr>
        <w:spacing w:lineRule="auto" w:line="281" w:before="0" w:after="80"/>
        <w:rPr/>
      </w:pPr>
      <w:r>
        <w:rPr/>
        <w:t>Detailed Baseline and Target Data Architectures — entity catalogues, models, flows, lifecycle.</w:t>
      </w:r>
    </w:p>
    <w:p>
      <w:pPr>
        <w:pStyle w:val="ListParagraph"/>
        <w:numPr>
          <w:ilvl w:val="0"/>
          <w:numId w:val="3"/>
        </w:numPr>
        <w:spacing w:lineRule="auto" w:line="281" w:before="0" w:after="80"/>
        <w:rPr/>
      </w:pPr>
      <w:r>
        <w:rPr/>
        <w:t>Data Architecture gap analysis.</w:t>
      </w:r>
    </w:p>
    <w:p>
      <w:pPr>
        <w:pStyle w:val="ListParagraph"/>
        <w:numPr>
          <w:ilvl w:val="0"/>
          <w:numId w:val="3"/>
        </w:numPr>
        <w:spacing w:lineRule="auto" w:line="281" w:before="0" w:after="80"/>
        <w:rPr/>
      </w:pPr>
      <w:r>
        <w:rPr/>
        <w:t>Detailed Baseline and Target Application Architectures — portfolio catalogue, communication diagrams, APIs.</w:t>
      </w:r>
    </w:p>
    <w:p>
      <w:pPr>
        <w:pStyle w:val="ListParagraph"/>
        <w:numPr>
          <w:ilvl w:val="0"/>
          <w:numId w:val="3"/>
        </w:numPr>
        <w:spacing w:lineRule="auto" w:line="281" w:before="0" w:after="80"/>
        <w:rPr/>
      </w:pPr>
      <w:r>
        <w:rPr/>
        <w:t>Application Architecture gap analysis.</w:t>
      </w:r>
    </w:p>
    <w:p>
      <w:pPr>
        <w:pStyle w:val="ListParagraph"/>
        <w:numPr>
          <w:ilvl w:val="0"/>
          <w:numId w:val="3"/>
        </w:numPr>
        <w:spacing w:lineRule="auto" w:line="281" w:before="0" w:after="80"/>
        <w:rPr/>
      </w:pPr>
      <w:r>
        <w:rPr/>
        <w:t>Detailed Baseline and Target Technology Architectures — platforms, infrastructure, network, standards.</w:t>
      </w:r>
    </w:p>
    <w:p>
      <w:pPr>
        <w:pStyle w:val="ListParagraph"/>
        <w:numPr>
          <w:ilvl w:val="0"/>
          <w:numId w:val="3"/>
        </w:numPr>
        <w:spacing w:lineRule="auto" w:line="281" w:before="0" w:after="80"/>
        <w:rPr/>
      </w:pPr>
      <w:r>
        <w:rPr/>
        <w:t>Technology Architecture gap analysis.</w:t>
      </w:r>
    </w:p>
    <w:p>
      <w:pPr>
        <w:pStyle w:val="ListParagraph"/>
        <w:numPr>
          <w:ilvl w:val="0"/>
          <w:numId w:val="3"/>
        </w:numPr>
        <w:spacing w:lineRule="auto" w:line="281" w:before="0" w:after="80"/>
        <w:rPr/>
      </w:pPr>
      <w:r>
        <w:rPr/>
        <w:t>Cross-domain integration view.</w:t>
      </w:r>
    </w:p>
    <w:p>
      <w:pPr>
        <w:pStyle w:val="ListParagraph"/>
        <w:numPr>
          <w:ilvl w:val="0"/>
          <w:numId w:val="3"/>
        </w:numPr>
        <w:spacing w:lineRule="auto" w:line="281" w:before="0" w:after="80"/>
        <w:rPr/>
      </w:pPr>
      <w:r>
        <w:rPr/>
        <w:t>Mapping of architecture elements to business capabilities and to requirements.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00000"/>
              <w:left w:val="single" w:sz="24" w:space="0" w:color="C00000"/>
              <w:bottom w:val="single" w:sz="8" w:space="0" w:color="C00000"/>
              <w:right w:val="single" w:sz="4" w:space="0" w:color="C00000"/>
            </w:tcBorders>
            <w:shd w:fill="FCE4E4" w:val="clear"/>
          </w:tcPr>
          <w:p>
            <w:pPr>
              <w:pStyle w:val="Normal"/>
              <w:spacing w:before="0" w:after="80"/>
              <w:rPr/>
            </w:pPr>
            <w:r>
              <w:rPr>
                <w:b/>
                <w:bCs/>
                <w:color w:val="8B0000"/>
              </w:rPr>
              <w:t xml:space="preserve">⚠ </w:t>
            </w:r>
            <w:r>
              <w:rPr>
                <w:b/>
                <w:bCs/>
                <w:color w:val="8B0000"/>
              </w:rPr>
              <w:t>The Wrong Direction of Detail Migration</w:t>
            </w:r>
          </w:p>
          <w:p>
            <w:pPr>
              <w:pStyle w:val="Normal"/>
              <w:spacing w:lineRule="auto" w:line="281" w:before="0" w:after="60"/>
              <w:jc w:val="both"/>
              <w:rPr/>
            </w:pPr>
            <w:r>
              <w:rPr/>
              <w:t>A common dysfunction: an architect under pressure from sponsors to "show what we will deliver" responds by adding more and more detail to the Architecture Vision. By the end of Phase A the Vision is a 100-page document that has consumed three months and is still considered insufficient because it lacks specific vendor choices.</w:t>
            </w:r>
          </w:p>
          <w:p>
            <w:pPr>
              <w:pStyle w:val="Normal"/>
              <w:spacing w:lineRule="auto" w:line="281" w:before="0" w:after="60"/>
              <w:jc w:val="both"/>
              <w:rPr/>
            </w:pPr>
            <w:r>
              <w:rPr/>
              <w:t>The correct response is to keep the Vision short and time-box Phase A. If sponsors need to see detail, the answer is to issue the SoAW and start Phase B — not to extend Phase A. The cure for impatient sponsors is faster phase progression, not heavier Phase A documents.</w:t>
            </w:r>
          </w:p>
          <w:p>
            <w:pPr>
              <w:pStyle w:val="Normal"/>
              <w:spacing w:lineRule="auto" w:line="281" w:before="0" w:after="60"/>
              <w:jc w:val="both"/>
              <w:rPr/>
            </w:pPr>
            <w:r>
              <w:rPr/>
              <w:t>Conversely, the opposite dysfunction is producing an Architecture Definition Document that is just a slightly expanded Vision — narrative without diagrams, intent without specifications. That document cannot be used by implementation teams or by the Architecture Board for compliance. The Definition Document must contain detailed design.</w:t>
            </w:r>
          </w:p>
        </w:tc>
      </w:tr>
    </w:tbl>
    <w:p>
      <w:pPr>
        <w:pStyle w:val="Heading2"/>
        <w:spacing w:before="280" w:after="160"/>
        <w:rPr/>
      </w:pPr>
      <w:r>
        <w:rPr>
          <w:b/>
          <w:bCs/>
          <w:color w:val="2E75B6"/>
        </w:rPr>
        <w:t>5.4 The Decision Test</w:t>
      </w:r>
    </w:p>
    <w:p>
      <w:pPr>
        <w:pStyle w:val="Normal"/>
        <w:spacing w:lineRule="auto" w:line="300" w:before="0" w:after="120"/>
        <w:jc w:val="both"/>
        <w:rPr/>
      </w:pPr>
      <w:r>
        <w:rPr/>
        <w:t>If you are unsure whether content belongs in the Vision or the Definition Document, ask: which decision does this support? Content that supports "should we do this?" goes in the Vision. Content that supports "is the design correct?" goes in the Definition Document. If you cannot tell which decision the content supports, the content probably should not be in either.</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Vision and Definition Document for the Same Engagement</w:t>
            </w:r>
          </w:p>
          <w:p>
            <w:pPr>
              <w:pStyle w:val="Normal"/>
              <w:spacing w:lineRule="auto" w:line="281" w:before="0" w:after="60"/>
              <w:jc w:val="both"/>
              <w:rPr/>
            </w:pPr>
            <w:r>
              <w:rPr/>
              <w:t>Engagement: A bank's digital onboarding modernisation.</w:t>
            </w:r>
          </w:p>
          <w:p>
            <w:pPr>
              <w:pStyle w:val="Normal"/>
              <w:spacing w:lineRule="auto" w:line="281" w:before="0" w:after="60"/>
              <w:jc w:val="both"/>
              <w:rPr/>
            </w:pPr>
            <w:r>
              <w:rPr/>
              <w:t>Architecture Vision (Phase A, 12 pages): "By 2027, customers will open accounts fully online in under 10 minutes, with identity verification, credit assessment, and account funding integrated into a single mobile journey. This will reduce onboarding cost by £8m annually and grow new-account volume by 40%. Scope is retail banking only (not wealth or business). The work will run for 18 months across three Transition Architectures." Plus stakeholder map, high-level capability impact, key risks. Approved by the CEO and CFO; SoAW signed.</w:t>
            </w:r>
          </w:p>
          <w:p>
            <w:pPr>
              <w:pStyle w:val="Normal"/>
              <w:spacing w:lineRule="auto" w:line="281" w:before="0" w:after="60"/>
              <w:jc w:val="both"/>
              <w:rPr/>
            </w:pPr>
            <w:r>
              <w:rPr/>
              <w:t>Architecture Definition Document (Phases B, C, D — built incrementally over five months, 180 pages): Detailed baseline capability map for Customer Onboarding (28 capabilities scored on maturity); detailed target capability map; detailed BPMN for the new onboarding process; detailed entity model for KYC data including 47 attributes per entity; detailed application portfolio target showing replacement of three legacy systems with two new ones plus four reuse decisions; detailed API contracts for the seven new services; detailed Technology Standards conformance review.</w:t>
            </w:r>
          </w:p>
          <w:p>
            <w:pPr>
              <w:pStyle w:val="Normal"/>
              <w:spacing w:lineRule="auto" w:line="281" w:before="0" w:after="60"/>
              <w:jc w:val="both"/>
              <w:rPr/>
            </w:pPr>
            <w:r>
              <w:rPr/>
              <w:t>The Vision answered: should we commit to this engagement? Yes. The Definition Document answers: is this design correct, and should we build it? Yes — and these are the precise designs to build.</w:t>
            </w:r>
          </w:p>
        </w:tc>
      </w:tr>
    </w:tbl>
    <w:p>
      <w:pPr>
        <w:pStyle w:val="Normal"/>
        <w:rPr/>
      </w:pPr>
      <w:r>
        <w:rPr/>
      </w:r>
      <w:r>
        <w:br w:type="page"/>
      </w:r>
    </w:p>
    <w:p>
      <w:pPr>
        <w:pStyle w:val="Heading1"/>
        <w:spacing w:before="0" w:after="200"/>
        <w:rPr/>
      </w:pPr>
      <w:r>
        <w:rPr>
          <w:b/>
          <w:bCs/>
          <w:color w:val="1F4E78"/>
        </w:rPr>
        <w:t>6. The Statement of Architecture Work (SoAW)</w:t>
      </w:r>
    </w:p>
    <w:p>
      <w:pPr>
        <w:pStyle w:val="Normal"/>
        <w:spacing w:lineRule="auto" w:line="300" w:before="0" w:after="120"/>
        <w:jc w:val="both"/>
        <w:rPr/>
      </w:pPr>
      <w:r>
        <w:rPr/>
        <w:t>The Statement of Architecture Work is the project charter of the architecture cycle. It is the formal, signed document that authorises the architecture team to proceed with the substantive phases. Without it, Phase B cannot begin; with it, the architecture team has explicit licence and explicit obligations.</w:t>
      </w:r>
    </w:p>
    <w:p>
      <w:pPr>
        <w:pStyle w:val="Heading2"/>
        <w:spacing w:before="280" w:after="160"/>
        <w:rPr/>
      </w:pPr>
      <w:r>
        <w:rPr>
          <w:b/>
          <w:bCs/>
          <w:color w:val="2E75B6"/>
        </w:rPr>
        <w:t>6.1 What the SoAW Is For</w:t>
      </w:r>
    </w:p>
    <w:p>
      <w:pPr>
        <w:pStyle w:val="Normal"/>
        <w:spacing w:lineRule="auto" w:line="300" w:before="0" w:after="120"/>
        <w:jc w:val="both"/>
        <w:rPr/>
      </w:pPr>
      <w:r>
        <w:rPr/>
        <w:t>The SoAW serves four purposes:</w:t>
      </w:r>
    </w:p>
    <w:p>
      <w:pPr>
        <w:pStyle w:val="ListParagraph"/>
        <w:numPr>
          <w:ilvl w:val="0"/>
          <w:numId w:val="2"/>
        </w:numPr>
        <w:spacing w:lineRule="auto" w:line="281" w:before="0" w:after="80"/>
        <w:rPr/>
      </w:pPr>
      <w:r>
        <w:rPr/>
        <w:t>Authorisation — explicit sponsor approval to commit architecture team time and stakeholder attention.</w:t>
      </w:r>
    </w:p>
    <w:p>
      <w:pPr>
        <w:pStyle w:val="ListParagraph"/>
        <w:numPr>
          <w:ilvl w:val="0"/>
          <w:numId w:val="2"/>
        </w:numPr>
        <w:spacing w:lineRule="auto" w:line="281" w:before="0" w:after="80"/>
        <w:rPr/>
      </w:pPr>
      <w:r>
        <w:rPr/>
        <w:t>Scope contract — the agreed boundary of the engagement, preventing scope creep.</w:t>
      </w:r>
    </w:p>
    <w:p>
      <w:pPr>
        <w:pStyle w:val="ListParagraph"/>
        <w:numPr>
          <w:ilvl w:val="0"/>
          <w:numId w:val="2"/>
        </w:numPr>
        <w:spacing w:lineRule="auto" w:line="281" w:before="0" w:after="80"/>
        <w:rPr/>
      </w:pPr>
      <w:r>
        <w:rPr/>
        <w:t>Resource agreement — what the sponsors commit (budget, business stakeholder time, decision availability) in exchange for what the architecture team delivers.</w:t>
      </w:r>
    </w:p>
    <w:p>
      <w:pPr>
        <w:pStyle w:val="ListParagraph"/>
        <w:numPr>
          <w:ilvl w:val="0"/>
          <w:numId w:val="2"/>
        </w:numPr>
        <w:spacing w:lineRule="auto" w:line="281" w:before="0" w:after="80"/>
        <w:rPr/>
      </w:pPr>
      <w:r>
        <w:rPr/>
        <w:t>Acceptance baseline — the criteria by which the engagement's success will be judged at the end.</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Statement of Architecture Work — Purpose: </w:t>
            </w:r>
            <w:r>
              <w:rPr/>
              <w:t>The SoAW is to an architecture cycle what a project charter is to a project: it formally authorises the work, defines what is in and out of scope, agrees resources, and sets acceptance criteria. It is signed by sponsors and is the first principal output of Phase A that the architecture team owns.</w:t>
            </w:r>
          </w:p>
        </w:tc>
      </w:tr>
    </w:tbl>
    <w:p>
      <w:pPr>
        <w:pStyle w:val="Heading2"/>
        <w:spacing w:before="280" w:after="160"/>
        <w:rPr/>
      </w:pPr>
      <w:r>
        <w:rPr>
          <w:b/>
          <w:bCs/>
          <w:color w:val="2E75B6"/>
        </w:rPr>
        <w:t>6.2 SoAW Contents — The Project Charter</w:t>
      </w:r>
    </w:p>
    <w:p>
      <w:pPr>
        <w:pStyle w:val="Normal"/>
        <w:spacing w:lineRule="auto" w:line="300" w:before="0" w:after="120"/>
        <w:jc w:val="both"/>
        <w:rPr/>
      </w:pPr>
      <w:r>
        <w:rPr/>
        <w:t>The SoAW is structured as a project charter and contains the following standard sections. Every certified architect should be able to recite these from memory; the exam may ask for them directly.</w:t>
      </w:r>
    </w:p>
    <w:p>
      <w:pPr>
        <w:pStyle w:val="Heading3"/>
        <w:spacing w:before="220" w:after="120"/>
        <w:rPr/>
      </w:pPr>
      <w:r>
        <w:rPr>
          <w:b/>
          <w:bCs/>
          <w:color w:val="404040"/>
        </w:rPr>
        <w:t>Standard SoAW Contents</w:t>
      </w:r>
    </w:p>
    <w:p>
      <w:pPr>
        <w:pStyle w:val="ListParagraph"/>
        <w:numPr>
          <w:ilvl w:val="0"/>
          <w:numId w:val="3"/>
        </w:numPr>
        <w:spacing w:lineRule="auto" w:line="281" w:before="0" w:after="80"/>
        <w:rPr/>
      </w:pPr>
      <w:r>
        <w:rPr/>
        <w:t>Title and version — engagement name, version number, date, status.</w:t>
      </w:r>
    </w:p>
    <w:p>
      <w:pPr>
        <w:pStyle w:val="ListParagraph"/>
        <w:numPr>
          <w:ilvl w:val="0"/>
          <w:numId w:val="3"/>
        </w:numPr>
        <w:spacing w:lineRule="auto" w:line="281" w:before="0" w:after="80"/>
        <w:rPr/>
      </w:pPr>
      <w:r>
        <w:rPr/>
        <w:t>Architecture project request and background — why the engagement was requested; what triggered it; references to corporate strategy or regulatory context.</w:t>
      </w:r>
    </w:p>
    <w:p>
      <w:pPr>
        <w:pStyle w:val="ListParagraph"/>
        <w:numPr>
          <w:ilvl w:val="0"/>
          <w:numId w:val="3"/>
        </w:numPr>
        <w:spacing w:lineRule="auto" w:line="281" w:before="0" w:after="80"/>
        <w:rPr/>
      </w:pPr>
      <w:r>
        <w:rPr/>
        <w:t>Architecture project description and scope — what the engagement will and will not address, expressed in business terms.</w:t>
      </w:r>
    </w:p>
    <w:p>
      <w:pPr>
        <w:pStyle w:val="ListParagraph"/>
        <w:numPr>
          <w:ilvl w:val="0"/>
          <w:numId w:val="3"/>
        </w:numPr>
        <w:spacing w:lineRule="auto" w:line="281" w:before="0" w:after="80"/>
        <w:rPr/>
      </w:pPr>
      <w:r>
        <w:rPr/>
        <w:t>Specific change of scope procedures — how scope changes will be requested, evaluated, and approved during the engagement.</w:t>
      </w:r>
    </w:p>
    <w:p>
      <w:pPr>
        <w:pStyle w:val="ListParagraph"/>
        <w:numPr>
          <w:ilvl w:val="0"/>
          <w:numId w:val="3"/>
        </w:numPr>
        <w:spacing w:lineRule="auto" w:line="281" w:before="0" w:after="80"/>
        <w:rPr/>
      </w:pPr>
      <w:r>
        <w:rPr/>
        <w:t>Roles, responsibilities, and deliverables — who does what, who owns what, who approves what; named or by role.</w:t>
      </w:r>
    </w:p>
    <w:p>
      <w:pPr>
        <w:pStyle w:val="ListParagraph"/>
        <w:numPr>
          <w:ilvl w:val="0"/>
          <w:numId w:val="3"/>
        </w:numPr>
        <w:spacing w:lineRule="auto" w:line="281" w:before="0" w:after="80"/>
        <w:rPr/>
      </w:pPr>
      <w:r>
        <w:rPr/>
        <w:t>Acceptance criteria and procedures — how each deliverable will be judged complete; the formal acceptance process.</w:t>
      </w:r>
    </w:p>
    <w:p>
      <w:pPr>
        <w:pStyle w:val="ListParagraph"/>
        <w:numPr>
          <w:ilvl w:val="0"/>
          <w:numId w:val="3"/>
        </w:numPr>
        <w:spacing w:lineRule="auto" w:line="281" w:before="0" w:after="80"/>
        <w:rPr/>
      </w:pPr>
      <w:r>
        <w:rPr/>
        <w:t>Architecture project plan and schedule — the high-level timeline, key milestones, and dependency on other initiatives.</w:t>
      </w:r>
    </w:p>
    <w:p>
      <w:pPr>
        <w:pStyle w:val="ListParagraph"/>
        <w:numPr>
          <w:ilvl w:val="0"/>
          <w:numId w:val="3"/>
        </w:numPr>
        <w:spacing w:lineRule="auto" w:line="281" w:before="0" w:after="80"/>
        <w:rPr/>
      </w:pPr>
      <w:r>
        <w:rPr/>
        <w:t>Approvals — signature blocks for sponsors, architecture lead, and any other approving authority.</w:t>
      </w:r>
    </w:p>
    <w:p>
      <w:pPr>
        <w:pStyle w:val="Heading2"/>
        <w:spacing w:before="280" w:after="160"/>
        <w:rPr/>
      </w:pPr>
      <w:r>
        <w:rPr>
          <w:b/>
          <w:bCs/>
          <w:color w:val="2E75B6"/>
        </w:rPr>
        <w:t>6.3 Each Section in Detail</w:t>
      </w:r>
    </w:p>
    <w:p>
      <w:pPr>
        <w:pStyle w:val="Heading3"/>
        <w:spacing w:before="220" w:after="120"/>
        <w:rPr/>
      </w:pPr>
      <w:r>
        <w:rPr>
          <w:b/>
          <w:bCs/>
          <w:color w:val="404040"/>
        </w:rPr>
        <w:t>Architecture Project Request and Background</w:t>
      </w:r>
    </w:p>
    <w:p>
      <w:pPr>
        <w:pStyle w:val="Normal"/>
        <w:spacing w:lineRule="auto" w:line="300" w:before="0" w:after="120"/>
        <w:jc w:val="both"/>
        <w:rPr/>
      </w:pPr>
      <w:r>
        <w:rPr/>
        <w:t>This section explains why the engagement is happening. It typically references the originating Request for Architecture Work, links to corporate strategy documents or board decisions, summarises any prior architecture work that this engagement builds on, and notes any regulatory or external drivers. Its purpose is to give a future reader (or auditor) the context to understand the rest of the document.</w:t>
      </w:r>
    </w:p>
    <w:p>
      <w:pPr>
        <w:pStyle w:val="Heading3"/>
        <w:spacing w:before="220" w:after="120"/>
        <w:rPr/>
      </w:pPr>
      <w:r>
        <w:rPr>
          <w:b/>
          <w:bCs/>
          <w:color w:val="404040"/>
        </w:rPr>
        <w:t>Architecture Project Description and Scope</w:t>
      </w:r>
    </w:p>
    <w:p>
      <w:pPr>
        <w:pStyle w:val="Normal"/>
        <w:spacing w:lineRule="auto" w:line="300" w:before="0" w:after="120"/>
        <w:jc w:val="both"/>
        <w:rPr/>
      </w:pPr>
      <w:r>
        <w:rPr/>
        <w:t>This section is the most negotiated and most important. It defines, in business terms, what the engagement will address. Critically, it also defines what it will NOT address — explicit exclusions are at least as important as explicit inclusions, because they prevent later disagreement about scope.</w:t>
      </w:r>
    </w:p>
    <w:p>
      <w:pPr>
        <w:pStyle w:val="Normal"/>
        <w:spacing w:lineRule="auto" w:line="300" w:before="0" w:after="120"/>
        <w:jc w:val="both"/>
        <w:rPr/>
      </w:pPr>
      <w:r>
        <w:rPr/>
        <w:t>Scope is typically expressed across multiple dimensions: organisational scope (which business units), capability scope (which capabilities), domain scope (which BDAT domains), geographic scope (which countries or regions), and time scope (current state plus how many years of forward planning).</w:t>
      </w:r>
    </w:p>
    <w:p>
      <w:pPr>
        <w:pStyle w:val="Heading3"/>
        <w:spacing w:before="220" w:after="120"/>
        <w:rPr/>
      </w:pPr>
      <w:r>
        <w:rPr>
          <w:b/>
          <w:bCs/>
          <w:color w:val="404040"/>
        </w:rPr>
        <w:t>Specific Change of Scope Procedures</w:t>
      </w:r>
    </w:p>
    <w:p>
      <w:pPr>
        <w:pStyle w:val="Normal"/>
        <w:spacing w:lineRule="auto" w:line="300" w:before="0" w:after="120"/>
        <w:jc w:val="both"/>
        <w:rPr/>
      </w:pPr>
      <w:r>
        <w:rPr/>
        <w:t>Scope will change during the engagement; this is unavoidable. The SoAW does not pretend otherwise. Instead, it specifies in advance how scope changes are handled: who can request a change, what evidence is required, who approves it, what impact analysis is performed, and how the SoAW itself is updated. Embedding this procedure in the SoAW prevents scope creep without requiring scope to be frozen.</w:t>
      </w:r>
    </w:p>
    <w:p>
      <w:pPr>
        <w:pStyle w:val="Heading3"/>
        <w:spacing w:before="220" w:after="120"/>
        <w:rPr/>
      </w:pPr>
      <w:r>
        <w:rPr>
          <w:b/>
          <w:bCs/>
          <w:color w:val="404040"/>
        </w:rPr>
        <w:t>Roles, Responsibilities, and Deliverables</w:t>
      </w:r>
    </w:p>
    <w:p>
      <w:pPr>
        <w:pStyle w:val="Normal"/>
        <w:spacing w:lineRule="auto" w:line="300" w:before="0" w:after="120"/>
        <w:jc w:val="both"/>
        <w:rPr/>
      </w:pPr>
      <w:r>
        <w:rPr/>
        <w:t>This section names — by individual or by role — every party to the engagement and their accountability. Typical roles include: Sponsor (accountable for the engagement's value and funding), Architecture Lead (accountable for delivery of architecture work), Lead Architects per domain (accountable for their domain), Stakeholder Liaisons (single point of contact in each business unit), and the Architecture Board (governance authority).</w:t>
      </w:r>
    </w:p>
    <w:p>
      <w:pPr>
        <w:pStyle w:val="Normal"/>
        <w:spacing w:lineRule="auto" w:line="300" w:before="0" w:after="120"/>
        <w:jc w:val="both"/>
        <w:rPr/>
      </w:pPr>
      <w:r>
        <w:rPr/>
        <w:t>Each role is paired with the deliverables it owns. This creates an accountability matrix that the engagement runs against and that protects all parties — architects know what they have committed to, and sponsors know what they will receive.</w:t>
      </w:r>
    </w:p>
    <w:p>
      <w:pPr>
        <w:pStyle w:val="Heading3"/>
        <w:spacing w:before="220" w:after="120"/>
        <w:rPr/>
      </w:pPr>
      <w:r>
        <w:rPr>
          <w:b/>
          <w:bCs/>
          <w:color w:val="404040"/>
        </w:rPr>
        <w:t>Acceptance Criteria and Procedures</w:t>
      </w:r>
    </w:p>
    <w:p>
      <w:pPr>
        <w:pStyle w:val="Normal"/>
        <w:spacing w:lineRule="auto" w:line="300" w:before="0" w:after="120"/>
        <w:jc w:val="both"/>
        <w:rPr/>
      </w:pPr>
      <w:r>
        <w:rPr/>
        <w:t>Each deliverable in the SoAW has acceptance criteria: what would make it complete. For an Architecture Definition Document, this might be "reviewed by the Architecture Board with no high-severity findings open". For a roadmap, it might be "approved by the Investment Committee". The procedures describe how acceptance is performed — typically a formal review meeting with documented outcome.</w:t>
      </w:r>
    </w:p>
    <w:p>
      <w:pPr>
        <w:pStyle w:val="Heading3"/>
        <w:spacing w:before="220" w:after="120"/>
        <w:rPr/>
      </w:pPr>
      <w:r>
        <w:rPr>
          <w:b/>
          <w:bCs/>
          <w:color w:val="404040"/>
        </w:rPr>
        <w:t>Architecture Project Plan and Schedule</w:t>
      </w:r>
    </w:p>
    <w:p>
      <w:pPr>
        <w:pStyle w:val="Normal"/>
        <w:spacing w:lineRule="auto" w:line="300" w:before="0" w:after="120"/>
        <w:jc w:val="both"/>
        <w:rPr/>
      </w:pPr>
      <w:r>
        <w:rPr/>
        <w:t>The plan covers the architecture work itself — Phases B, C, D, E, F — at a level appropriate to a charter (milestones and major deliverables, not detailed task plans). It includes dependencies on other initiatives (e.g., "Cannot start Phase B until Q3 strategy is approved") and identifies risks to the schedule. The detailed Phase F migration plan is NOT part of the SoAW — it is produced later in Phase F itself.</w:t>
      </w:r>
    </w:p>
    <w:p>
      <w:pPr>
        <w:pStyle w:val="Heading3"/>
        <w:spacing w:before="220" w:after="120"/>
        <w:rPr/>
      </w:pPr>
      <w:r>
        <w:rPr>
          <w:b/>
          <w:bCs/>
          <w:color w:val="404040"/>
        </w:rPr>
        <w:t>Approvals</w:t>
      </w:r>
    </w:p>
    <w:p>
      <w:pPr>
        <w:pStyle w:val="Normal"/>
        <w:spacing w:lineRule="auto" w:line="300" w:before="0" w:after="120"/>
        <w:jc w:val="both"/>
        <w:rPr/>
      </w:pPr>
      <w:r>
        <w:rPr/>
        <w:t>The signature block. Without signatures, the SoAW is a draft. Without sponsor signature, no Phase B work has been authorised. The signature is the moment Phase A formally completes.</w:t>
      </w:r>
    </w:p>
    <w:p>
      <w:pPr>
        <w:pStyle w:val="Heading2"/>
        <w:spacing w:before="280" w:after="160"/>
        <w:rPr/>
      </w:pPr>
      <w:r>
        <w:rPr>
          <w:b/>
          <w:bCs/>
          <w:color w:val="2E75B6"/>
        </w:rPr>
        <w:t>6.4 SoAW Contents Summary Table</w:t>
      </w:r>
    </w:p>
    <w:tbl>
      <w:tblPr>
        <w:tblW w:w="9360" w:type="dxa"/>
        <w:jc w:val="left"/>
        <w:tblInd w:w="0" w:type="dxa"/>
        <w:tblLayout w:type="fixed"/>
        <w:tblCellMar>
          <w:top w:w="100" w:type="dxa"/>
          <w:left w:w="120" w:type="dxa"/>
          <w:bottom w:w="100" w:type="dxa"/>
          <w:right w:w="120" w:type="dxa"/>
        </w:tblCellMar>
      </w:tblPr>
      <w:tblGrid>
        <w:gridCol w:w="2399"/>
        <w:gridCol w:w="4001"/>
        <w:gridCol w:w="2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Section</w:t>
            </w:r>
          </w:p>
        </w:tc>
        <w:tc>
          <w:tcPr>
            <w:tcW w:w="4001"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What It Defines</w:t>
            </w:r>
          </w:p>
        </w:tc>
        <w:tc>
          <w:tcPr>
            <w:tcW w:w="29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Why It Matters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Background</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Why the engagement exists; corporate context</w:t>
            </w:r>
          </w:p>
        </w:tc>
        <w:tc>
          <w:tcPr>
            <w:tcW w:w="2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Provides traceability; explains motivation</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Scope</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Organisational, capability, domain, geographic, time scope; explicit exclusions</w:t>
            </w:r>
          </w:p>
        </w:tc>
        <w:tc>
          <w:tcPr>
            <w:tcW w:w="2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Prevents scope creep; aligns expectations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Change of scope procedures</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How scope changes are requested, evaluated, approved</w:t>
            </w:r>
          </w:p>
        </w:tc>
        <w:tc>
          <w:tcPr>
            <w:tcW w:w="2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Permits change without losing control</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Roles, responsibilities, deliverables</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Named accountability for each output</w:t>
            </w:r>
          </w:p>
        </w:tc>
        <w:tc>
          <w:tcPr>
            <w:tcW w:w="2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Accountability matrix protects all parties</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Acceptance criteria</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How each deliverable is judged complete</w:t>
            </w:r>
          </w:p>
        </w:tc>
        <w:tc>
          <w:tcPr>
            <w:tcW w:w="2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Defines success; basis for closing the engagement</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Plan and schedule</w:t>
            </w:r>
          </w:p>
        </w:tc>
        <w:tc>
          <w:tcPr>
            <w:tcW w:w="400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Milestones, dependencies, risks</w:t>
            </w:r>
          </w:p>
        </w:tc>
        <w:tc>
          <w:tcPr>
            <w:tcW w:w="2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Sponsor visibility; internal coordination</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Approvals</w:t>
            </w:r>
          </w:p>
        </w:tc>
        <w:tc>
          <w:tcPr>
            <w:tcW w:w="400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Sponsor and architecture lead signatures</w:t>
            </w:r>
          </w:p>
        </w:tc>
        <w:tc>
          <w:tcPr>
            <w:tcW w:w="2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Authorises work; without these the engagement does not proceed</w:t>
            </w:r>
          </w:p>
        </w:tc>
      </w:tr>
      <w:tr>
        <w:trPr/>
        <w:tc>
          <w:tcPr>
            <w:tcW w:w="9360" w:type="dxa"/>
            <w:gridSpan w:val="3"/>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SoAW in Action: A Bank's Digital Onboarding Engagement</w:t>
            </w:r>
          </w:p>
          <w:p>
            <w:pPr>
              <w:pStyle w:val="Normal"/>
              <w:spacing w:lineRule="auto" w:line="281" w:before="0" w:after="60"/>
              <w:jc w:val="both"/>
              <w:rPr/>
            </w:pPr>
            <w:r>
              <w:rPr/>
              <w:t>Title: Statement of Architecture Work — Digital Onboarding Modernisation, v1.0, 15 March 2025.</w:t>
            </w:r>
          </w:p>
          <w:p>
            <w:pPr>
              <w:pStyle w:val="Normal"/>
              <w:spacing w:lineRule="auto" w:line="281" w:before="0" w:after="60"/>
              <w:jc w:val="both"/>
              <w:rPr/>
            </w:pPr>
            <w:r>
              <w:rPr/>
              <w:t>Background: References Group Strategy 2024–2027 ("digital-first retail"), references PRA regulatory expectations on KYC, and the November 2024 board paper authorising the programme.</w:t>
            </w:r>
          </w:p>
          <w:p>
            <w:pPr>
              <w:pStyle w:val="Normal"/>
              <w:spacing w:lineRule="auto" w:line="281" w:before="0" w:after="60"/>
              <w:jc w:val="both"/>
              <w:rPr/>
            </w:pPr>
            <w:r>
              <w:rPr/>
              <w:t>Scope: In: Retail banking onboarding for current accounts and savings. BDAT all four domains. UK only. Out: Wealth, business, mortgage onboarding; non-UK markets; back-book customer migration.</w:t>
            </w:r>
          </w:p>
          <w:p>
            <w:pPr>
              <w:pStyle w:val="Normal"/>
              <w:spacing w:lineRule="auto" w:line="281" w:before="0" w:after="60"/>
              <w:jc w:val="both"/>
              <w:rPr/>
            </w:pPr>
            <w:r>
              <w:rPr/>
              <w:t>Change of scope: Any scope change over £100K impact requires Architecture Board review; under £100K, the Architecture Lead may approve with sponsor consultation.</w:t>
            </w:r>
          </w:p>
          <w:p>
            <w:pPr>
              <w:pStyle w:val="Normal"/>
              <w:spacing w:lineRule="auto" w:line="281" w:before="0" w:after="60"/>
              <w:jc w:val="both"/>
              <w:rPr/>
            </w:pPr>
            <w:r>
              <w:rPr/>
              <w:t>Roles: Sponsor — Head of Retail Banking. Architecture Lead — A. Patel. Domain Leads named for each of B/D/A/T. Architecture Board — quarterly review.</w:t>
            </w:r>
          </w:p>
          <w:p>
            <w:pPr>
              <w:pStyle w:val="Normal"/>
              <w:spacing w:lineRule="auto" w:line="281" w:before="0" w:after="60"/>
              <w:jc w:val="both"/>
              <w:rPr/>
            </w:pPr>
            <w:r>
              <w:rPr/>
              <w:t>Acceptance: Architecture Definition Document approved by Architecture Board with no high-severity findings; Roadmap approved by Investment Committee.</w:t>
            </w:r>
          </w:p>
          <w:p>
            <w:pPr>
              <w:pStyle w:val="Normal"/>
              <w:spacing w:lineRule="auto" w:line="281" w:before="0" w:after="60"/>
              <w:jc w:val="both"/>
              <w:rPr/>
            </w:pPr>
            <w:r>
              <w:rPr/>
              <w:t>Schedule: Phase B by end Q2; Phases C and D by end Q3; Phases E and F by end Q4; Phase G ongoing through 2026 and 2027.</w:t>
            </w:r>
          </w:p>
          <w:p>
            <w:pPr>
              <w:pStyle w:val="Normal"/>
              <w:spacing w:lineRule="auto" w:line="281" w:before="0" w:after="60"/>
              <w:jc w:val="both"/>
              <w:rPr/>
            </w:pPr>
            <w:r>
              <w:rPr/>
              <w:t>Approvals: Signed by Head of Retail Banking, Group CIO, and Architecture Lead on 15 March 2025.</w:t>
            </w:r>
          </w:p>
          <w:p>
            <w:pPr>
              <w:pStyle w:val="Normal"/>
              <w:spacing w:lineRule="auto" w:line="281" w:before="0" w:after="60"/>
              <w:jc w:val="both"/>
              <w:rPr/>
            </w:pPr>
            <w:r>
              <w:rPr/>
              <w:t>From this date, the architecture team has explicit licence to proceed; the sponsors have explicit visibility of what they will receive; and any scope dispute can be resolved by reference to this document.</w:t>
            </w:r>
          </w:p>
        </w:tc>
      </w:tr>
    </w:tbl>
    <w:p>
      <w:pPr>
        <w:pStyle w:val="Normal"/>
        <w:rPr/>
      </w:pPr>
      <w:r>
        <w:rPr/>
      </w:r>
      <w:r>
        <w:br w:type="page"/>
      </w:r>
    </w:p>
    <w:p>
      <w:pPr>
        <w:pStyle w:val="Heading1"/>
        <w:spacing w:before="0" w:after="200"/>
        <w:rPr/>
      </w:pPr>
      <w:r>
        <w:rPr>
          <w:b/>
          <w:bCs/>
          <w:color w:val="1F4E78"/>
        </w:rPr>
        <w:t>7. The Business Scenario — Phase A's Signature Technique</w:t>
      </w:r>
    </w:p>
    <w:p>
      <w:pPr>
        <w:pStyle w:val="Normal"/>
        <w:spacing w:lineRule="auto" w:line="300" w:before="0" w:after="120"/>
        <w:jc w:val="both"/>
        <w:rPr/>
      </w:pPr>
      <w:r>
        <w:rPr/>
        <w:t>Among TOGAF's many supporting techniques, one is most closely associated with Phase A: the Business Scenario. It is the formal method by which architects translate vague business desire ("we need better customer experience") into specific, traceable, prioritised architecture requirements. A Business Scenario produced in Phase A is what makes the Architecture Vision substantive rather than aspirational.</w:t>
      </w:r>
    </w:p>
    <w:p>
      <w:pPr>
        <w:pStyle w:val="Heading2"/>
        <w:spacing w:before="280" w:after="160"/>
        <w:rPr/>
      </w:pPr>
      <w:r>
        <w:rPr>
          <w:b/>
          <w:bCs/>
          <w:color w:val="2E75B6"/>
        </w:rPr>
        <w:t>7.1 What a Business Scenario Is</w:t>
      </w:r>
    </w:p>
    <w:p>
      <w:pPr>
        <w:pStyle w:val="Normal"/>
        <w:spacing w:lineRule="auto" w:line="300" w:before="0" w:after="120"/>
        <w:jc w:val="both"/>
        <w:rPr/>
      </w:pPr>
      <w:r>
        <w:rPr/>
        <w:t xml:space="preserve">A </w:t>
      </w:r>
      <w:r>
        <w:rPr>
          <w:b/>
          <w:bCs/>
        </w:rPr>
        <w:t>Business Scenario</w:t>
      </w:r>
      <w:r>
        <w:rPr/>
        <w:t xml:space="preserve"> is a structured description of a business problem, the environment in which it occurs, the people and systems involved, and the desired outcome — sufficient to identify the requirements that the architecture must satisfy. It is, in TOGAF's own phrasing, a complete description of a business problem, both in business and architectural terms.</w:t>
      </w:r>
    </w:p>
    <w:p>
      <w:pPr>
        <w:pStyle w:val="Normal"/>
        <w:spacing w:lineRule="auto" w:line="300" w:before="0" w:after="120"/>
        <w:jc w:val="both"/>
        <w:rPr/>
      </w:pPr>
      <w:r>
        <w:rPr/>
        <w:t>The Business Scenario technique was developed because architects repeatedly found themselves trying to design solutions for problems that had not been clearly articulated. Stakeholders described what they wanted using vague language; architects guessed at the underlying requirement; the resulting architecture missed the actual business need. The Business Scenario is the discipline that prevents this — by forcing explicit articulation of the problem before any design begins.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Business Scenario: </w:t>
            </w:r>
            <w:r>
              <w:rPr/>
              <w:t>A structured description of a business problem, including the environment, actors, processes, desired outcomes, and architecture requirements derived from them. The signature technique of Phase A; it grounds the Architecture Vision in concrete, traceable requirements.</w:t>
            </w:r>
          </w:p>
        </w:tc>
      </w:tr>
    </w:tbl>
    <w:p>
      <w:pPr>
        <w:pStyle w:val="Heading2"/>
        <w:spacing w:before="280" w:after="160"/>
        <w:rPr/>
      </w:pPr>
      <w:r>
        <w:rPr>
          <w:b/>
          <w:bCs/>
          <w:color w:val="2E75B6"/>
        </w:rPr>
        <w:t>7.2 The Standard Components of a Business Scenario</w:t>
      </w:r>
    </w:p>
    <w:p>
      <w:pPr>
        <w:pStyle w:val="Normal"/>
        <w:spacing w:lineRule="auto" w:line="300" w:before="0" w:after="120"/>
        <w:jc w:val="both"/>
        <w:rPr/>
      </w:pPr>
      <w:r>
        <w:rPr/>
        <w:t>TOGAF specifies a standard structure for Business Scenarios. The structure is sometimes called "SMART" by analogy with the goal-setting acronym, but more usefully it is just remembered as the seven standard components:</w:t>
      </w:r>
    </w:p>
    <w:p>
      <w:pPr>
        <w:pStyle w:val="ListParagraph"/>
        <w:numPr>
          <w:ilvl w:val="0"/>
          <w:numId w:val="2"/>
        </w:numPr>
        <w:spacing w:lineRule="auto" w:line="281" w:before="0" w:after="80"/>
        <w:rPr/>
      </w:pPr>
      <w:r>
        <w:rPr/>
        <w:t>Problem — a clear statement of the business problem being addressed.</w:t>
      </w:r>
    </w:p>
    <w:p>
      <w:pPr>
        <w:pStyle w:val="ListParagraph"/>
        <w:numPr>
          <w:ilvl w:val="0"/>
          <w:numId w:val="2"/>
        </w:numPr>
        <w:spacing w:lineRule="auto" w:line="281" w:before="0" w:after="80"/>
        <w:rPr/>
      </w:pPr>
      <w:r>
        <w:rPr/>
        <w:t>Environment — the business and technical context in which the problem occurs (industry, regulatory environment, existing systems, market position).</w:t>
      </w:r>
    </w:p>
    <w:p>
      <w:pPr>
        <w:pStyle w:val="ListParagraph"/>
        <w:numPr>
          <w:ilvl w:val="0"/>
          <w:numId w:val="2"/>
        </w:numPr>
        <w:spacing w:lineRule="auto" w:line="281" w:before="0" w:after="80"/>
        <w:rPr/>
      </w:pPr>
      <w:r>
        <w:rPr/>
        <w:t>Objectives — the specific business objectives that solving the problem will support, expressed in measurable terms wherever possible.</w:t>
      </w:r>
    </w:p>
    <w:p>
      <w:pPr>
        <w:pStyle w:val="ListParagraph"/>
        <w:numPr>
          <w:ilvl w:val="0"/>
          <w:numId w:val="2"/>
        </w:numPr>
        <w:spacing w:lineRule="auto" w:line="281" w:before="0" w:after="80"/>
        <w:rPr/>
      </w:pPr>
      <w:r>
        <w:rPr/>
        <w:t>Human actors and their roles — the people, organisational units, and external parties involved in the scenario; their responsibilities and concerns.</w:t>
      </w:r>
    </w:p>
    <w:p>
      <w:pPr>
        <w:pStyle w:val="ListParagraph"/>
        <w:numPr>
          <w:ilvl w:val="0"/>
          <w:numId w:val="2"/>
        </w:numPr>
        <w:spacing w:lineRule="auto" w:line="281" w:before="0" w:after="80"/>
        <w:rPr/>
      </w:pPr>
      <w:r>
        <w:rPr/>
        <w:t>Computer actors and their roles — the existing systems, services, and technologies involved; their current behaviour and limitations.</w:t>
      </w:r>
    </w:p>
    <w:p>
      <w:pPr>
        <w:pStyle w:val="ListParagraph"/>
        <w:numPr>
          <w:ilvl w:val="0"/>
          <w:numId w:val="2"/>
        </w:numPr>
        <w:spacing w:lineRule="auto" w:line="281" w:before="0" w:after="80"/>
        <w:rPr/>
      </w:pPr>
      <w:r>
        <w:rPr/>
        <w:t>Process steps — the sequence of business activities that occur in the scenario, in current state and desired future state.</w:t>
      </w:r>
    </w:p>
    <w:p>
      <w:pPr>
        <w:pStyle w:val="ListParagraph"/>
        <w:numPr>
          <w:ilvl w:val="0"/>
          <w:numId w:val="2"/>
        </w:numPr>
        <w:spacing w:lineRule="auto" w:line="281" w:before="0" w:after="80"/>
        <w:rPr/>
      </w:pPr>
      <w:r>
        <w:rPr/>
        <w:t>Desired outcomes and architecture requirements — the specific outcomes the scenario must produce and the architecture requirements derived from them.</w:t>
      </w:r>
    </w:p>
    <w:p>
      <w:pPr>
        <w:pStyle w:val="Heading2"/>
        <w:spacing w:before="280" w:after="160"/>
        <w:rPr/>
      </w:pPr>
      <w:r>
        <w:rPr>
          <w:b/>
          <w:bCs/>
          <w:color w:val="2E75B6"/>
        </w:rPr>
        <w:t>7.3 Each Component in Detail</w:t>
      </w:r>
    </w:p>
    <w:p>
      <w:pPr>
        <w:pStyle w:val="Heading3"/>
        <w:spacing w:before="220" w:after="120"/>
        <w:rPr/>
      </w:pPr>
      <w:r>
        <w:rPr>
          <w:b/>
          <w:bCs/>
          <w:color w:val="404040"/>
        </w:rPr>
        <w:t>Problem</w:t>
      </w:r>
    </w:p>
    <w:p>
      <w:pPr>
        <w:pStyle w:val="Normal"/>
        <w:spacing w:lineRule="auto" w:line="300" w:before="0" w:after="120"/>
        <w:jc w:val="both"/>
        <w:rPr/>
      </w:pPr>
      <w:r>
        <w:rPr/>
        <w:t>A clear, single-sentence (or short-paragraph) statement of what is wrong or what opportunity is unfulfilled. Examples: "Customers abandon online account opening at a rate of 67%, against an industry benchmark of 35%, costing an estimated £12m per year in lost acquisition." The problem is stated in business terms, with quantification wherever available, and avoids prescribing a solution.</w:t>
      </w:r>
    </w:p>
    <w:p>
      <w:pPr>
        <w:pStyle w:val="Heading3"/>
        <w:spacing w:before="220" w:after="120"/>
        <w:rPr/>
      </w:pPr>
      <w:r>
        <w:rPr>
          <w:b/>
          <w:bCs/>
          <w:color w:val="404040"/>
        </w:rPr>
        <w:t>Environment</w:t>
      </w:r>
    </w:p>
    <w:p>
      <w:pPr>
        <w:pStyle w:val="Normal"/>
        <w:spacing w:lineRule="auto" w:line="300" w:before="0" w:after="120"/>
        <w:jc w:val="both"/>
        <w:rPr/>
      </w:pPr>
      <w:r>
        <w:rPr/>
        <w:t>The context: the business unit involved; the regulatory regime; the technical landscape (relevant existing systems, integrations, partners); the competitive position; recent organisational events that bear on the problem. The environment section grounds the scenario in reality rather than abstraction.</w:t>
      </w:r>
    </w:p>
    <w:p>
      <w:pPr>
        <w:pStyle w:val="Heading3"/>
        <w:spacing w:before="220" w:after="120"/>
        <w:rPr/>
      </w:pPr>
      <w:r>
        <w:rPr>
          <w:b/>
          <w:bCs/>
          <w:color w:val="404040"/>
        </w:rPr>
        <w:t>Objectives</w:t>
      </w:r>
    </w:p>
    <w:p>
      <w:pPr>
        <w:pStyle w:val="Normal"/>
        <w:spacing w:lineRule="auto" w:line="300" w:before="0" w:after="120"/>
        <w:jc w:val="both"/>
        <w:rPr/>
      </w:pPr>
      <w:r>
        <w:rPr/>
        <w:t>What success would look like — expressed as measurable business objectives. These are the outcomes the architecture must support. Examples: "Reduce abandonment rate from 67% to under 30% within two years; reduce mean time to open an account from 18 minutes to under 8 minutes; reduce direct cost per onboarding from £42 to £18." Architecture requirements will be derived from these objectives, so quantification matters.</w:t>
      </w:r>
    </w:p>
    <w:p>
      <w:pPr>
        <w:pStyle w:val="Heading3"/>
        <w:spacing w:before="220" w:after="120"/>
        <w:rPr/>
      </w:pPr>
      <w:r>
        <w:rPr>
          <w:b/>
          <w:bCs/>
          <w:color w:val="404040"/>
        </w:rPr>
        <w:t>Human Actors and Roles</w:t>
      </w:r>
    </w:p>
    <w:p>
      <w:pPr>
        <w:pStyle w:val="Normal"/>
        <w:spacing w:lineRule="auto" w:line="300" w:before="0" w:after="120"/>
        <w:jc w:val="both"/>
        <w:rPr/>
      </w:pPr>
      <w:r>
        <w:rPr/>
        <w:t>The people involved. Customers (segmented if relevant — first-time buyers, returning customers, high-value customers). Employees (call-centre agents, branch staff, fraud analysts). External parties (credit bureaus, identity verification providers, regulators). Each actor is described in terms of their role, their goals in the scenario, and their concerns. This section makes the scenario human — it stops the conversation drifting into purely technical territory.</w:t>
      </w:r>
    </w:p>
    <w:p>
      <w:pPr>
        <w:pStyle w:val="Heading3"/>
        <w:spacing w:before="220" w:after="120"/>
        <w:rPr/>
      </w:pPr>
      <w:r>
        <w:rPr>
          <w:b/>
          <w:bCs/>
          <w:color w:val="404040"/>
        </w:rPr>
        <w:t>Computer Actors and Roles</w:t>
      </w:r>
    </w:p>
    <w:p>
      <w:pPr>
        <w:pStyle w:val="Normal"/>
        <w:spacing w:lineRule="auto" w:line="300" w:before="0" w:after="120"/>
        <w:jc w:val="both"/>
        <w:rPr/>
      </w:pPr>
      <w:r>
        <w:rPr/>
        <w:t>The systems involved. Existing applications (CRM, core banking, fraud platform); existing data stores; existing integration points; external services; the user interfaces presented to humans. Each is described with its current behaviour, its current limitations, and the role it plays in the scenario. This section grounds the scenario in the technical landscape that the architecture will have to evolve.</w:t>
      </w:r>
    </w:p>
    <w:p>
      <w:pPr>
        <w:pStyle w:val="Heading3"/>
        <w:spacing w:before="220" w:after="120"/>
        <w:rPr/>
      </w:pPr>
      <w:r>
        <w:rPr>
          <w:b/>
          <w:bCs/>
          <w:color w:val="404040"/>
        </w:rPr>
        <w:t>Process Steps</w:t>
      </w:r>
    </w:p>
    <w:p>
      <w:pPr>
        <w:pStyle w:val="Normal"/>
        <w:spacing w:lineRule="auto" w:line="300" w:before="0" w:after="120"/>
        <w:jc w:val="both"/>
        <w:rPr/>
      </w:pPr>
      <w:r>
        <w:rPr/>
        <w:t>The sequence of activities, current and desired. The current-state sequence shows where the problem manifests (e.g., "Step 5: Customer is asked to upload three documents and re-enter address details already provided in Step 2; 38% drop off here."). The desired-state sequence shows what the future will look like, at a level of detail sufficient to derive requirements. Process steps are typically rendered as numbered lists or simple flow diagrams.</w:t>
      </w:r>
    </w:p>
    <w:p>
      <w:pPr>
        <w:pStyle w:val="Heading3"/>
        <w:spacing w:before="220" w:after="120"/>
        <w:rPr/>
      </w:pPr>
      <w:r>
        <w:rPr>
          <w:b/>
          <w:bCs/>
          <w:color w:val="404040"/>
        </w:rPr>
        <w:t>Desired Outcomes and Architecture Requirements</w:t>
      </w:r>
    </w:p>
    <w:p>
      <w:pPr>
        <w:pStyle w:val="Normal"/>
        <w:spacing w:lineRule="auto" w:line="300" w:before="0" w:after="120"/>
        <w:jc w:val="both"/>
        <w:rPr/>
      </w:pPr>
      <w:r>
        <w:rPr/>
        <w:t>The endpoint: the specific outcomes the scenario must produce, and the architecture requirements that follow. Outcomes are business statements (e.g., "Customers can complete onboarding in a single uninterrupted session on a mobile device"). Architecture requirements are derived statements that flow into Requirements Management (e.g., "AR-014: Identity verification must complete within 90 seconds end-to-end"; "AR-015: All customer-provided data must be reused across the journey without re-prompting"). Each requirement is given an identifier so it can be traced through Phases B, C, D, and beyond.</w:t>
      </w:r>
    </w:p>
    <w:p>
      <w:pPr>
        <w:pStyle w:val="Heading2"/>
        <w:spacing w:before="280" w:after="160"/>
        <w:rPr/>
      </w:pPr>
      <w:r>
        <w:rPr>
          <w:b/>
          <w:bCs/>
          <w:color w:val="2E75B6"/>
        </w:rPr>
        <w:t>7.4 A Worked Business Scenario</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Worked Example: Digital Onboarding at a Retail Bank</w:t>
            </w:r>
          </w:p>
          <w:p>
            <w:pPr>
              <w:pStyle w:val="Normal"/>
              <w:spacing w:lineRule="auto" w:line="281" w:before="0" w:after="60"/>
              <w:jc w:val="both"/>
              <w:rPr/>
            </w:pPr>
            <w:r>
              <w:rPr/>
              <w:t>Problem: Customers abandon online current-account opening at 67%, vs industry benchmark 35%. Estimated lost acquisition revenue: £12m/year. Existing process requires 18 minutes, three document uploads, and re-entry of data already collected — driving abandonment.</w:t>
            </w:r>
          </w:p>
          <w:p>
            <w:pPr>
              <w:pStyle w:val="Normal"/>
              <w:spacing w:lineRule="auto" w:line="281" w:before="0" w:after="60"/>
              <w:jc w:val="both"/>
              <w:rPr/>
            </w:pPr>
            <w:r>
              <w:rPr/>
              <w:t>Environment: UK retail bank with 2.8m active customers; PRA-regulated; existing CRM, core banking (mainframe), fraud system, and ID-verification provider; competitive pressure from challenger banks offering 5-minute onboarding; board has approved a digital-first strategy.</w:t>
            </w:r>
          </w:p>
          <w:p>
            <w:pPr>
              <w:pStyle w:val="Normal"/>
              <w:spacing w:lineRule="auto" w:line="281" w:before="0" w:after="60"/>
              <w:jc w:val="both"/>
              <w:rPr/>
            </w:pPr>
            <w:r>
              <w:rPr/>
              <w:t>Objectives: Reduce abandonment to under 30% within 24 months; reduce time-to-open from 18 to under 8 minutes; reduce cost-per-onboarding from £42 to £18; maintain or improve fraud detection rate.</w:t>
            </w:r>
          </w:p>
          <w:p>
            <w:pPr>
              <w:pStyle w:val="Normal"/>
              <w:spacing w:lineRule="auto" w:line="281" w:before="0" w:after="60"/>
              <w:jc w:val="both"/>
              <w:rPr/>
            </w:pPr>
            <w:r>
              <w:rPr/>
              <w:t>Human Actors: Prospective Customer (primary; mobile-first, 25–55, expects bank-grade trust). Onboarding Specialist (handles exceptions; reviews flagged applications; concerned about workload). Compliance Officer (signs off on KYC standards; concerned about regulatory exposure). Fraud Analyst (reviews flagged identities; concerned about false positives).</w:t>
            </w:r>
          </w:p>
          <w:p>
            <w:pPr>
              <w:pStyle w:val="Normal"/>
              <w:spacing w:lineRule="auto" w:line="281" w:before="0" w:after="60"/>
              <w:jc w:val="both"/>
              <w:rPr/>
            </w:pPr>
            <w:r>
              <w:rPr/>
              <w:t>Computer Actors: Existing CRM (holds customer profile; current limitation: cannot accept inbound digital-only customers without batch reconciliation). Core Banking (mainframe; opens accounts; current limitation: 4-hour open delay). Fraud Platform (third-party; current limitation: synchronous-only API). ID-Verification Provider (third-party; current capability: 30-second video-call check or 5-minute document check).</w:t>
            </w:r>
          </w:p>
          <w:p>
            <w:pPr>
              <w:pStyle w:val="Normal"/>
              <w:spacing w:lineRule="auto" w:line="281" w:before="0" w:after="60"/>
              <w:jc w:val="both"/>
              <w:rPr/>
            </w:pPr>
            <w:r>
              <w:rPr/>
              <w:t>Process Steps (current): (1) customer enters details; (2) document upload; (3) ID-verification provider runs document check (5 min); (4) credit bureau check (synchronous); (5) re-enter address; (6) fraud screen; (7) account creation queued for batch (up to 4 hr); (8) welcome email. (desired): (1) customer enters details once; (2) parallel ID-verification (video-call) and fraud screen; (3) credit decision; (4) immediate account creation; (5) immediate welcome.</w:t>
            </w:r>
          </w:p>
          <w:p>
            <w:pPr>
              <w:pStyle w:val="Normal"/>
              <w:spacing w:lineRule="auto" w:line="281" w:before="0" w:after="60"/>
              <w:jc w:val="both"/>
              <w:rPr/>
            </w:pPr>
            <w:r>
              <w:rPr/>
              <w:t>Desired Outcomes: Customers complete onboarding in a single session on mobile, within 8 minutes, with funds available immediately on approval. Fraud detection rate equal to or better than current.</w:t>
            </w:r>
          </w:p>
          <w:p>
            <w:pPr>
              <w:pStyle w:val="Normal"/>
              <w:spacing w:lineRule="auto" w:line="281" w:before="0" w:after="60"/>
              <w:jc w:val="both"/>
              <w:rPr/>
            </w:pPr>
            <w:r>
              <w:rPr/>
              <w:t>Architecture Requirements derived: AR-101 ID-verification must complete within 90 seconds. AR-102 No data may be re-prompted within a single onboarding session. AR-103 Account creation must be available within 30 seconds of approval (no batch). AR-104 Fraud screening must run synchronously with ID-verification, not sequentially. AR-105 The onboarding journey must be fully responsive on mobile devices. AR-106 All customer data captured during onboarding must be available to the CRM in real time. AR-107 Compliance and fraud teams must have a single audit-trail view of every onboarding. AR-108 Onboarding cost must be measurable per journey to support the £18 target.</w:t>
            </w:r>
          </w:p>
          <w:p>
            <w:pPr>
              <w:pStyle w:val="Normal"/>
              <w:spacing w:lineRule="auto" w:line="281" w:before="0" w:after="60"/>
              <w:jc w:val="both"/>
              <w:rPr/>
            </w:pPr>
            <w:r>
              <w:rPr/>
              <w:t>These requirements flow from Phase A into Requirements Management, where they live for the rest of the cycle. Phase B will refine them into capability requirements. Phase C will derive data and application requirements. Phase D will derive technology requirements. Each can be traced back to the original Business Scenario.</w:t>
            </w:r>
          </w:p>
        </w:tc>
      </w:tr>
    </w:tbl>
    <w:p>
      <w:pPr>
        <w:pStyle w:val="Heading2"/>
        <w:spacing w:before="280" w:after="160"/>
        <w:rPr/>
      </w:pPr>
      <w:r>
        <w:rPr>
          <w:b/>
          <w:bCs/>
          <w:color w:val="2E75B6"/>
        </w:rPr>
        <w:t>7.5 Why the Business Scenario Matters</w:t>
      </w:r>
    </w:p>
    <w:p>
      <w:pPr>
        <w:pStyle w:val="Normal"/>
        <w:spacing w:lineRule="auto" w:line="300" w:before="0" w:after="120"/>
        <w:jc w:val="both"/>
        <w:rPr/>
      </w:pPr>
      <w:r>
        <w:rPr/>
        <w:t>The Business Scenario does three things that no other Phase A artefact does:</w:t>
      </w:r>
    </w:p>
    <w:p>
      <w:pPr>
        <w:pStyle w:val="ListParagraph"/>
        <w:numPr>
          <w:ilvl w:val="0"/>
          <w:numId w:val="2"/>
        </w:numPr>
        <w:spacing w:lineRule="auto" w:line="281" w:before="0" w:after="80"/>
        <w:rPr/>
      </w:pPr>
      <w:r>
        <w:rPr/>
        <w:t>It anchors the Vision in evidence. The Architecture Vision says what the engagement will achieve; the Business Scenario explains why it needs achieving and how we will know if it has.</w:t>
      </w:r>
    </w:p>
    <w:p>
      <w:pPr>
        <w:pStyle w:val="ListParagraph"/>
        <w:numPr>
          <w:ilvl w:val="0"/>
          <w:numId w:val="2"/>
        </w:numPr>
        <w:spacing w:lineRule="auto" w:line="281" w:before="0" w:after="80"/>
        <w:rPr/>
      </w:pPr>
      <w:r>
        <w:rPr/>
        <w:t>It produces traceable requirements. Every architecture requirement in the engagement is traceable back to a specific Business Scenario, which is itself traceable back to a stated business problem. This traceability is what allows architecture decisions to be defended later.</w:t>
      </w:r>
    </w:p>
    <w:p>
      <w:pPr>
        <w:pStyle w:val="ListParagraph"/>
        <w:numPr>
          <w:ilvl w:val="0"/>
          <w:numId w:val="2"/>
        </w:numPr>
        <w:spacing w:lineRule="auto" w:line="281" w:before="0" w:after="80"/>
        <w:rPr/>
      </w:pPr>
      <w:r>
        <w:rPr/>
        <w:t>It surfaces hidden disagreement. Stakeholders who initially seemed to agree on the engagement often discover, during Business Scenario development, that they understood the problem differently. Better to surface this in Phase A than in Phase D.</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F4CE" w:val="clear"/>
          </w:tcPr>
          <w:p>
            <w:pPr>
              <w:pStyle w:val="Normal"/>
              <w:spacing w:before="0" w:after="80"/>
              <w:rPr/>
            </w:pPr>
            <w:r>
              <w:rPr>
                <w:b/>
                <w:bCs/>
                <w:color w:val="7C5800"/>
              </w:rPr>
              <w:t>The Business Scenario as Discipline</w:t>
            </w:r>
          </w:p>
          <w:p>
            <w:pPr>
              <w:pStyle w:val="Normal"/>
              <w:spacing w:lineRule="auto" w:line="281" w:before="0" w:after="60"/>
              <w:jc w:val="both"/>
              <w:rPr/>
            </w:pPr>
            <w:r>
              <w:rPr/>
              <w:t>An architecture engagement that proceeds to Phase B without a documented Business Scenario will, with very few exceptions, discover in Phase B or later that fundamental misunderstandings exist between architects, sponsors, and stakeholders. The Business Scenario forces these to surface in Phase A — at the cheapest possible point in the cycle — and so prevents them from materialising as expensive rework later. It is one of the highest-leverage techniques in the entire ADM.</w:t>
            </w:r>
          </w:p>
        </w:tc>
      </w:tr>
    </w:tbl>
    <w:p>
      <w:pPr>
        <w:pStyle w:val="Normal"/>
        <w:rPr/>
      </w:pPr>
      <w:r>
        <w:rPr/>
      </w:r>
      <w:r>
        <w:br w:type="page"/>
      </w:r>
    </w:p>
    <w:p>
      <w:pPr>
        <w:pStyle w:val="Heading1"/>
        <w:spacing w:before="0" w:after="200"/>
        <w:rPr/>
      </w:pPr>
      <w:r>
        <w:rPr>
          <w:b/>
          <w:bCs/>
          <w:color w:val="1F4E78"/>
        </w:rPr>
        <w:t>8. Summary and Review</w:t>
      </w:r>
    </w:p>
    <w:p>
      <w:pPr>
        <w:pStyle w:val="Heading2"/>
        <w:spacing w:before="280" w:after="160"/>
        <w:rPr/>
      </w:pPr>
      <w:r>
        <w:rPr>
          <w:b/>
          <w:bCs/>
          <w:color w:val="2E75B6"/>
        </w:rPr>
        <w:t>8.1 The Big Picture</w:t>
      </w:r>
    </w:p>
    <w:p>
      <w:pPr>
        <w:pStyle w:val="Normal"/>
        <w:spacing w:lineRule="auto" w:line="300" w:before="0" w:after="120"/>
        <w:jc w:val="both"/>
        <w:rPr/>
      </w:pPr>
      <w:r>
        <w:rPr/>
        <w:t>Module 5 has covered the two foundational phases that begin every architecture practice and every architecture cycle. The Preliminary Phase is performed once when the practice is established (and revisited only on major change); it produces the Tailored Architecture Framework, the Architecture Principles, the Architecture Repository, and the Governance Framework. Phase A is performed at the start of each engagement; it defines the Vision, secures the Mandate via the SoAW, and produces the Stakeholder Map. Crucial conceptual distinctions: the Preliminary Phase is NOT part of the recurring ADM cycle, and the Architecture Vision is NOT the Architecture Definition Document. The signature technique that gives Phase A its substance is the Business Scenario, which converts vague business desire into traceable, quantified architecture requirements.</w:t>
      </w:r>
    </w:p>
    <w:p>
      <w:pPr>
        <w:pStyle w:val="Heading2"/>
        <w:spacing w:before="280" w:after="160"/>
        <w:rPr/>
      </w:pPr>
      <w:r>
        <w:rPr>
          <w:b/>
          <w:bCs/>
          <w:color w:val="2E75B6"/>
        </w:rPr>
        <w:t>8.2 Quick-Reference Summary</w:t>
      </w:r>
    </w:p>
    <w:tbl>
      <w:tblPr>
        <w:tblW w:w="9360" w:type="dxa"/>
        <w:jc w:val="left"/>
        <w:tblInd w:w="0" w:type="dxa"/>
        <w:tblLayout w:type="fixed"/>
        <w:tblCellMar>
          <w:top w:w="100" w:type="dxa"/>
          <w:left w:w="120" w:type="dxa"/>
          <w:bottom w:w="100" w:type="dxa"/>
          <w:right w:w="12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Topic</w:t>
            </w:r>
          </w:p>
        </w:tc>
        <w:tc>
          <w:tcPr>
            <w:tcW w:w="6960" w:type="dxa"/>
            <w:tcBorders>
              <w:top w:val="single" w:sz="4" w:space="0" w:color="999999"/>
              <w:left w:val="single" w:sz="4" w:space="0" w:color="999999"/>
              <w:bottom w:val="single" w:sz="4" w:space="0" w:color="999999"/>
              <w:right w:val="single" w:sz="4" w:space="0" w:color="999999"/>
            </w:tcBorders>
            <w:shd w:fill="1F4E78" w:val="clear"/>
          </w:tcPr>
          <w:p>
            <w:pPr>
              <w:pStyle w:val="Normal"/>
              <w:rPr/>
            </w:pPr>
            <w:r>
              <w:rPr>
                <w:b/>
                <w:bCs/>
                <w:color w:val="FFFFFF"/>
              </w:rPr>
              <w:t>Takeaway</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Preliminary Phase position</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OUTSIDE the recurring cycle — performed once when practice is established; revisited only on major change.</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Preliminary Phase outputs</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Tailored ADM, Architecture Principles (12–20 in standard form), Repository (with structure and tooling), Governance Framework.</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Principle form</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Name, Statement, Rationale, Implications. Categorised under BDAT.</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Phase A purpose</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Half 1: define the Vision. Half 2: secure the Mandate (SoAW).</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Phase A outputs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Architecture Vision, Statement of Architecture Work (SoAW), Stakeholder Map.</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Vision vs Definition Document</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Vision is high-level (Phase A, sponsors, secure mandate). Definition Document is detailed (Phases B/C/D, implementers, design baseline).</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SoAW contents</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Background, Scope, Change procedures, Roles &amp; deliverables, Acceptance criteria, Plan &amp; schedule, Approvals.</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SoAW signature</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Without sponsor signature, Phase B cannot legitimately begin. The signature is the formal completion of Phase A.</w:t>
            </w:r>
          </w:p>
        </w:tc>
      </w:tr>
      <w:tr>
        <w:trPr/>
        <w:tc>
          <w:tcPr>
            <w:tcW w:w="239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Business Scenario</w:t>
            </w:r>
          </w:p>
        </w:tc>
        <w:tc>
          <w:tcPr>
            <w:tcW w:w="69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pPr>
            <w:r>
              <w:rPr/>
              <w:t>Phase A signature technique. Seven components: Problem, Environment, Objectives, Human Actors, Computer Actors, Process Steps, Desired Outcomes &amp; Requirements.</w:t>
            </w:r>
          </w:p>
        </w:tc>
      </w:tr>
      <w:tr>
        <w:trPr/>
        <w:tc>
          <w:tcPr>
            <w:tcW w:w="239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Why Business Scenario matters</w:t>
            </w:r>
          </w:p>
        </w:tc>
        <w:tc>
          <w:tcPr>
            <w:tcW w:w="69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pPr>
            <w:r>
              <w:rPr/>
              <w:t>Anchors Vision in evidence; produces traceable requirements; surfaces hidden disagreement early.</w:t>
            </w:r>
          </w:p>
        </w:tc>
      </w:tr>
    </w:tbl>
    <w:p>
      <w:pPr>
        <w:pStyle w:val="Heading2"/>
        <w:spacing w:before="280" w:after="160"/>
        <w:rPr/>
      </w:pPr>
      <w:r>
        <w:rPr>
          <w:b/>
          <w:bCs/>
          <w:color w:val="2E75B6"/>
        </w:rPr>
        <w:t>8.3 Self-Test Questions</w:t>
      </w:r>
    </w:p>
    <w:p>
      <w:pPr>
        <w:pStyle w:val="ListParagraph"/>
        <w:numPr>
          <w:ilvl w:val="0"/>
          <w:numId w:val="2"/>
        </w:numPr>
        <w:spacing w:lineRule="auto" w:line="281" w:before="0" w:after="80"/>
        <w:rPr/>
      </w:pPr>
      <w:r>
        <w:rPr/>
        <w:t>Why is the Preliminary Phase considered NOT part of the recurring ADM cycle?</w:t>
      </w:r>
    </w:p>
    <w:p>
      <w:pPr>
        <w:pStyle w:val="ListParagraph"/>
        <w:numPr>
          <w:ilvl w:val="0"/>
          <w:numId w:val="2"/>
        </w:numPr>
        <w:spacing w:lineRule="auto" w:line="281" w:before="0" w:after="80"/>
        <w:rPr/>
      </w:pPr>
      <w:r>
        <w:rPr/>
        <w:t>Name the four primary outputs of the Preliminary Phase.</w:t>
      </w:r>
    </w:p>
    <w:p>
      <w:pPr>
        <w:pStyle w:val="ListParagraph"/>
        <w:numPr>
          <w:ilvl w:val="0"/>
          <w:numId w:val="2"/>
        </w:numPr>
        <w:spacing w:lineRule="auto" w:line="281" w:before="0" w:after="80"/>
        <w:rPr/>
      </w:pPr>
      <w:r>
        <w:rPr/>
        <w:t>State the four standard components of an Architecture Principle and give an example.</w:t>
      </w:r>
    </w:p>
    <w:p>
      <w:pPr>
        <w:pStyle w:val="ListParagraph"/>
        <w:numPr>
          <w:ilvl w:val="0"/>
          <w:numId w:val="2"/>
        </w:numPr>
        <w:spacing w:lineRule="auto" w:line="281" w:before="0" w:after="80"/>
        <w:rPr/>
      </w:pPr>
      <w:r>
        <w:rPr/>
        <w:t>What two halves make up the purpose of Phase A?</w:t>
      </w:r>
    </w:p>
    <w:p>
      <w:pPr>
        <w:pStyle w:val="ListParagraph"/>
        <w:numPr>
          <w:ilvl w:val="0"/>
          <w:numId w:val="2"/>
        </w:numPr>
        <w:spacing w:lineRule="auto" w:line="281" w:before="0" w:after="80"/>
        <w:rPr/>
      </w:pPr>
      <w:r>
        <w:rPr/>
        <w:t>Name the three primary outputs of Phase A.</w:t>
      </w:r>
    </w:p>
    <w:p>
      <w:pPr>
        <w:pStyle w:val="ListParagraph"/>
        <w:numPr>
          <w:ilvl w:val="0"/>
          <w:numId w:val="2"/>
        </w:numPr>
        <w:spacing w:lineRule="auto" w:line="281" w:before="0" w:after="80"/>
        <w:rPr/>
      </w:pPr>
      <w:r>
        <w:rPr/>
        <w:t>Give five differences between an Architecture Vision and an Architecture Definition Document.</w:t>
      </w:r>
    </w:p>
    <w:p>
      <w:pPr>
        <w:pStyle w:val="ListParagraph"/>
        <w:numPr>
          <w:ilvl w:val="0"/>
          <w:numId w:val="2"/>
        </w:numPr>
        <w:spacing w:lineRule="auto" w:line="281" w:before="0" w:after="80"/>
        <w:rPr/>
      </w:pPr>
      <w:r>
        <w:rPr/>
        <w:t>List the seven standard sections of a Statement of Architecture Work.</w:t>
      </w:r>
    </w:p>
    <w:p>
      <w:pPr>
        <w:pStyle w:val="ListParagraph"/>
        <w:numPr>
          <w:ilvl w:val="0"/>
          <w:numId w:val="2"/>
        </w:numPr>
        <w:spacing w:lineRule="auto" w:line="281" w:before="0" w:after="80"/>
        <w:rPr/>
      </w:pPr>
      <w:r>
        <w:rPr/>
        <w:t>What event marks the formal completion of Phase A and the authorisation of Phase B?</w:t>
      </w:r>
    </w:p>
    <w:p>
      <w:pPr>
        <w:pStyle w:val="ListParagraph"/>
        <w:numPr>
          <w:ilvl w:val="0"/>
          <w:numId w:val="2"/>
        </w:numPr>
        <w:spacing w:lineRule="auto" w:line="281" w:before="0" w:after="80"/>
        <w:rPr/>
      </w:pPr>
      <w:r>
        <w:rPr/>
        <w:t>Name the seven components of a Business Scenario.</w:t>
      </w:r>
    </w:p>
    <w:p>
      <w:pPr>
        <w:pStyle w:val="ListParagraph"/>
        <w:numPr>
          <w:ilvl w:val="0"/>
          <w:numId w:val="2"/>
        </w:numPr>
        <w:spacing w:lineRule="auto" w:line="281" w:before="0" w:after="80"/>
        <w:rPr/>
      </w:pPr>
      <w:r>
        <w:rPr/>
        <w:t>Explain three reasons why a Business Scenario is important enough to be Phase A's signature technique.</w:t>
      </w:r>
    </w:p>
    <w:p>
      <w:pPr>
        <w:pStyle w:val="Heading2"/>
        <w:spacing w:before="280" w:after="160"/>
        <w:rPr/>
      </w:pPr>
      <w:r>
        <w:rPr>
          <w:b/>
          <w:bCs/>
          <w:color w:val="2E75B6"/>
        </w:rPr>
        <w:t>8.4 Closing Note</w:t>
      </w:r>
    </w:p>
    <w:p>
      <w:pPr>
        <w:pStyle w:val="Normal"/>
        <w:spacing w:lineRule="auto" w:line="300" w:before="0" w:after="120"/>
        <w:jc w:val="both"/>
        <w:rPr/>
      </w:pPr>
      <w:r>
        <w:rPr/>
        <w:t>Module 5 has covered the two phases in which an architecture practice is established and an engagement is launched. From here forward, the modules drill into substantive architecture development: Phase B (Business), Phase C (Data and Application), Phase D (Technology), and the Phases E onward that turn architecture into delivery. With the foundations of principles, governance, repository, and tailored framework in place — and a Vision, SoAW, and Stakeholder Map securing each engagement — every later phase has the substrate it needs to operate. Make sure you can recite the Preliminary Phase outputs, the Phase A outputs, the SoAW contents, and the Business Scenario components from memory before moving on.</w:t>
      </w:r>
    </w:p>
    <w:p>
      <w:pPr>
        <w:pStyle w:val="Normal"/>
        <w:spacing w:before="0" w:after="120"/>
        <w:rPr/>
      </w:pPr>
      <w:r>
        <w:rPr/>
      </w:r>
    </w:p>
    <w:p>
      <w:pPr>
        <w:pStyle w:val="Normal"/>
        <w:spacing w:before="400" w:after="0"/>
        <w:jc w:val="center"/>
        <w:rPr/>
      </w:pPr>
      <w:r>
        <w:rPr>
          <w:i/>
          <w:iCs/>
          <w:color w:val="808080"/>
        </w:rPr>
        <w:t xml:space="preserve">— </w:t>
      </w:r>
      <w:r>
        <w:rPr>
          <w:i/>
          <w:iCs/>
          <w:color w:val="808080"/>
        </w:rPr>
        <w:t>End of Module 5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26</w:t>
    </w:r>
    <w:r>
      <w:rPr/>
      <w:fldChar w:fldCharType="end"/>
    </w:r>
    <w:r>
      <w:rPr>
        <w:color w:val="808080"/>
        <w:sz w:val="18"/>
        <w:szCs w:val="18"/>
      </w:rPr>
      <w:t xml:space="preserve"> of </w:t>
    </w:r>
    <w:r>
      <w:rPr/>
      <w:fldChar w:fldCharType="begin"/>
    </w:r>
    <w:r>
      <w:rPr/>
      <w:instrText xml:space="preserve"> NUMPAGES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26</w:t>
    </w:r>
    <w:r>
      <w:rPr/>
      <w:fldChar w:fldCharType="end"/>
    </w:r>
    <w:r>
      <w:rPr>
        <w:color w:val="808080"/>
        <w:sz w:val="18"/>
        <w:szCs w:val="18"/>
      </w:rPr>
      <w:t xml:space="preserve"> of </w:t>
    </w:r>
    <w:r>
      <w:rPr/>
      <w:fldChar w:fldCharType="begin"/>
    </w:r>
    <w:r>
      <w:rPr/>
      <w:instrText xml:space="preserve"> NUMPAGES </w:instrText>
    </w:r>
    <w:r>
      <w:rPr/>
      <w:fldChar w:fldCharType="separate"/>
    </w:r>
    <w:r>
      <w:rPr/>
      <w:t>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5: Preliminary &amp; Phase 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5: Preliminary &amp; Phase 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4E78"/>
      <w:sz w:val="36"/>
      <w:szCs w:val="36"/>
    </w:rPr>
  </w:style>
  <w:style w:type="paragraph" w:styleId="Heading2">
    <w:name w:val="heading 2"/>
    <w:basedOn w:val="Heading"/>
    <w:qFormat/>
    <w:pPr>
      <w:spacing w:before="280" w:after="160"/>
      <w:outlineLvl w:val="1"/>
    </w:pPr>
    <w:rPr>
      <w:rFonts w:ascii="Calibri" w:hAnsi="Calibri" w:eastAsia="Calibri" w:cs="Calibri"/>
      <w:b/>
      <w:bCs/>
      <w:color w:val="2E75B6"/>
      <w:sz w:val="30"/>
      <w:szCs w:val="30"/>
    </w:rPr>
  </w:style>
  <w:style w:type="paragraph" w:styleId="Heading3">
    <w:name w:val="heading 3"/>
    <w:basedOn w:val="Heading"/>
    <w:qFormat/>
    <w:pPr>
      <w:spacing w:before="220" w:after="120"/>
      <w:outlineLvl w:val="2"/>
    </w:pPr>
    <w:rPr>
      <w:rFonts w:ascii="Calibri" w:hAnsi="Calibri" w:eastAsia="Calibri" w:cs="Calibri"/>
      <w:b/>
      <w:bCs/>
      <w:color w:val="404040"/>
      <w:sz w:val="26"/>
      <w:szCs w:val="26"/>
    </w:rPr>
  </w:style>
  <w:style w:type="paragraph" w:styleId="Heading4">
    <w:name w:val="heading 4"/>
    <w:basedOn w:val="Heading"/>
    <w:qFormat/>
    <w:pPr>
      <w:spacing w:before="160" w:after="80"/>
      <w:outlineLvl w:val="3"/>
    </w:pPr>
    <w:rPr>
      <w:rFonts w:ascii="Calibri" w:hAnsi="Calibri" w:eastAsia="Calibri" w:cs="Calibri"/>
      <w:b/>
      <w:bCs/>
      <w:i/>
      <w:iCs/>
      <w:color w:val="595959"/>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LibreOffice/25.2.1.2$Linux_X86_64 LibreOffice_project/d3abf4aee5fd705e4a92bba33a32f40bc4e56f49</Application>
  <AppVersion>15.0000</AppVersion>
  <Pages>26</Pages>
  <Words>7702</Words>
  <Characters>44824</Characters>
  <CharactersWithSpaces>52150</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2026-05-02T03:27:07Z</dcterms:created>
  <dc:creator>Claude</dc:creator>
  <dc:description>Comprehensive study guide for ADM Phases Preliminary and A</dc:description>
  <dc:language>en-US</dc:language>
  <cp:lastModifiedBy/>
  <dcterms:modified xsi:type="dcterms:W3CDTF">2026-05-05T15:45:40Z</dcterms:modified>
  <cp:revision>2</cp:revision>
  <dc:subject/>
  <dc:title>TOGAF Module 5 Study Guide</dc:title>
</cp:coreProperties>
</file>