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10: Enterprise Continuum</w:t>
      </w:r>
    </w:p>
    <w:p>
      <w:pPr>
        <w:spacing w:after="200"/>
        <w:jc w:val="center"/>
      </w:pPr>
      <w:r>
        <w:rPr>
          <w:color w:val="595959"/>
          <w:sz w:val="28"/>
          <w:szCs w:val="28"/>
        </w:rPr>
        <w:t xml:space="preserve">Foundation · Common Systems · Industry · Organization-Specific</w:t>
      </w:r>
    </w:p>
    <w:p>
      <w:pPr>
        <w:spacing w:after="200"/>
        <w:jc w:val="center"/>
      </w:pPr>
      <w:r>
        <w:rPr>
          <w:color w:val="808080"/>
          <w:sz w:val="22"/>
          <w:szCs w:val="22"/>
        </w:rPr>
        <w:t xml:space="preserve">Architecture &amp; Solutions Continuums · Specialise · Generalise · TRM · III-RM</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10</w:t>
      </w:r>
    </w:p>
    <w:p>
      <w:pPr>
        <w:spacing w:after="120" w:line="300"/>
        <w:jc w:val="both"/>
      </w:pPr>
      <w:r>
        <w:t xml:space="preserve">Modules 4 through 9 covered the Architecture Development Method and the Architecture Content Framework — what the ADM does and what it produces. Module 10 turns to the third of TOGAF's five core components: the Enterprise Continuum. Where the Content Framework describes the structure of architecture outputs, the Enterprise Continuum describes how those outputs are classified along a spectrum from generic to organisation-specific.</w:t>
      </w:r>
    </w:p>
    <w:p>
      <w:pPr>
        <w:spacing w:after="120" w:line="300"/>
        <w:jc w:val="both"/>
      </w:pPr>
      <w:r>
        <w:t xml:space="preserve">The Enterprise Continuum was introduced briefly in Module 1 and referenced again in Module 9. This module treats it directly: its four levels (Foundation, Common Systems, Industry, Organization-Specific), its two parallel branches (Architecture Continuum and Solutions Continuum), the bidirectional movement of content along it (specialise and generalise), its relationship to the Architecture Repository, and the two Foundation- and Common-Systems-level reference models that TOGAF has historically published (the TRM and III-RM).</w:t>
      </w:r>
    </w:p>
    <w:p>
      <w:pPr>
        <w:spacing w:after="120" w:line="300"/>
        <w:jc w:val="both"/>
      </w:pPr>
      <w:r>
        <w:t xml:space="preserve">The exam tests this module carefully. Five distinctions in particular recur: the four levels in the correct order; the difference between the Architecture Continuum (patterns) and the Solutions Continuum (products); the direction of specialisation (left to right) and generalisation (right to left); the difference between the Continuum (which classifies) and the Repository (which stores); and the location of the TRM (Foundation level) versus the III-RM (Common Systems level). Each is treated below in detail.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The Enterprise Continuum is one of the more abstract topics in TOGAF. Its value comes from making reuse systematic: when an architect needs an architecture or solution, the Continuum tells them where to look first (most generic) and how to add specificity only where genuinely needed. Read this module with that operational purpose in mind — every concept in it serves the goal of "don't reinvent what already exists; specialise from what does."</w:t>
            </w:r>
          </w:p>
        </w:tc>
      </w:tr>
    </w:tbl>
    <w:p>
      <w:r>
        <w:br w:type="page"/>
      </w:r>
    </w:p>
    <w:p>
      <w:pPr>
        <w:pStyle w:val="Heading1"/>
        <w:spacing w:after="200" w:before="360"/>
      </w:pPr>
      <w:r>
        <w:rPr>
          <w:b/>
          <w:bCs/>
          <w:color w:val="1F4E78"/>
        </w:rPr>
        <w:t xml:space="preserve">1. The Four Levels — Foundation → Common Systems → Industry → Organization-Specific</w:t>
      </w:r>
    </w:p>
    <w:p>
      <w:pPr>
        <w:spacing w:after="120" w:line="300"/>
        <w:jc w:val="both"/>
      </w:pPr>
      <w:r>
        <w:t xml:space="preserve">The Enterprise Continuum classifies architecture content along a spectrum that runs from most generic to most organisation-specific. The spectrum is divided into four named levels. Memorising the four levels in the correct order, and being able to give an example of each, is one of the most directly testable skills from this module.</w:t>
      </w:r>
    </w:p>
    <w:p>
      <w:pPr>
        <w:pStyle w:val="Heading2"/>
        <w:spacing w:after="160" w:before="280"/>
      </w:pPr>
      <w:r>
        <w:rPr>
          <w:b/>
          <w:bCs/>
          <w:color w:val="2E75B6"/>
        </w:rPr>
        <w:t xml:space="preserve">1.1 The Mnemonic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8"/>
              <w:left w:val="single" w:color="548235" w:sz="24"/>
              <w:bottom w:val="single" w:color="548235" w:sz="8"/>
              <w:right w:val="single" w:color="548235" w:sz="4"/>
            </w:tcBorders>
            <w:shd w:fill="E2EFDA" w:val="clear"/>
            <w:tcMar>
              <w:top w:type="dxa" w:w="160"/>
              <w:left w:type="dxa" w:w="200"/>
              <w:bottom w:type="dxa" w:w="160"/>
              <w:right w:type="dxa" w:w="200"/>
            </w:tcMar>
          </w:tcPr>
          <w:p>
            <w:pPr>
              <w:spacing w:after="80"/>
            </w:pPr>
            <w:r>
              <w:rPr>
                <w:b/>
                <w:bCs/>
                <w:color w:val="375623"/>
              </w:rPr>
              <w:t xml:space="preserve">🧠 Mnemonic for the Four Levels</w:t>
            </w:r>
          </w:p>
          <w:p>
            <w:pPr>
              <w:spacing w:after="60" w:line="280"/>
              <w:jc w:val="both"/>
            </w:pPr>
            <w:r>
              <w:t xml:space="preserve">"Four Companies Invest Organically"</w:t>
            </w:r>
          </w:p>
          <w:p>
            <w:pPr>
              <w:spacing w:after="60" w:line="280"/>
              <w:jc w:val="both"/>
            </w:pPr>
            <w:r>
              <w:t xml:space="preserve">F — Foundation</w:t>
            </w:r>
          </w:p>
          <w:p>
            <w:pPr>
              <w:spacing w:after="60" w:line="280"/>
              <w:jc w:val="both"/>
            </w:pPr>
            <w:r>
              <w:t xml:space="preserve">C — Common Systems</w:t>
            </w:r>
          </w:p>
          <w:p>
            <w:pPr>
              <w:spacing w:after="60" w:line="280"/>
              <w:jc w:val="both"/>
            </w:pPr>
            <w:r>
              <w:t xml:space="preserve">I — Industry</w:t>
            </w:r>
          </w:p>
          <w:p>
            <w:pPr>
              <w:spacing w:after="60" w:line="280"/>
              <w:jc w:val="both"/>
            </w:pPr>
            <w:r>
              <w:t xml:space="preserve">O — Organization-Specific</w:t>
            </w:r>
          </w:p>
          <w:p>
            <w:pPr>
              <w:spacing w:after="60" w:line="280"/>
              <w:jc w:val="both"/>
            </w:pPr>
            <w:r>
              <w:t xml:space="preserve">The mnemonic encodes the order from most generic (Foundation) to most specific (Organization-Specific). The exam routinely asks for the four levels in order — get the order right and the rest of the module's content settles into place around it.</w:t>
            </w:r>
          </w:p>
        </w:tc>
      </w:tr>
    </w:tbl>
    <w:p>
      <w:pPr>
        <w:pStyle w:val="Heading2"/>
        <w:spacing w:after="160" w:before="280"/>
      </w:pPr>
      <w:r>
        <w:rPr>
          <w:b/>
          <w:bCs/>
          <w:color w:val="2E75B6"/>
        </w:rPr>
        <w:t xml:space="preserve">1.2 Level 1: Foundation</w:t>
      </w:r>
    </w:p>
    <w:p>
      <w:pPr>
        <w:spacing w:after="120" w:line="300"/>
        <w:jc w:val="both"/>
      </w:pPr>
      <w:r>
        <w:t xml:space="preserve">The </w:t>
      </w:r>
      <w:r>
        <w:rPr>
          <w:b/>
          <w:bCs/>
        </w:rPr>
        <w:t xml:space="preserve">Foundation level</w:t>
      </w:r>
      <w:r>
        <w:t xml:space="preserve"> is the most generic. It contains architecture content that applies universally — concepts, models, and patterns that hold true regardless of industry, company, or specific use case. Foundation content is the substrate on which everything else 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Foundation Architecture / Solutions: </w:t>
            </w:r>
            <w:r>
              <w:t xml:space="preserve">The most generic level of the Enterprise Continuum. Contains universally applicable concepts, patterns, and platforms that apply to all enterprises across all industries. The TOGAF Technical Reference Model (TRM) lives at this level. Foundation content is shared by everyone; specialisation begins above it.</w:t>
            </w:r>
          </w:p>
        </w:tc>
      </w:tr>
    </w:tbl>
    <w:p>
      <w:pPr>
        <w:pStyle w:val="Heading3"/>
        <w:spacing w:after="120" w:before="220"/>
      </w:pPr>
      <w:r>
        <w:rPr>
          <w:b/>
          <w:bCs/>
          <w:color w:val="404040"/>
        </w:rPr>
        <w:t xml:space="preserve">Examples of Foundation-Level Content</w:t>
      </w:r>
    </w:p>
    <w:p>
      <w:pPr>
        <w:pStyle w:val="ListParagraph"/>
        <w:numPr>
          <w:ilvl w:val="0"/>
          <w:numId w:val="2"/>
        </w:numPr>
        <w:spacing w:after="80" w:line="280"/>
      </w:pPr>
      <w:r>
        <w:t xml:space="preserve">Generic architectural concepts (the four BDAT domains; the ADM phases; the view/viewpoint model).</w:t>
      </w:r>
    </w:p>
    <w:p>
      <w:pPr>
        <w:pStyle w:val="ListParagraph"/>
        <w:numPr>
          <w:ilvl w:val="0"/>
          <w:numId w:val="2"/>
        </w:numPr>
        <w:spacing w:after="80" w:line="280"/>
      </w:pPr>
      <w:r>
        <w:t xml:space="preserve">Generic technical patterns (client-server, three-tier, service-oriented, event-driven, layered).</w:t>
      </w:r>
    </w:p>
    <w:p>
      <w:pPr>
        <w:pStyle w:val="ListParagraph"/>
        <w:numPr>
          <w:ilvl w:val="0"/>
          <w:numId w:val="2"/>
        </w:numPr>
        <w:spacing w:after="80" w:line="280"/>
      </w:pPr>
      <w:r>
        <w:t xml:space="preserve">Generic platform concepts (compute, storage, network, security as abstract platform services).</w:t>
      </w:r>
    </w:p>
    <w:p>
      <w:pPr>
        <w:pStyle w:val="ListParagraph"/>
        <w:numPr>
          <w:ilvl w:val="0"/>
          <w:numId w:val="2"/>
        </w:numPr>
        <w:spacing w:after="80" w:line="280"/>
      </w:pPr>
      <w:r>
        <w:t xml:space="preserve">Generic data concepts (entity-relationship modelling, normalisation, transactions).</w:t>
      </w:r>
    </w:p>
    <w:p>
      <w:pPr>
        <w:pStyle w:val="ListParagraph"/>
        <w:numPr>
          <w:ilvl w:val="0"/>
          <w:numId w:val="2"/>
        </w:numPr>
        <w:spacing w:after="80" w:line="280"/>
      </w:pPr>
      <w:r>
        <w:t xml:space="preserve">The TOGAF Technical Reference Model (TRM) — covered in Section 7.</w:t>
      </w:r>
    </w:p>
    <w:p>
      <w:pPr>
        <w:spacing w:after="120" w:line="300"/>
        <w:jc w:val="both"/>
      </w:pPr>
      <w:r>
        <w:t xml:space="preserve">Foundation-level content is rarely produced by any single enterprise. It comes from open standards bodies (The Open Group, OMG, IEEE, W3C), from reference models, from textbook patterns, and from decades of industry practice. An enterprise consumes Foundation content; it does not typically create it.</w:t>
      </w:r>
    </w:p>
    <w:p>
      <w:pPr>
        <w:pStyle w:val="Heading2"/>
        <w:spacing w:after="160" w:before="280"/>
      </w:pPr>
      <w:r>
        <w:rPr>
          <w:b/>
          <w:bCs/>
          <w:color w:val="2E75B6"/>
        </w:rPr>
        <w:t xml:space="preserve">1.3 Level 2: Common Systems</w:t>
      </w:r>
    </w:p>
    <w:p>
      <w:pPr>
        <w:spacing w:after="120" w:line="300"/>
        <w:jc w:val="both"/>
      </w:pPr>
      <w:r>
        <w:t xml:space="preserve">The </w:t>
      </w:r>
      <w:r>
        <w:rPr>
          <w:b/>
          <w:bCs/>
        </w:rPr>
        <w:t xml:space="preserve">Common Systems level</w:t>
      </w:r>
      <w:r>
        <w:t xml:space="preserve"> is widely applicable but not universal. It contains architectures and solutions that apply across many industries — though not every industry — and that solve problems common to many enterprises. Common Systems content is often built directly on Foundation content but with additional specificity that constrains the domain of applicability.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Common Systems Architecture / Solutions: </w:t>
            </w:r>
            <w:r>
              <w:t xml:space="preserve">The level of the Enterprise Continuum containing architectures and solutions widely applicable across many industries. Built on Foundation content with additional specificity. The Integrated Information Infrastructure Reference Model (III-RM) lives at this level. Examples include generic CRM architectures, generic identity and access management patterns, generic data integration patterns.</w:t>
            </w:r>
          </w:p>
        </w:tc>
      </w:tr>
    </w:tbl>
    <w:p>
      <w:pPr>
        <w:pStyle w:val="Heading3"/>
        <w:spacing w:after="120" w:before="220"/>
      </w:pPr>
      <w:r>
        <w:rPr>
          <w:b/>
          <w:bCs/>
          <w:color w:val="404040"/>
        </w:rPr>
        <w:t xml:space="preserve">Examples of Common Systems Content</w:t>
      </w:r>
    </w:p>
    <w:p>
      <w:pPr>
        <w:pStyle w:val="ListParagraph"/>
        <w:numPr>
          <w:ilvl w:val="0"/>
          <w:numId w:val="2"/>
        </w:numPr>
        <w:spacing w:after="80" w:line="280"/>
      </w:pPr>
      <w:r>
        <w:t xml:space="preserve">Generic CRM architecture pattern — applicable to retailers, banks, utilities, hospitals.</w:t>
      </w:r>
    </w:p>
    <w:p>
      <w:pPr>
        <w:pStyle w:val="ListParagraph"/>
        <w:numPr>
          <w:ilvl w:val="0"/>
          <w:numId w:val="2"/>
        </w:numPr>
        <w:spacing w:after="80" w:line="280"/>
      </w:pPr>
      <w:r>
        <w:t xml:space="preserve">Generic identity and access management pattern — federation, single sign-on, MFA flow, applicable across most enterprises.</w:t>
      </w:r>
    </w:p>
    <w:p>
      <w:pPr>
        <w:pStyle w:val="ListParagraph"/>
        <w:numPr>
          <w:ilvl w:val="0"/>
          <w:numId w:val="2"/>
        </w:numPr>
        <w:spacing w:after="80" w:line="280"/>
      </w:pPr>
      <w:r>
        <w:t xml:space="preserve">Generic ERP architecture pattern — finance, HR, procurement modules with standard integrations.</w:t>
      </w:r>
    </w:p>
    <w:p>
      <w:pPr>
        <w:pStyle w:val="ListParagraph"/>
        <w:numPr>
          <w:ilvl w:val="0"/>
          <w:numId w:val="2"/>
        </w:numPr>
        <w:spacing w:after="80" w:line="280"/>
      </w:pPr>
      <w:r>
        <w:t xml:space="preserve">Generic data lake / data warehouse pattern — applicable wherever analytics is performed.</w:t>
      </w:r>
    </w:p>
    <w:p>
      <w:pPr>
        <w:pStyle w:val="ListParagraph"/>
        <w:numPr>
          <w:ilvl w:val="0"/>
          <w:numId w:val="2"/>
        </w:numPr>
        <w:spacing w:after="80" w:line="280"/>
      </w:pPr>
      <w:r>
        <w:t xml:space="preserve">Generic API gateway pattern — three-layer API design, applicable wherever APIs are used.</w:t>
      </w:r>
    </w:p>
    <w:p>
      <w:pPr>
        <w:pStyle w:val="ListParagraph"/>
        <w:numPr>
          <w:ilvl w:val="0"/>
          <w:numId w:val="2"/>
        </w:numPr>
        <w:spacing w:after="80" w:line="280"/>
      </w:pPr>
      <w:r>
        <w:t xml:space="preserve">The TOGAF Integrated Information Infrastructure Reference Model (III-RM) — covered in Section 7.</w:t>
      </w:r>
    </w:p>
    <w:p>
      <w:pPr>
        <w:spacing w:after="120" w:line="300"/>
        <w:jc w:val="both"/>
      </w:pPr>
      <w:r>
        <w:t xml:space="preserve">Common Systems content typically comes from technology vendors, integration consultancies, and industry-spanning standards groups (e.g., FIDO Alliance for authentication patterns; OASIS for messaging patterns).</w:t>
      </w:r>
    </w:p>
    <w:p>
      <w:pPr>
        <w:pStyle w:val="Heading2"/>
        <w:spacing w:after="160" w:before="280"/>
      </w:pPr>
      <w:r>
        <w:rPr>
          <w:b/>
          <w:bCs/>
          <w:color w:val="2E75B6"/>
        </w:rPr>
        <w:t xml:space="preserve">1.4 Level 3: Industry</w:t>
      </w:r>
    </w:p>
    <w:p>
      <w:pPr>
        <w:spacing w:after="120" w:line="300"/>
        <w:jc w:val="both"/>
      </w:pPr>
      <w:r>
        <w:t xml:space="preserve">The </w:t>
      </w:r>
      <w:r>
        <w:rPr>
          <w:b/>
          <w:bCs/>
        </w:rPr>
        <w:t xml:space="preserve">Industry level</w:t>
      </w:r>
      <w:r>
        <w:t xml:space="preserve"> contains architectures and solutions specific to a particular industry vertical. Banking has its own reference architectures; healthcare has its own; insurance, manufacturing, telecommunications, and government each have theirs. Industry-level content embodies the regulatory regime, vocabulary, and capability shape of the specific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Industry Architecture / Solutions: </w:t>
            </w:r>
            <w:r>
              <w:t xml:space="preserve">The level of the Enterprise Continuum containing architectures and solutions specific to a particular industry vertical. Embodies industry-specific capabilities, regulatory requirements, vocabulary, and business patterns. Examples: BIAN reference architecture for banking, HL7 FHIR for healthcare, TM Forum frameworks for telecommunications.</w:t>
            </w:r>
          </w:p>
        </w:tc>
      </w:tr>
    </w:tbl>
    <w:p>
      <w:pPr>
        <w:pStyle w:val="Heading3"/>
        <w:spacing w:after="120" w:before="220"/>
      </w:pPr>
      <w:r>
        <w:rPr>
          <w:b/>
          <w:bCs/>
          <w:color w:val="404040"/>
        </w:rPr>
        <w:t xml:space="preserve">Examples of Industry-Level Content</w:t>
      </w:r>
    </w:p>
    <w:p>
      <w:pPr>
        <w:pStyle w:val="ListParagraph"/>
        <w:numPr>
          <w:ilvl w:val="0"/>
          <w:numId w:val="2"/>
        </w:numPr>
        <w:spacing w:after="80" w:line="280"/>
      </w:pPr>
      <w:r>
        <w:t xml:space="preserve">BIAN (Banking Industry Architecture Network) — capability and service-domain reference for banking.</w:t>
      </w:r>
    </w:p>
    <w:p>
      <w:pPr>
        <w:pStyle w:val="ListParagraph"/>
        <w:numPr>
          <w:ilvl w:val="0"/>
          <w:numId w:val="2"/>
        </w:numPr>
        <w:spacing w:after="80" w:line="280"/>
      </w:pPr>
      <w:r>
        <w:t xml:space="preserve">HL7 FHIR — interoperability standards for healthcare data exchange.</w:t>
      </w:r>
    </w:p>
    <w:p>
      <w:pPr>
        <w:pStyle w:val="ListParagraph"/>
        <w:numPr>
          <w:ilvl w:val="0"/>
          <w:numId w:val="2"/>
        </w:numPr>
        <w:spacing w:after="80" w:line="280"/>
      </w:pPr>
      <w:r>
        <w:t xml:space="preserve">TM Forum Frameworx (eTOM, SID, TAM) — process, information, and application frameworks for telecommunications.</w:t>
      </w:r>
    </w:p>
    <w:p>
      <w:pPr>
        <w:pStyle w:val="ListParagraph"/>
        <w:numPr>
          <w:ilvl w:val="0"/>
          <w:numId w:val="2"/>
        </w:numPr>
        <w:spacing w:after="80" w:line="280"/>
      </w:pPr>
      <w:r>
        <w:t xml:space="preserve">ARTS (Association for Retail Technology Standards) — retail data and process standards.</w:t>
      </w:r>
    </w:p>
    <w:p>
      <w:pPr>
        <w:pStyle w:val="ListParagraph"/>
        <w:numPr>
          <w:ilvl w:val="0"/>
          <w:numId w:val="2"/>
        </w:numPr>
        <w:spacing w:after="80" w:line="280"/>
      </w:pPr>
      <w:r>
        <w:t xml:space="preserve">SCOR — Supply Chain Operations Reference for manufacturing and logistics.</w:t>
      </w:r>
    </w:p>
    <w:p>
      <w:pPr>
        <w:pStyle w:val="ListParagraph"/>
        <w:numPr>
          <w:ilvl w:val="0"/>
          <w:numId w:val="2"/>
        </w:numPr>
        <w:spacing w:after="80" w:line="280"/>
      </w:pPr>
      <w:r>
        <w:t xml:space="preserve">ACORD — insurance data and process standards.</w:t>
      </w:r>
    </w:p>
    <w:p>
      <w:pPr>
        <w:spacing w:after="120" w:line="300"/>
        <w:jc w:val="both"/>
      </w:pPr>
      <w:r>
        <w:t xml:space="preserve">Industry-level content typically comes from industry consortia (BIAN, TM Forum), regulatory bodies (HL7), and industry analysts. Adopting industry-level content gives an enterprise the benefit of decades of vertical practice rather than starting from generic Common Systems patterns.</w:t>
      </w:r>
    </w:p>
    <w:p>
      <w:pPr>
        <w:pStyle w:val="Heading2"/>
        <w:spacing w:after="160" w:before="280"/>
      </w:pPr>
      <w:r>
        <w:rPr>
          <w:b/>
          <w:bCs/>
          <w:color w:val="2E75B6"/>
        </w:rPr>
        <w:t xml:space="preserve">1.5 Level 4: Organization-Specific</w:t>
      </w:r>
    </w:p>
    <w:p>
      <w:pPr>
        <w:spacing w:after="120" w:line="300"/>
        <w:jc w:val="both"/>
      </w:pPr>
      <w:r>
        <w:t xml:space="preserve">The </w:t>
      </w:r>
      <w:r>
        <w:rPr>
          <w:b/>
          <w:bCs/>
        </w:rPr>
        <w:t xml:space="preserve">Organization-Specific level</w:t>
      </w:r>
      <w:r>
        <w:t xml:space="preserve"> is the most specific. It contains architectures and solutions tailored to a single enterprise — its actual capabilities, actual systems, actual constraints, actual brand standards, actual technology choices. Organization-Specific content is bespoke; it has no applicability outside the enterprise that produced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Organization-Specific Architecture / Solutions: </w:t>
            </w:r>
            <w:r>
              <w:t xml:space="preserve">The most specific level of the Enterprise Continuum. Contains architectures and solutions unique to a single enterprise — bespoke target architectures, specific application portfolios, named technology choices, branded patterns. Most architecture engagement output sits at this level. Built by adding constraints and specificity to higher levels.</w:t>
            </w:r>
          </w:p>
        </w:tc>
      </w:tr>
    </w:tbl>
    <w:p>
      <w:pPr>
        <w:pStyle w:val="Heading3"/>
        <w:spacing w:after="120" w:before="220"/>
      </w:pPr>
      <w:r>
        <w:rPr>
          <w:b/>
          <w:bCs/>
          <w:color w:val="404040"/>
        </w:rPr>
        <w:t xml:space="preserve">Examples of Organization-Specific Content</w:t>
      </w:r>
    </w:p>
    <w:p>
      <w:pPr>
        <w:pStyle w:val="ListParagraph"/>
        <w:numPr>
          <w:ilvl w:val="0"/>
          <w:numId w:val="2"/>
        </w:numPr>
        <w:spacing w:after="80" w:line="280"/>
      </w:pPr>
      <w:r>
        <w:t xml:space="preserve">"Acme Bank Online Banking Architecture v3.2" — the actual target architecture for one bank's online channel.</w:t>
      </w:r>
    </w:p>
    <w:p>
      <w:pPr>
        <w:pStyle w:val="ListParagraph"/>
        <w:numPr>
          <w:ilvl w:val="0"/>
          <w:numId w:val="2"/>
        </w:numPr>
        <w:spacing w:after="80" w:line="280"/>
      </w:pPr>
      <w:r>
        <w:t xml:space="preserve">"Acme Bank Customer Identity Verification Service ABB" — the bank's specific specification, derived from a Common Systems IAM pattern with banking-industry KYC overlay.</w:t>
      </w:r>
    </w:p>
    <w:p>
      <w:pPr>
        <w:pStyle w:val="ListParagraph"/>
        <w:numPr>
          <w:ilvl w:val="0"/>
          <w:numId w:val="2"/>
        </w:numPr>
        <w:spacing w:after="80" w:line="280"/>
      </w:pPr>
      <w:r>
        <w:t xml:space="preserve">"Acme Bank Onfido v4.2 Deployment in eu-west-2" — the actual SBB realising the bank's identity ABB.</w:t>
      </w:r>
    </w:p>
    <w:p>
      <w:pPr>
        <w:pStyle w:val="ListParagraph"/>
        <w:numPr>
          <w:ilvl w:val="0"/>
          <w:numId w:val="2"/>
        </w:numPr>
        <w:spacing w:after="80" w:line="280"/>
      </w:pPr>
      <w:r>
        <w:t xml:space="preserve">"Acme Bank Architecture Principles" — the principles agreed in the Preliminary Phase of this enterprise.</w:t>
      </w:r>
    </w:p>
    <w:p>
      <w:pPr>
        <w:pStyle w:val="ListParagraph"/>
        <w:numPr>
          <w:ilvl w:val="0"/>
          <w:numId w:val="2"/>
        </w:numPr>
        <w:spacing w:after="80" w:line="280"/>
      </w:pPr>
      <w:r>
        <w:t xml:space="preserve">"Acme Bank Capability Map v2.1" — the capability decomposition specific to the bank.</w:t>
      </w:r>
    </w:p>
    <w:p>
      <w:pPr>
        <w:spacing w:after="120" w:line="300"/>
        <w:jc w:val="both"/>
      </w:pPr>
      <w:r>
        <w:t xml:space="preserve">Organization-Specific content is the principal output of architecture engagements. Most of the artefacts produced in Phases B, C, D, E, and F (covered in Modules 6 and 7) are Organization-Specific. They are built by descending the Continuum from Foundation through Common Systems and Industry, adding specificity at each level.</w:t>
      </w:r>
    </w:p>
    <w:p>
      <w:pPr>
        <w:pStyle w:val="Heading2"/>
        <w:spacing w:after="160" w:before="280"/>
      </w:pPr>
      <w:r>
        <w:rPr>
          <w:b/>
          <w:bCs/>
          <w:color w:val="2E75B6"/>
        </w:rPr>
        <w:t xml:space="preserve">1.6 The Four Levels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2200"/>
        <w:gridCol w:w="2200"/>
        <w:gridCol w:w="1860"/>
      </w:tblGrid>
      <w:tr>
        <w:trPr>
          <w:tblHeader/>
        </w:trPr>
        <w:tc>
          <w:tcPr>
            <w:tcW w:type="dxa" w:w="2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11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Mnemonic</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Scope</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Source</w:t>
            </w:r>
          </w:p>
        </w:tc>
        <w:tc>
          <w:tcPr>
            <w:tcW w:type="dxa" w:w="1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w:t>
            </w:r>
          </w:p>
        </w:tc>
        <w:tc>
          <w:tcPr>
            <w:tcW w:type="dxa" w:w="1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Universal — applies everywhere</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Open standards, textbook patterns</w:t>
            </w:r>
          </w:p>
        </w:tc>
        <w:tc>
          <w:tcPr>
            <w:tcW w:type="dxa" w:w="1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TRM; the four BDAT domains</w:t>
            </w:r>
          </w:p>
        </w:tc>
      </w:tr>
      <w:tr>
        <w:tc>
          <w:tcPr>
            <w:tcW w:type="dxa" w:w="2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Common Systems</w:t>
            </w:r>
          </w:p>
        </w:tc>
        <w:tc>
          <w:tcPr>
            <w:tcW w:type="dxa" w:w="11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Widely applicable across industries</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Vendor frameworks, integration consultancies</w:t>
            </w:r>
          </w:p>
        </w:tc>
        <w:tc>
          <w:tcPr>
            <w:tcW w:type="dxa" w:w="1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III-RM; generic CRM pattern</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Industry</w:t>
            </w:r>
          </w:p>
        </w:tc>
        <w:tc>
          <w:tcPr>
            <w:tcW w:type="dxa" w:w="1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Specific to one industry vertical</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Industry consortia, regulators</w:t>
            </w:r>
          </w:p>
        </w:tc>
        <w:tc>
          <w:tcPr>
            <w:tcW w:type="dxa" w:w="1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BIAN; HL7 FHIR; TM Forum</w:t>
            </w:r>
          </w:p>
        </w:tc>
      </w:tr>
      <w:tr>
        <w:tc>
          <w:tcPr>
            <w:tcW w:type="dxa" w:w="2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Organization-Specific</w:t>
            </w:r>
          </w:p>
        </w:tc>
        <w:tc>
          <w:tcPr>
            <w:tcW w:type="dxa" w:w="11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Unique to one enterprise</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engagements</w:t>
            </w:r>
          </w:p>
        </w:tc>
        <w:tc>
          <w:tcPr>
            <w:tcW w:type="dxa" w:w="1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"Acme Bank Online Banking Architecture v3.2"</w:t>
            </w:r>
          </w:p>
        </w:tc>
      </w:tr>
    </w:tbl>
    <w:p>
      <w:pPr>
        <w:pStyle w:val="Heading2"/>
        <w:spacing w:after="160" w:before="280"/>
      </w:pPr>
      <w:r>
        <w:rPr>
          <w:b/>
          <w:bCs/>
          <w:color w:val="2E75B6"/>
        </w:rPr>
        <w:t xml:space="preserve">1.7 The Levels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Walking the Four Levels for a Single Need</w:t>
            </w:r>
          </w:p>
          <w:p>
            <w:pPr>
              <w:spacing w:after="60" w:line="280"/>
              <w:jc w:val="both"/>
            </w:pPr>
            <w:r>
              <w:t xml:space="preserve">Need: design a Customer Authentication capability for Acme Bank's online channel.</w:t>
            </w:r>
          </w:p>
          <w:p>
            <w:pPr>
              <w:spacing w:after="60" w:line="280"/>
              <w:jc w:val="both"/>
            </w:pPr>
            <w:r>
              <w:t xml:space="preserve">Foundation level: generic concept of authentication (something you know, something you have, something you are; the abstract Authentication Service pattern; cryptographic primitives). Acme inherits this — it does not reinvent cryptography.</w:t>
            </w:r>
          </w:p>
          <w:p>
            <w:pPr>
              <w:spacing w:after="60" w:line="280"/>
              <w:jc w:val="both"/>
            </w:pPr>
            <w:r>
              <w:t xml:space="preserve">Common Systems level: identity-and-access-management reference patterns (federation via SAML/OIDC; MFA flows; session management; token lifecycle). Acme reuses Common Systems content rather than designing a generic IAM stack from first principles.</w:t>
            </w:r>
          </w:p>
          <w:p>
            <w:pPr>
              <w:spacing w:after="60" w:line="280"/>
              <w:jc w:val="both"/>
            </w:pPr>
            <w:r>
              <w:t xml:space="preserve">Industry level: banking-specific authentication overlay (PSD2 strong customer authentication requirements; banking-specific risk-based authentication; transaction-signing patterns). Acme adopts BIAN-aligned patterns and PSD2-conformant flows because the bank operates in a regulated market.</w:t>
            </w:r>
          </w:p>
          <w:p>
            <w:pPr>
              <w:spacing w:after="60" w:line="280"/>
              <w:jc w:val="both"/>
            </w:pPr>
            <w:r>
              <w:t xml:space="preserve">Organization-Specific level: "Acme Bank Customer Authentication Service ABB v2.0" — combines the Common Systems IAM pattern with the Industry banking overlay, adds Acme's specific risk thresholds, brand-compliant UI flows, integration to Acme's specific customer master data, and constraints derived from Acme's principles (e.g., "all customer-facing services must support recovery in under 60 seconds"). The SBB chosen — "Okta Workforce Identity v23.7 deployed in Acme's eu-west-2 region" — is also Organization-Specific.</w:t>
            </w:r>
          </w:p>
          <w:p>
            <w:pPr>
              <w:spacing w:after="60" w:line="280"/>
              <w:jc w:val="both"/>
            </w:pPr>
            <w:r>
              <w:t xml:space="preserve">The architect at Acme reuses Foundation, Common Systems, and Industry content; they create Organization-Specific content. The Continuum's value: most of the work has already been done by someone else. The bank's job is to specialise from existing patterns, not invent from scratch.</w:t>
            </w:r>
          </w:p>
        </w:tc>
      </w:tr>
    </w:tbl>
    <w:p>
      <w:r>
        <w:br w:type="page"/>
      </w:r>
    </w:p>
    <w:p>
      <w:pPr>
        <w:pStyle w:val="Heading1"/>
        <w:spacing w:after="200" w:before="360"/>
      </w:pPr>
      <w:r>
        <w:rPr>
          <w:b/>
          <w:bCs/>
          <w:color w:val="1F4E78"/>
        </w:rPr>
        <w:t xml:space="preserve">2. Architecture Continuum vs Solutions Continuum</w:t>
      </w:r>
    </w:p>
    <w:p>
      <w:pPr>
        <w:spacing w:after="120" w:line="300"/>
        <w:jc w:val="both"/>
      </w:pPr>
      <w:r>
        <w:t xml:space="preserve">The Enterprise Continuum is not a single classification but two parallel ones: the Architecture Continuum (which classifies architectures) and the Solutions Continuum (which classifies solutions). Both run through the same four levels (Foundation → Common Systems → Industry → Organization-Specific), in lockstep. At each level, the Architecture Continuum holds the patterns; the Solutions Continuum holds the products.</w:t>
      </w:r>
    </w:p>
    <w:p>
      <w:pPr>
        <w:pStyle w:val="Heading2"/>
        <w:spacing w:after="160" w:before="280"/>
      </w:pPr>
      <w:r>
        <w:rPr>
          <w:b/>
          <w:bCs/>
          <w:color w:val="2E75B6"/>
        </w:rPr>
        <w:t xml:space="preserve">2.1 Architecture Continuum —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Continuum: </w:t>
            </w:r>
            <w:r>
              <w:t xml:space="preserve">The branch of the Enterprise Continuum that classifies ARCHITECTURES (patterns, specifications, ABBs) along the four levels from Foundation to Organization-Specific. The Architecture Continuum holds WHAT-level descriptions: required capabilities, interfaces, performance envelopes — vendor-neutral, technology-agnostic. Architecture Building Blocks (ABBs) live here.</w:t>
            </w:r>
          </w:p>
        </w:tc>
      </w:tr>
    </w:tbl>
    <w:p>
      <w:pPr>
        <w:spacing w:after="120" w:line="300"/>
        <w:jc w:val="both"/>
      </w:pPr>
      <w:r>
        <w:t xml:space="preserve">The Architecture Continuum is the conceptual half of the Enterprise Continuum. It holds the things that describe architecture — patterns, reference models, ABBs, principles, specifications. None of these are products; all of them are descriptions. As covered in Module 9, ABBs live in the Architecture Continuum specifically because they are technology-agnostic specifications.</w:t>
      </w:r>
    </w:p>
    <w:p>
      <w:pPr>
        <w:pStyle w:val="Heading3"/>
        <w:spacing w:after="120" w:before="220"/>
      </w:pPr>
      <w:r>
        <w:rPr>
          <w:b/>
          <w:bCs/>
          <w:color w:val="404040"/>
        </w:rPr>
        <w:t xml:space="preserve">What Lives in the Architecture Continuum</w:t>
      </w:r>
    </w:p>
    <w:p>
      <w:pPr>
        <w:pStyle w:val="ListParagraph"/>
        <w:numPr>
          <w:ilvl w:val="0"/>
          <w:numId w:val="2"/>
        </w:numPr>
        <w:spacing w:after="80" w:line="280"/>
      </w:pPr>
      <w:r>
        <w:t xml:space="preserve">Foundation: TOGAF TRM; the four BDAT domains; generic architectural concepts.</w:t>
      </w:r>
    </w:p>
    <w:p>
      <w:pPr>
        <w:pStyle w:val="ListParagraph"/>
        <w:numPr>
          <w:ilvl w:val="0"/>
          <w:numId w:val="2"/>
        </w:numPr>
        <w:spacing w:after="80" w:line="280"/>
      </w:pPr>
      <w:r>
        <w:t xml:space="preserve">Common Systems: III-RM; generic CRM, ERP, IAM, data-warehouse patterns.</w:t>
      </w:r>
    </w:p>
    <w:p>
      <w:pPr>
        <w:pStyle w:val="ListParagraph"/>
        <w:numPr>
          <w:ilvl w:val="0"/>
          <w:numId w:val="2"/>
        </w:numPr>
        <w:spacing w:after="80" w:line="280"/>
      </w:pPr>
      <w:r>
        <w:t xml:space="preserve">Industry: BIAN reference architecture; HL7 reference models; TM Forum Frameworx.</w:t>
      </w:r>
    </w:p>
    <w:p>
      <w:pPr>
        <w:pStyle w:val="ListParagraph"/>
        <w:numPr>
          <w:ilvl w:val="0"/>
          <w:numId w:val="2"/>
        </w:numPr>
        <w:spacing w:after="80" w:line="280"/>
      </w:pPr>
      <w:r>
        <w:t xml:space="preserve">Organization-Specific: "Acme Bank Online Banking Target Architecture v3.2"; "Acme Bank Customer Authentication ABB"; the Architecture Definition Document for any specific engagement.</w:t>
      </w:r>
    </w:p>
    <w:p>
      <w:pPr>
        <w:pStyle w:val="Heading2"/>
        <w:spacing w:after="160" w:before="280"/>
      </w:pPr>
      <w:r>
        <w:rPr>
          <w:b/>
          <w:bCs/>
          <w:color w:val="2E75B6"/>
        </w:rPr>
        <w:t xml:space="preserve">2.2 Solutions Continuum —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Solutions Continuum: </w:t>
            </w:r>
            <w:r>
              <w:t xml:space="preserve">The branch of the Enterprise Continuum that classifies SOLUTIONS (concrete products, configurations, deployments, SBBs) along the same four levels from Foundation to Organization-Specific. The Solutions Continuum holds HOW-level realisations: specific products, vendors, configurations. Solution Building Blocks (SBBs) live here.</w:t>
            </w:r>
          </w:p>
        </w:tc>
      </w:tr>
    </w:tbl>
    <w:p>
      <w:pPr>
        <w:spacing w:after="120" w:line="300"/>
        <w:jc w:val="both"/>
      </w:pPr>
      <w:r>
        <w:t xml:space="preserve">The Solutions Continuum is the realisation half of the Enterprise Continuum. It holds the things that implement architecture — specific products, configurations, deployments, integrations. SBBs live here because SBBs name vendors and products.</w:t>
      </w:r>
    </w:p>
    <w:p>
      <w:pPr>
        <w:pStyle w:val="Heading3"/>
        <w:spacing w:after="120" w:before="220"/>
      </w:pPr>
      <w:r>
        <w:rPr>
          <w:b/>
          <w:bCs/>
          <w:color w:val="404040"/>
        </w:rPr>
        <w:t xml:space="preserve">What Lives in the Solutions Continuum</w:t>
      </w:r>
    </w:p>
    <w:p>
      <w:pPr>
        <w:pStyle w:val="ListParagraph"/>
        <w:numPr>
          <w:ilvl w:val="0"/>
          <w:numId w:val="2"/>
        </w:numPr>
        <w:spacing w:after="80" w:line="280"/>
      </w:pPr>
      <w:r>
        <w:t xml:space="preserve">Foundation: generic platform implementations (the abstract pattern of "a relational database engine").</w:t>
      </w:r>
    </w:p>
    <w:p>
      <w:pPr>
        <w:pStyle w:val="ListParagraph"/>
        <w:numPr>
          <w:ilvl w:val="0"/>
          <w:numId w:val="2"/>
        </w:numPr>
        <w:spacing w:after="80" w:line="280"/>
      </w:pPr>
      <w:r>
        <w:t xml:space="preserve">Common Systems: widely-deployed product platforms (a standard PostgreSQL deployment pattern; a standard Kafka cluster topology).</w:t>
      </w:r>
    </w:p>
    <w:p>
      <w:pPr>
        <w:pStyle w:val="ListParagraph"/>
        <w:numPr>
          <w:ilvl w:val="0"/>
          <w:numId w:val="2"/>
        </w:numPr>
        <w:spacing w:after="80" w:line="280"/>
      </w:pPr>
      <w:r>
        <w:t xml:space="preserve">Industry: vertical-specific deployment patterns (a banking-vertical Okta deployment with PSD2 MFA flow; an HL7 FHIR-conformant integration platform configured for a specific clinical use case).</w:t>
      </w:r>
    </w:p>
    <w:p>
      <w:pPr>
        <w:pStyle w:val="ListParagraph"/>
        <w:numPr>
          <w:ilvl w:val="0"/>
          <w:numId w:val="2"/>
        </w:numPr>
        <w:spacing w:after="80" w:line="280"/>
      </w:pPr>
      <w:r>
        <w:t xml:space="preserve">Organization-Specific: "Acme Bank's Okta v23.7 deployment in eu-west-2 with custom MFA flow"; "Acme Bank's PostgreSQL 15 cluster supporting the customer master"; the actual deployed SBBs in production.</w:t>
      </w:r>
    </w:p>
    <w:p>
      <w:pPr>
        <w:pStyle w:val="Heading2"/>
        <w:spacing w:after="160" w:before="280"/>
      </w:pPr>
      <w:r>
        <w:rPr>
          <w:b/>
          <w:bCs/>
          <w:color w:val="2E75B6"/>
        </w:rPr>
        <w:t xml:space="preserve">2.3 The Two Branches in Parallel</w:t>
      </w:r>
    </w:p>
    <w:p>
      <w:pPr>
        <w:spacing w:after="120" w:line="300"/>
        <w:jc w:val="both"/>
      </w:pPr>
      <w:r>
        <w:t xml:space="preserve">The two branches run in parallel along the same four levels. At every level, content in the Architecture Continuum is paired with content in the Solutions Continuum: an ABB at level X is realised by an SBB at level X. The pairing is what allows reuse: an Industry-level ABB can be picked up by many enterprises, and an Industry-level SBB (e.g., a banking-vertical Okta deployment template) can be reused as the starting point for many Organization-Specific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Architecture Continuum (Patterns / WHAT)</w:t>
            </w:r>
          </w:p>
        </w:tc>
        <w:tc>
          <w:tcPr>
            <w:tcW w:type="dxa" w:w="3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Solutions Continuum (Products / HOW)</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Generic Authentication Service ABB; abstract IAM pattern</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Generic IAM platform pattern</w:t>
            </w:r>
          </w:p>
        </w:tc>
      </w:tr>
      <w:tr>
        <w:tc>
          <w:tcPr>
            <w:tcW w:type="dxa" w:w="2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Common Systems</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Customer Authentication ABB applicable across industries</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Standard SAML/OIDC IDP deployment pattern</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Industry</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Banking Customer Authentication ABB with PSD2 SCA requirements</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Banking-vertical Okta deployment template with PSD2 MFA flow</w:t>
            </w:r>
          </w:p>
        </w:tc>
      </w:tr>
      <w:tr>
        <w:tc>
          <w:tcPr>
            <w:tcW w:type="dxa" w:w="2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Organization-Specific</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Acme Bank Customer Authentication Service ABB v2.0</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Acme Bank's Okta v23.7 deployment in eu-west-2 with custom MFA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The Pairing Rule</w:t>
            </w:r>
          </w:p>
          <w:p>
            <w:pPr>
              <w:spacing w:after="60" w:line="280"/>
              <w:jc w:val="both"/>
            </w:pPr>
            <w:r>
              <w:t xml:space="preserve">Whenever an architect references content in the Continuum, both branches are usually relevant. Looking up an ABB in the Architecture Continuum is almost always followed by looking up the SBB in the Solutions Continuum that realises it (or, if no suitable SBB exists, deciding whether to procure or build one). The two branches are not alternatives — they are complements that work together at every level.</w:t>
            </w:r>
          </w:p>
        </w:tc>
      </w:tr>
    </w:tbl>
    <w:p>
      <w:r>
        <w:br w:type="page"/>
      </w:r>
    </w:p>
    <w:p>
      <w:pPr>
        <w:pStyle w:val="Heading1"/>
        <w:spacing w:after="200" w:before="360"/>
      </w:pPr>
      <w:r>
        <w:rPr>
          <w:b/>
          <w:bCs/>
          <w:color w:val="1F4E78"/>
        </w:rPr>
        <w:t xml:space="preserve">3. Specialise — Moving Left to Right</w:t>
      </w:r>
    </w:p>
    <w:p>
      <w:pPr>
        <w:spacing w:after="120" w:line="300"/>
        <w:jc w:val="both"/>
      </w:pPr>
      <w:r>
        <w:t xml:space="preserve">Content moves through the Enterprise Continuum in two directions: from generic to specific (specialise) and from specific to generic (generalise). The first direction — specialise, moving from Foundation toward Organization-Specific — is by far the more common, and it is the operational mechanism by which architecture engagements produce their bespoke output without having to invent everything from first principles.</w:t>
      </w:r>
    </w:p>
    <w:p>
      <w:pPr>
        <w:pStyle w:val="Heading2"/>
        <w:spacing w:after="160" w:before="280"/>
      </w:pPr>
      <w:r>
        <w:rPr>
          <w:b/>
          <w:bCs/>
          <w:color w:val="2E75B6"/>
        </w:rPr>
        <w:t xml:space="preserve">3.1 What Specialisation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Specialise: </w:t>
            </w:r>
            <w:r>
              <w:t xml:space="preserve">The movement of content from left (more generic) to right (more specific) along the Enterprise Continuum. Specialisation adds constraints, context, and specificity to existing content, producing more-specific content that inherits and refines the general. The principal direction of movement during architecture engagements; the means by which Organization-Specific content is produced from Foundation, Common Systems, and Industry content.</w:t>
            </w:r>
          </w:p>
        </w:tc>
      </w:tr>
    </w:tbl>
    <w:p>
      <w:pPr>
        <w:spacing w:after="120" w:line="300"/>
        <w:jc w:val="both"/>
      </w:pPr>
      <w:r>
        <w:t xml:space="preserve">Specialisation is the act of taking content at one level and making it more specific by adding constraints. A generic Foundation pattern becomes a Common Systems pattern by being constrained to common-systems concerns; a Common Systems pattern becomes an Industry pattern by being constrained to industry-specific concerns; an Industry pattern becomes an Organization-Specific pattern by being constrained to one enterprise's actual capabilities, regulations, and choices.</w:t>
      </w:r>
    </w:p>
    <w:p>
      <w:pPr>
        <w:pStyle w:val="Heading2"/>
        <w:spacing w:after="160" w:before="280"/>
      </w:pPr>
      <w:r>
        <w:rPr>
          <w:b/>
          <w:bCs/>
          <w:color w:val="2E75B6"/>
        </w:rPr>
        <w:t xml:space="preserve">3.2 What Specialisation Adds</w:t>
      </w:r>
    </w:p>
    <w:p>
      <w:pPr>
        <w:spacing w:after="120" w:line="300"/>
        <w:jc w:val="both"/>
      </w:pPr>
      <w:r>
        <w:t xml:space="preserve">Each step of specialisation adds a layer of constraint. The constraints accumulate as content moves rightward:</w:t>
      </w:r>
    </w:p>
    <w:p>
      <w:pPr>
        <w:pStyle w:val="ListParagraph"/>
        <w:numPr>
          <w:ilvl w:val="0"/>
          <w:numId w:val="2"/>
        </w:numPr>
        <w:spacing w:after="80" w:line="280"/>
      </w:pPr>
      <w:r>
        <w:t xml:space="preserve">Foundation → Common Systems: adds applicability constraints ("used in CRM contexts", "applicable where APIs are used").</w:t>
      </w:r>
    </w:p>
    <w:p>
      <w:pPr>
        <w:pStyle w:val="ListParagraph"/>
        <w:numPr>
          <w:ilvl w:val="0"/>
          <w:numId w:val="2"/>
        </w:numPr>
        <w:spacing w:after="80" w:line="280"/>
      </w:pPr>
      <w:r>
        <w:t xml:space="preserve">Common Systems → Industry: adds vertical constraints ("banking-specific vocabulary", "healthcare regulatory regime", "telecommunications process model").</w:t>
      </w:r>
    </w:p>
    <w:p>
      <w:pPr>
        <w:pStyle w:val="ListParagraph"/>
        <w:numPr>
          <w:ilvl w:val="0"/>
          <w:numId w:val="2"/>
        </w:numPr>
        <w:spacing w:after="80" w:line="280"/>
      </w:pPr>
      <w:r>
        <w:t xml:space="preserve">Industry → Organization-Specific: adds enterprise constraints ("this enterprise's existing systems", "this enterprise's principles", "this enterprise's brand standards", "this enterprise's chosen technology stack").</w:t>
      </w:r>
    </w:p>
    <w:p>
      <w:pPr>
        <w:pStyle w:val="Heading2"/>
        <w:spacing w:after="160" w:before="280"/>
      </w:pPr>
      <w:r>
        <w:rPr>
          <w:b/>
          <w:bCs/>
          <w:color w:val="2E75B6"/>
        </w:rPr>
        <w:t xml:space="preserve">3.3 The Specialisation Process in Architecture Work</w:t>
      </w:r>
    </w:p>
    <w:p>
      <w:pPr>
        <w:spacing w:after="120" w:line="300"/>
        <w:jc w:val="both"/>
      </w:pPr>
      <w:r>
        <w:t xml:space="preserve">During an engagement, specialisation typically proceeds as follows:</w:t>
      </w:r>
    </w:p>
    <w:p>
      <w:pPr>
        <w:pStyle w:val="ListParagraph"/>
        <w:numPr>
          <w:ilvl w:val="0"/>
          <w:numId w:val="3"/>
        </w:numPr>
        <w:spacing w:after="80" w:line="280"/>
      </w:pPr>
      <w:r>
        <w:t xml:space="preserve">Identify the architectural need (e.g., "design a Customer Authentication capability").</w:t>
      </w:r>
    </w:p>
    <w:p>
      <w:pPr>
        <w:pStyle w:val="ListParagraph"/>
        <w:numPr>
          <w:ilvl w:val="0"/>
          <w:numId w:val="3"/>
        </w:numPr>
        <w:spacing w:after="80" w:line="280"/>
      </w:pPr>
      <w:r>
        <w:t xml:space="preserve">Look up the most generic relevant content — usually a Foundation- or Common-Systems-level pattern. The architect rarely starts at Organization-Specific; that level is the destination, not the origin.</w:t>
      </w:r>
    </w:p>
    <w:p>
      <w:pPr>
        <w:pStyle w:val="ListParagraph"/>
        <w:numPr>
          <w:ilvl w:val="0"/>
          <w:numId w:val="3"/>
        </w:numPr>
        <w:spacing w:after="80" w:line="280"/>
      </w:pPr>
      <w:r>
        <w:t xml:space="preserve">If Industry-level content exists for the relevant vertical, adopt it. The Industry overlay typically supplies regulatory and vocabulary constraints that would otherwise have to be derived from scratch.</w:t>
      </w:r>
    </w:p>
    <w:p>
      <w:pPr>
        <w:pStyle w:val="ListParagraph"/>
        <w:numPr>
          <w:ilvl w:val="0"/>
          <w:numId w:val="3"/>
        </w:numPr>
        <w:spacing w:after="80" w:line="280"/>
      </w:pPr>
      <w:r>
        <w:t xml:space="preserve">Add Organization-Specific constraints — the enterprise's principles, existing systems, chosen vendors, brand standards, performance envelope. The result is the Organization-Specific ABB or SBB.</w:t>
      </w:r>
    </w:p>
    <w:p>
      <w:pPr>
        <w:pStyle w:val="ListParagraph"/>
        <w:numPr>
          <w:ilvl w:val="0"/>
          <w:numId w:val="3"/>
        </w:numPr>
        <w:spacing w:after="80" w:line="280"/>
      </w:pPr>
      <w:r>
        <w:t xml:space="preserve">Record the result in the Architecture Repository, classified at the appropriate level. If the result is genuinely novel and reusable, consider promoting it back leftward (the generalise direction, covered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Specialisation in Action</w:t>
            </w:r>
          </w:p>
          <w:p>
            <w:pPr>
              <w:spacing w:after="60" w:line="280"/>
              <w:jc w:val="both"/>
            </w:pPr>
            <w:r>
              <w:t xml:space="preserve">Architect: "I need to design a customer-authentication ABB for Acme Bank's online banking refresh."</w:t>
            </w:r>
          </w:p>
          <w:p>
            <w:pPr>
              <w:spacing w:after="60" w:line="280"/>
              <w:jc w:val="both"/>
            </w:pPr>
            <w:r>
              <w:t xml:space="preserve">Step 1 — Foundation: starts with the generic Authentication Service concept (something you know / have / are; cryptographic primitives; session management). Inherits all of this from the TRM and standard textbook material. Does not invent.</w:t>
            </w:r>
          </w:p>
          <w:p>
            <w:pPr>
              <w:spacing w:after="60" w:line="280"/>
              <w:jc w:val="both"/>
            </w:pPr>
            <w:r>
              <w:t xml:space="preserve">Step 2 — Common Systems: looks up the Common Systems IAM pattern (federation, SSO, MFA, session lifecycle). Inherits the structure: an Identity Provider, federation protocols (SAML/OIDC), an MFA factor model, session token lifecycle. Adds applicability constraints: "this is for customer-facing authentication, not workforce IAM."</w:t>
            </w:r>
          </w:p>
          <w:p>
            <w:pPr>
              <w:spacing w:after="60" w:line="280"/>
              <w:jc w:val="both"/>
            </w:pPr>
            <w:r>
              <w:t xml:space="preserve">Step 3 — Industry: applies banking-industry overlay. Adds regulatory constraints: PSD2 Strong Customer Authentication requirements (two factors from independent categories; transaction-binding; exemptions framework). Adopts BIAN-aligned vocabulary for the capability.</w:t>
            </w:r>
          </w:p>
          <w:p>
            <w:pPr>
              <w:spacing w:after="60" w:line="280"/>
              <w:jc w:val="both"/>
            </w:pPr>
            <w:r>
              <w:t xml:space="preserve">Step 4 — Organization-Specific: adds Acme's constraints. Acme's risk thresholds (£100 transaction limit before SCA-mandatory step-up). Acme's principle "customer-facing recovery under 60 seconds". Acme's existing customer master (the ABB must integrate with the existing customer ID). Acme's brand standards (UI flows must follow Acme's design system). Acme's chosen MFA factors (push-notification primary, SMS fallback, hardware token for high-risk).</w:t>
            </w:r>
          </w:p>
          <w:p>
            <w:pPr>
              <w:spacing w:after="60" w:line="280"/>
              <w:jc w:val="both"/>
            </w:pPr>
            <w:r>
              <w:t xml:space="preserve">Result: "Acme Bank Customer Authentication Service ABB v2.0" — built in days rather than months because the Foundation, Common Systems, and Industry content was inherited rather than reinvented. This is the practical value the Continuum delivers.</w:t>
            </w:r>
          </w:p>
        </w:tc>
      </w:tr>
    </w:tbl>
    <w:p>
      <w:pPr>
        <w:pStyle w:val="Heading2"/>
        <w:spacing w:after="160" w:before="280"/>
      </w:pPr>
      <w:r>
        <w:rPr>
          <w:b/>
          <w:bCs/>
          <w:color w:val="2E75B6"/>
        </w:rPr>
        <w:t xml:space="preserve">3.4 Why Specialisation Beats Reinvention</w:t>
      </w:r>
    </w:p>
    <w:p>
      <w:pPr>
        <w:spacing w:after="120" w:line="300"/>
        <w:jc w:val="both"/>
      </w:pPr>
      <w:r>
        <w:t xml:space="preserve">Three reasons specialisation is the default architectural movement:</w:t>
      </w:r>
    </w:p>
    <w:p>
      <w:pPr>
        <w:pStyle w:val="ListParagraph"/>
        <w:numPr>
          <w:ilvl w:val="0"/>
          <w:numId w:val="3"/>
        </w:numPr>
        <w:spacing w:after="80" w:line="280"/>
      </w:pPr>
      <w:r>
        <w:t xml:space="preserve">Speed. Inheriting Foundation, Common Systems, and Industry content compresses architecture work from months to weeks for any given need. Reinventing those layers would multiply the engagement timeline severalfold without producing better outcomes.</w:t>
      </w:r>
    </w:p>
    <w:p>
      <w:pPr>
        <w:pStyle w:val="ListParagraph"/>
        <w:numPr>
          <w:ilvl w:val="0"/>
          <w:numId w:val="3"/>
        </w:numPr>
        <w:spacing w:after="80" w:line="280"/>
      </w:pPr>
      <w:r>
        <w:t xml:space="preserve">Quality. Foundation- and Common-Systems-level content embodies decades of industry experience and refinement. An enterprise reinventing it would, at best, replicate that experience over years; more often, would produce something inferior. Reuse buys quality.</w:t>
      </w:r>
    </w:p>
    <w:p>
      <w:pPr>
        <w:pStyle w:val="ListParagraph"/>
        <w:numPr>
          <w:ilvl w:val="0"/>
          <w:numId w:val="3"/>
        </w:numPr>
        <w:spacing w:after="80" w:line="280"/>
      </w:pPr>
      <w:r>
        <w:t xml:space="preserve">Compatibility. Content inherited from established levels remains compatible with the wider ecosystem. An enterprise that adopts the Industry-level BIAN reference can communicate with banking partners who also adopt it; an enterprise that invents its own banking model speaks a private language no one else understands.</w:t>
      </w:r>
    </w:p>
    <w:p>
      <w:r>
        <w:br w:type="page"/>
      </w:r>
    </w:p>
    <w:p>
      <w:pPr>
        <w:pStyle w:val="Heading1"/>
        <w:spacing w:after="200" w:before="360"/>
      </w:pPr>
      <w:r>
        <w:rPr>
          <w:b/>
          <w:bCs/>
          <w:color w:val="1F4E78"/>
        </w:rPr>
        <w:t xml:space="preserve">4. Generalise — Moving Right to Left</w:t>
      </w:r>
    </w:p>
    <w:p>
      <w:pPr>
        <w:spacing w:after="120" w:line="300"/>
        <w:jc w:val="both"/>
      </w:pPr>
      <w:r>
        <w:t xml:space="preserve">The opposite movement — generalise — runs from specific to generic. It is rarer and harder than specialisation but is what allows the Continuum to evolve. When an enterprise produces a genuinely novel pattern in its Organization-Specific work, that pattern can be abstracted, stripped of enterprise-specific detail, and contributed back to the Industry, Common Systems, or even Foundation level for the benefit of others.</w:t>
      </w:r>
    </w:p>
    <w:p>
      <w:pPr>
        <w:pStyle w:val="Heading2"/>
        <w:spacing w:after="160" w:before="280"/>
      </w:pPr>
      <w:r>
        <w:rPr>
          <w:b/>
          <w:bCs/>
          <w:color w:val="2E75B6"/>
        </w:rPr>
        <w:t xml:space="preserve">4.1 What Generalisation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Generalise: </w:t>
            </w:r>
            <w:r>
              <w:t xml:space="preserve">The movement of content from right (more specific) to left (more generic) along the Enterprise Continuum. Generalisation removes constraints and enterprise-specific detail to extract the reusable essence of a pattern, contributing it back to a more general level. Rarer than specialisation; the means by which the Continuum's higher levels evolve over time.</w:t>
            </w:r>
          </w:p>
        </w:tc>
      </w:tr>
    </w:tbl>
    <w:p>
      <w:pPr>
        <w:spacing w:after="120" w:line="300"/>
        <w:jc w:val="both"/>
      </w:pPr>
      <w:r>
        <w:t xml:space="preserve">Generalisation is the act of taking specific content, identifying what is genuinely novel and reusable in it, stripping the enterprise-specific detail, and elevating it to a higher level of the Continuum. The result is a more abstract pattern that other enterprises can adopt — without inheriting the original enterprise's particular constraints.</w:t>
      </w:r>
    </w:p>
    <w:p>
      <w:pPr>
        <w:pStyle w:val="Heading2"/>
        <w:spacing w:after="160" w:before="280"/>
      </w:pPr>
      <w:r>
        <w:rPr>
          <w:b/>
          <w:bCs/>
          <w:color w:val="2E75B6"/>
        </w:rPr>
        <w:t xml:space="preserve">4.2 When Generalisation Happens</w:t>
      </w:r>
    </w:p>
    <w:p>
      <w:pPr>
        <w:spacing w:after="120" w:line="300"/>
        <w:jc w:val="both"/>
      </w:pPr>
      <w:r>
        <w:t xml:space="preserve">Generalisation is appropriate when:</w:t>
      </w:r>
    </w:p>
    <w:p>
      <w:pPr>
        <w:pStyle w:val="ListParagraph"/>
        <w:numPr>
          <w:ilvl w:val="0"/>
          <w:numId w:val="2"/>
        </w:numPr>
        <w:spacing w:after="80" w:line="280"/>
      </w:pPr>
      <w:r>
        <w:t xml:space="preserve">An enterprise has produced an Organization-Specific architecture or solution that genuinely solves a problem others share.</w:t>
      </w:r>
    </w:p>
    <w:p>
      <w:pPr>
        <w:pStyle w:val="ListParagraph"/>
        <w:numPr>
          <w:ilvl w:val="0"/>
          <w:numId w:val="2"/>
        </w:numPr>
        <w:spacing w:after="80" w:line="280"/>
      </w:pPr>
      <w:r>
        <w:t xml:space="preserve">The novel essence of the solution can be expressed without depending on the enterprise's specific systems, principles, or vocabulary.</w:t>
      </w:r>
    </w:p>
    <w:p>
      <w:pPr>
        <w:pStyle w:val="ListParagraph"/>
        <w:numPr>
          <w:ilvl w:val="0"/>
          <w:numId w:val="2"/>
        </w:numPr>
        <w:spacing w:after="80" w:line="280"/>
      </w:pPr>
      <w:r>
        <w:t xml:space="preserve">There is a forum (industry consortium, open-source project, standards body, conference, internal corporate library across business units) capable of receiving and validating the generalised content.</w:t>
      </w:r>
    </w:p>
    <w:p>
      <w:pPr>
        <w:pStyle w:val="ListParagraph"/>
        <w:numPr>
          <w:ilvl w:val="0"/>
          <w:numId w:val="2"/>
        </w:numPr>
        <w:spacing w:after="80" w:line="280"/>
      </w:pPr>
      <w:r>
        <w:t xml:space="preserve">Sharing the content brings strategic benefit to the original enterprise — reputational, ecosystem, or licensing — that justifies the effort of generalisation.</w:t>
      </w:r>
    </w:p>
    <w:p>
      <w:pPr>
        <w:spacing w:after="120" w:line="300"/>
        <w:jc w:val="both"/>
      </w:pPr>
      <w:r>
        <w:t xml:space="preserve">These conditions are demanding, which is why generalisation is rare. Most Organization-Specific work remains Organization-Specific because either it is not novel enough to be worth generalising, or the enterprise has no incentive to share it, or there is no obvious receiving forum.</w:t>
      </w:r>
    </w:p>
    <w:p>
      <w:pPr>
        <w:pStyle w:val="Heading2"/>
        <w:spacing w:after="160" w:before="280"/>
      </w:pPr>
      <w:r>
        <w:rPr>
          <w:b/>
          <w:bCs/>
          <w:color w:val="2E75B6"/>
        </w:rPr>
        <w:t xml:space="preserve">4.3 What Generalisation Removes</w:t>
      </w:r>
    </w:p>
    <w:p>
      <w:pPr>
        <w:spacing w:after="120" w:line="300"/>
        <w:jc w:val="both"/>
      </w:pPr>
      <w:r>
        <w:t xml:space="preserve">Each step of generalisation strips away constraints. The opposite of specialisation:</w:t>
      </w:r>
    </w:p>
    <w:p>
      <w:pPr>
        <w:pStyle w:val="ListParagraph"/>
        <w:numPr>
          <w:ilvl w:val="0"/>
          <w:numId w:val="2"/>
        </w:numPr>
        <w:spacing w:after="80" w:line="280"/>
      </w:pPr>
      <w:r>
        <w:t xml:space="preserve">Organization-Specific → Industry: removes enterprise-specific principles, system names, vendor choices, brand standards. Retains the industry-relevant pattern.</w:t>
      </w:r>
    </w:p>
    <w:p>
      <w:pPr>
        <w:pStyle w:val="ListParagraph"/>
        <w:numPr>
          <w:ilvl w:val="0"/>
          <w:numId w:val="2"/>
        </w:numPr>
        <w:spacing w:after="80" w:line="280"/>
      </w:pPr>
      <w:r>
        <w:t xml:space="preserve">Industry → Common Systems: removes industry-specific vocabulary and regulatory overlay. Retains the cross-industry pattern.</w:t>
      </w:r>
    </w:p>
    <w:p>
      <w:pPr>
        <w:pStyle w:val="ListParagraph"/>
        <w:numPr>
          <w:ilvl w:val="0"/>
          <w:numId w:val="2"/>
        </w:numPr>
        <w:spacing w:after="80" w:line="280"/>
      </w:pPr>
      <w:r>
        <w:t xml:space="preserve">Common Systems → Foundation: removes any remaining context-specific applicability. Retains the universal essence.</w:t>
      </w:r>
    </w:p>
    <w:p>
      <w:pPr>
        <w:pStyle w:val="Heading2"/>
        <w:spacing w:after="160" w:before="280"/>
      </w:pPr>
      <w:r>
        <w:rPr>
          <w:b/>
          <w:bCs/>
          <w:color w:val="2E75B6"/>
        </w:rPr>
        <w:t xml:space="preserve">4.4 Generalisation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How a Bank Contributes a Pattern Back</w:t>
            </w:r>
          </w:p>
          <w:p>
            <w:pPr>
              <w:spacing w:after="60" w:line="280"/>
              <w:jc w:val="both"/>
            </w:pPr>
            <w:r>
              <w:t xml:space="preserve">Acme Bank designs a novel risk-based authentication pattern that uses behavioural biometrics combined with device fingerprinting to dynamically adjust the strength of authentication challenge — reducing customer friction while maintaining PSD2 compliance.</w:t>
            </w:r>
          </w:p>
          <w:p>
            <w:pPr>
              <w:spacing w:after="60" w:line="280"/>
              <w:jc w:val="both"/>
            </w:pPr>
            <w:r>
              <w:t xml:space="preserve">After 18 months of production use, the pattern has demonstrably reduced customer drop-off by 40% with no measurable security degradation. Other banks express interest.</w:t>
            </w:r>
          </w:p>
          <w:p>
            <w:pPr>
              <w:spacing w:after="60" w:line="280"/>
              <w:jc w:val="both"/>
            </w:pPr>
            <w:r>
              <w:t xml:space="preserve">Acme decides to generalise. The Architecture function takes the Organization-Specific ABB and produces an Industry-level pattern document.</w:t>
            </w:r>
          </w:p>
          <w:p>
            <w:pPr>
              <w:spacing w:after="60" w:line="280"/>
              <w:jc w:val="both"/>
            </w:pPr>
            <w:r>
              <w:t xml:space="preserve">Removed in generalisation: Acme's specific risk thresholds; Acme's specific MFA factor choices; the Okta-specific implementation details; Acme's brand-specific UI; integration to Acme's specific customer master.</w:t>
            </w:r>
          </w:p>
          <w:p>
            <w:pPr>
              <w:spacing w:after="60" w:line="280"/>
              <w:jc w:val="both"/>
            </w:pPr>
            <w:r>
              <w:t xml:space="preserve">Retained: the conceptual structure (behavioural-biometrics-plus-device-fingerprinting feeding dynamic challenge selection); the PSD2-conformance argument; the categories of decisions a deploying bank must make; the dependencies the pattern requires.</w:t>
            </w:r>
          </w:p>
          <w:p>
            <w:pPr>
              <w:spacing w:after="60" w:line="280"/>
              <w:jc w:val="both"/>
            </w:pPr>
            <w:r>
              <w:t xml:space="preserve">Result: an Industry-level pattern submitted to BIAN as a candidate Service Domain extension. After review and revision, BIAN adopts a refined version; a year later it appears in the BIAN reference architecture. Other banks now reuse the pattern; Acme's reputation in the industry grows; ecosystem effects benefit Acme indirectly.</w:t>
            </w:r>
          </w:p>
          <w:p>
            <w:pPr>
              <w:spacing w:after="60" w:line="280"/>
              <w:jc w:val="both"/>
            </w:pPr>
            <w:r>
              <w:t xml:space="preserve">This is generalisation in operation. It is rare — Acme had to invest significant effort to extract the reusable essence — but when it works, it elevates content from the most-specific to the next-most-specific level, where it benefits many.</w:t>
            </w:r>
          </w:p>
        </w:tc>
      </w:tr>
    </w:tbl>
    <w:p>
      <w:pPr>
        <w:pStyle w:val="Heading2"/>
        <w:spacing w:after="160" w:before="280"/>
      </w:pPr>
      <w:r>
        <w:rPr>
          <w:b/>
          <w:bCs/>
          <w:color w:val="2E75B6"/>
        </w:rPr>
        <w:t xml:space="preserve">4.5 Specialise and Generalise Together</w:t>
      </w:r>
    </w:p>
    <w:p>
      <w:pPr>
        <w:spacing w:after="120" w:line="300"/>
        <w:jc w:val="both"/>
      </w:pPr>
      <w:r>
        <w:t xml:space="preserve">Specialise and generalise are the two flows of the Continuum. Most architecture work moves leftward content (more generic) into rightward content (more specific) by specialising. Occasionally, novel rightward content gets contributed back leftward by generalising. The two together form a feedback loop: the Continuum's higher levels gain new content over time as enterprises generalise their innovations; this enriched higher-level content then gets reused by future enterprises through specialisation.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900"/>
        <w:gridCol w:w="1700"/>
        <w:gridCol w:w="13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Movement</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Direction</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Verb Action</w:t>
            </w:r>
          </w:p>
        </w:tc>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Frequency</w:t>
            </w:r>
          </w:p>
        </w:tc>
        <w:tc>
          <w:tcPr>
            <w:tcW w:type="dxa" w:w="13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Actor</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Specialise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Left → Right (generic → specific)</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Add constraints</w:t>
            </w:r>
          </w:p>
        </w:tc>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Frequent — every engagement</w:t>
            </w:r>
          </w:p>
        </w:tc>
        <w:tc>
          <w:tcPr>
            <w:tcW w:type="dxa" w:w="1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engagements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Generalise</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Right → Left (specific → generic)</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Remove constraints</w:t>
            </w:r>
          </w:p>
        </w:tc>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Rare — strategic decisions</w:t>
            </w:r>
          </w:p>
        </w:tc>
        <w:tc>
          <w:tcPr>
            <w:tcW w:type="dxa" w:w="1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Industry consortia, open-source projects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The Asymmetry</w:t>
            </w:r>
          </w:p>
          <w:p>
            <w:pPr>
              <w:spacing w:after="60" w:line="280"/>
              <w:jc w:val="both"/>
            </w:pPr>
            <w:r>
              <w:t xml:space="preserve">Specialisation is the daily work of architecture; generalisation is an occasional act of strategic generosity. An architect specialises in every engagement; an architect contributes back through generalisation perhaps once or twice in a career. The asymmetry is intentional — most enterprises consume the Continuum's higher levels far more than they contribute. The few who do contribute disproportionately shape the Continuum for everyone else.</w:t>
            </w:r>
          </w:p>
        </w:tc>
      </w:tr>
    </w:tbl>
    <w:p>
      <w:r>
        <w:br w:type="page"/>
      </w:r>
    </w:p>
    <w:p>
      <w:pPr>
        <w:pStyle w:val="Heading1"/>
        <w:spacing w:after="200" w:before="360"/>
      </w:pPr>
      <w:r>
        <w:rPr>
          <w:b/>
          <w:bCs/>
          <w:color w:val="1F4E78"/>
        </w:rPr>
        <w:t xml:space="preserve">5. Continuum Classifies, Repository Stores — They Are Not the Same</w:t>
      </w:r>
    </w:p>
    <w:p>
      <w:pPr>
        <w:spacing w:after="120" w:line="300"/>
        <w:jc w:val="both"/>
      </w:pPr>
      <w:r>
        <w:t xml:space="preserve">This is the most exam-tested distinction in the Continuum module, and one of the most-tested in TOGAF as a whole. The Enterprise Continuum and the Architecture Repository are two different things — one is a classification scheme, the other is a storage facility. They work together, but they are not interchangeable, and the exam will test whether you can articulate the difference.</w:t>
      </w:r>
    </w:p>
    <w:p>
      <w:pPr>
        <w:pStyle w:val="Heading2"/>
        <w:spacing w:after="160" w:before="280"/>
      </w:pPr>
      <w:r>
        <w:rPr>
          <w:b/>
          <w:bCs/>
          <w:color w:val="2E75B6"/>
        </w:rPr>
        <w:t xml:space="preserve">5.1 The Distinction Stated</w:t>
      </w:r>
    </w:p>
    <w:p>
      <w:pPr>
        <w:spacing w:after="120" w:line="300"/>
        <w:jc w:val="both"/>
      </w:pPr>
      <w:r>
        <w:t xml:space="preserve">The </w:t>
      </w:r>
      <w:r>
        <w:rPr>
          <w:b/>
          <w:bCs/>
        </w:rPr>
        <w:t xml:space="preserve">Enterprise Continuum classifies content</w:t>
      </w:r>
      <w:r>
        <w:t xml:space="preserve">. It is a conceptual scheme — a way of thinking about where any piece of architecture content sits on the spectrum from generic to specific. It tells you </w:t>
      </w:r>
      <w:r>
        <w:rPr>
          <w:i/>
          <w:iCs/>
        </w:rPr>
        <w:t xml:space="preserve">what level something is at</w:t>
      </w:r>
      <w:r>
        <w:t xml:space="preserve">. The </w:t>
      </w:r>
      <w:r>
        <w:rPr>
          <w:b/>
          <w:bCs/>
        </w:rPr>
        <w:t xml:space="preserve">Architecture Repository stores content</w:t>
      </w:r>
      <w:r>
        <w:t xml:space="preserve">. It is a physical or logical facility — a database, a tool, a collection of documents — where content actually lives. It tells you </w:t>
      </w:r>
      <w:r>
        <w:rPr>
          <w:i/>
          <w:iCs/>
        </w:rPr>
        <w:t xml:space="preserve">where to find something</w:t>
      </w:r>
      <w:r>
        <w:t xml:space="preserve">.</w:t>
      </w:r>
    </w:p>
    <w:p>
      <w:pPr>
        <w:pStyle w:val="Heading2"/>
        <w:spacing w:after="160" w:before="280"/>
      </w:pPr>
      <w:r>
        <w:rPr>
          <w:b/>
          <w:bCs/>
          <w:color w:val="2E75B6"/>
        </w:rPr>
        <w:t xml:space="preserve">5.2 The Library Analogy</w:t>
      </w:r>
    </w:p>
    <w:p>
      <w:pPr>
        <w:spacing w:after="120" w:line="300"/>
        <w:jc w:val="both"/>
      </w:pPr>
      <w:r>
        <w:t xml:space="preserve">The cleanest mental model: the Continuum is the Dewey Decimal System; the Repository is the actual library shelves.</w:t>
      </w:r>
    </w:p>
    <w:p>
      <w:pPr>
        <w:pStyle w:val="ListParagraph"/>
        <w:numPr>
          <w:ilvl w:val="0"/>
          <w:numId w:val="2"/>
        </w:numPr>
        <w:spacing w:after="80" w:line="280"/>
      </w:pPr>
      <w:r>
        <w:t xml:space="preserve">The Dewey Decimal System is a classification scheme — a way of labelling every book by subject, regardless of which library holds it.</w:t>
      </w:r>
    </w:p>
    <w:p>
      <w:pPr>
        <w:pStyle w:val="ListParagraph"/>
        <w:numPr>
          <w:ilvl w:val="0"/>
          <w:numId w:val="2"/>
        </w:numPr>
        <w:spacing w:after="80" w:line="280"/>
      </w:pPr>
      <w:r>
        <w:t xml:space="preserve">The library shelves are the storage — the actual physical place where books sit, organised by their classification.</w:t>
      </w:r>
    </w:p>
    <w:p>
      <w:pPr>
        <w:pStyle w:val="ListParagraph"/>
        <w:numPr>
          <w:ilvl w:val="0"/>
          <w:numId w:val="2"/>
        </w:numPr>
        <w:spacing w:after="80" w:line="280"/>
      </w:pPr>
      <w:r>
        <w:t xml:space="preserve">You use the classification to find a subject; you use the shelves to retrieve the actual book. Both are needed; neither is the other.</w:t>
      </w:r>
    </w:p>
    <w:p>
      <w:pPr>
        <w:spacing w:after="120" w:line="300"/>
        <w:jc w:val="both"/>
      </w:pPr>
      <w:r>
        <w:t xml:space="preserve">Likewise: the Continuum tells you that an artefact is, say, an Industry-level Architecture Building Block. The Repository is where you actually retrieve the artefact and read its specification. The Continuum is the label; the Repository is the location.</w:t>
      </w:r>
    </w:p>
    <w:p>
      <w:pPr>
        <w:pStyle w:val="Heading2"/>
        <w:spacing w:after="160" w:before="280"/>
      </w:pPr>
      <w:r>
        <w:rPr>
          <w:b/>
          <w:bCs/>
          <w:color w:val="2E75B6"/>
        </w:rPr>
        <w:t xml:space="preserve">5.3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Enterprise Continuum</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Architecture Repository</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it is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Classification scheme</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Storage facility</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Function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Tells you the level of content</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Holds the actual content</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Form</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Conceptual — four levels, two branches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Physical / logical — files, database, EA tool</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Question answered</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level is this at?</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Where do I find this?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Analogy</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Dewey Decimal System</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Library shelves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Sections</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Four levels × two branches (Architecture / Solutions)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Seven sections (Metamodel, Capability, Landscape, SIB, Reference Library, Governance Log, Requirements)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 enterprise?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Universal — same classification for all enterprises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Specific to the enterprise — its repository, its content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Built or chosen?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Adopted as a standard scheme</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Established in the Preliminary Phase with chosen tooling</w:t>
            </w:r>
          </w:p>
        </w:tc>
      </w:tr>
    </w:tbl>
    <w:p>
      <w:pPr>
        <w:pStyle w:val="Heading2"/>
        <w:spacing w:after="160" w:before="280"/>
      </w:pPr>
      <w:r>
        <w:rPr>
          <w:b/>
          <w:bCs/>
          <w:color w:val="2E75B6"/>
        </w:rPr>
        <w:t xml:space="preserve">5.4 How They Work Together</w:t>
      </w:r>
    </w:p>
    <w:p>
      <w:pPr>
        <w:spacing w:after="120" w:line="300"/>
        <w:jc w:val="both"/>
      </w:pPr>
      <w:r>
        <w:t xml:space="preserve">Every artefact in the Architecture Repository carries Continuum classification metadata: which level it sits at, and which branch (Architecture or Solutions) it belongs to. This is what allows the architect to query the Repository for, say, "all Industry-level ABBs in our Repository" and get a meaningful list. Without the Continuum classification, the Repository is an undifferentiated pile of artefacts; with it, the Repository becomes searchable along the most useful dimension — generality vs specificity.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Continuum and Repository Together</w:t>
            </w:r>
          </w:p>
          <w:p>
            <w:pPr>
              <w:spacing w:after="60" w:line="280"/>
              <w:jc w:val="both"/>
            </w:pPr>
            <w:r>
              <w:t xml:space="preserve">An architect at Acme Bank needs to find existing patterns for fraud detection.</w:t>
            </w:r>
          </w:p>
          <w:p>
            <w:pPr>
              <w:spacing w:after="60" w:line="280"/>
              <w:jc w:val="both"/>
            </w:pPr>
            <w:r>
              <w:t xml:space="preserve">Step 1: Decide what level to look at first. Foundation patterns are too generic; Organization-Specific patterns are unlikely to exist yet (this is what the engagement is producing). The most useful starting points are Industry level (BIAN's banking-specific fraud patterns) and Common Systems level (generic fraud-detection patterns).</w:t>
            </w:r>
          </w:p>
          <w:p>
            <w:pPr>
              <w:spacing w:after="60" w:line="280"/>
              <w:jc w:val="both"/>
            </w:pPr>
            <w:r>
              <w:t xml:space="preserve">Step 2: Query the Repository. "Show me all artefacts classified at Industry level, branch Architecture, tagged 'fraud'." The Repository — implemented in the bank's EA tool — returns five Industry-level ABBs.</w:t>
            </w:r>
          </w:p>
          <w:p>
            <w:pPr>
              <w:spacing w:after="60" w:line="280"/>
              <w:jc w:val="both"/>
            </w:pPr>
            <w:r>
              <w:t xml:space="preserve">Step 3: Examine and adapt. The architect reviews the five ABBs, identifies one that is closest to the bank's need, specialises it (adds Acme-specific constraints), and produces an Organization-Specific ABB.</w:t>
            </w:r>
          </w:p>
          <w:p>
            <w:pPr>
              <w:spacing w:after="60" w:line="280"/>
              <w:jc w:val="both"/>
            </w:pPr>
            <w:r>
              <w:t xml:space="preserve">Step 4: Store the new ABB. "Acme Bank Fraud Detection ABB v1.0" is added to the Repository, classified as Architecture branch, Organization-Specific level.</w:t>
            </w:r>
          </w:p>
          <w:p>
            <w:pPr>
              <w:spacing w:after="60" w:line="280"/>
              <w:jc w:val="both"/>
            </w:pPr>
            <w:r>
              <w:t xml:space="preserve">The Continuum guided the search (level + branch); the Repository delivered the content. The two together turned a potentially weeks-long pattern hunt into a half-day exercise. This is the operational value of distinguishing classification from storage.</w:t>
            </w:r>
          </w:p>
        </w:tc>
      </w:tr>
    </w:tbl>
    <w:p>
      <w:pPr>
        <w:pStyle w:val="Heading2"/>
        <w:spacing w:after="160" w:before="280"/>
      </w:pPr>
      <w:r>
        <w:rPr>
          <w:b/>
          <w:bCs/>
          <w:color w:val="2E75B6"/>
        </w:rPr>
        <w:t xml:space="preserve">5.5 Common Confusions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Continuum and Repository Confusions</w:t>
            </w:r>
          </w:p>
          <w:p>
            <w:pPr>
              <w:spacing w:after="60" w:line="280"/>
              <w:jc w:val="both"/>
            </w:pPr>
            <w:r>
              <w:t xml:space="preserve">Confusion 1: "The Continuum stores content." It does not. The Continuum is a classification, not a place. Storage is the Repository's job.</w:t>
            </w:r>
          </w:p>
          <w:p>
            <w:pPr>
              <w:spacing w:after="60" w:line="280"/>
              <w:jc w:val="both"/>
            </w:pPr>
            <w:r>
              <w:t xml:space="preserve">Confusion 2: "The Repository classifies content." It does, but only by referencing the Continuum's scheme. The classification scheme itself is the Continuum; the Repository merely holds the labelled content.</w:t>
            </w:r>
          </w:p>
          <w:p>
            <w:pPr>
              <w:spacing w:after="60" w:line="280"/>
              <w:jc w:val="both"/>
            </w:pPr>
            <w:r>
              <w:t xml:space="preserve">Confusion 3: "You can have one without the other." In principle yes, in practice no. A Repository without Continuum classification is an unsearchable pile; a Continuum without a Repository is a labelling scheme with nothing to label. They are designed to work together.</w:t>
            </w:r>
          </w:p>
          <w:p>
            <w:pPr>
              <w:spacing w:after="60" w:line="280"/>
              <w:jc w:val="both"/>
            </w:pPr>
            <w:r>
              <w:t xml:space="preserve">Confusion 4: Treating them as parallel components of TOGAF. Module 1 lists five core components: ADM, Content Framework, Continuum, Repository, Capability Framework. Continuum and Repository are listed separately because they ARE separate. Their separation is the structural feature, not a bug.</w:t>
            </w:r>
          </w:p>
        </w:tc>
      </w:tr>
    </w:tbl>
    <w:p>
      <w:r>
        <w:br w:type="page"/>
      </w:r>
    </w:p>
    <w:p>
      <w:pPr>
        <w:pStyle w:val="Heading1"/>
        <w:spacing w:after="200" w:before="360"/>
      </w:pPr>
      <w:r>
        <w:rPr>
          <w:b/>
          <w:bCs/>
          <w:color w:val="1F4E78"/>
        </w:rPr>
        <w:t xml:space="preserve">6. The TRM at Foundation Level; the III-RM at Common Systems Level</w:t>
      </w:r>
    </w:p>
    <w:p>
      <w:pPr>
        <w:spacing w:after="120" w:line="300"/>
        <w:jc w:val="both"/>
      </w:pPr>
      <w:r>
        <w:t xml:space="preserve">TOGAF historically published two reference models — generic, vendor-neutral models that were intended to be reused by enterprises adopting TOGAF. They sit at specific levels of the Enterprise Continuum, and the exam asks directly which model lives at which level. The TRM is at Foundation; the III-RM is at Common Systems.</w:t>
      </w:r>
    </w:p>
    <w:p>
      <w:pPr>
        <w:pStyle w:val="Heading2"/>
        <w:spacing w:after="160" w:before="280"/>
      </w:pPr>
      <w:r>
        <w:rPr>
          <w:b/>
          <w:bCs/>
          <w:color w:val="2E75B6"/>
        </w:rPr>
        <w:t xml:space="preserve">6.1 The Technical Reference Model (TRM)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Technical Reference Model (TRM): </w:t>
            </w:r>
            <w:r>
              <w:t xml:space="preserve">TOGAF's Foundation-level reference model. Provides a generic, vendor-neutral model of an application platform — the components and services that any application platform offers, independent of any specific implementation. The TRM sits at the Foundation level of the Enterprise Continuum because it applies universally — to all enterprises, all industries, all use cases.</w:t>
            </w:r>
          </w:p>
        </w:tc>
      </w:tr>
    </w:tbl>
    <w:p>
      <w:pPr>
        <w:pStyle w:val="Heading3"/>
        <w:spacing w:after="120" w:before="220"/>
      </w:pPr>
      <w:r>
        <w:rPr>
          <w:b/>
          <w:bCs/>
          <w:color w:val="404040"/>
        </w:rPr>
        <w:t xml:space="preserve">What the TRM Contains</w:t>
      </w:r>
    </w:p>
    <w:p>
      <w:pPr>
        <w:spacing w:after="120" w:line="300"/>
        <w:jc w:val="both"/>
      </w:pPr>
      <w:r>
        <w:t xml:space="preserve">The TRM defines the conceptual structure of an application platform. It identifies categories of platform services that any such platform provides:</w:t>
      </w:r>
    </w:p>
    <w:p>
      <w:pPr>
        <w:pStyle w:val="ListParagraph"/>
        <w:numPr>
          <w:ilvl w:val="0"/>
          <w:numId w:val="2"/>
        </w:numPr>
        <w:spacing w:after="80" w:line="280"/>
      </w:pPr>
      <w:r>
        <w:t xml:space="preserve">Data interchange services.</w:t>
      </w:r>
    </w:p>
    <w:p>
      <w:pPr>
        <w:pStyle w:val="ListParagraph"/>
        <w:numPr>
          <w:ilvl w:val="0"/>
          <w:numId w:val="2"/>
        </w:numPr>
        <w:spacing w:after="80" w:line="280"/>
      </w:pPr>
      <w:r>
        <w:t xml:space="preserve">Data management services.</w:t>
      </w:r>
    </w:p>
    <w:p>
      <w:pPr>
        <w:pStyle w:val="ListParagraph"/>
        <w:numPr>
          <w:ilvl w:val="0"/>
          <w:numId w:val="2"/>
        </w:numPr>
        <w:spacing w:after="80" w:line="280"/>
      </w:pPr>
      <w:r>
        <w:t xml:space="preserve">Graphics and image services.</w:t>
      </w:r>
    </w:p>
    <w:p>
      <w:pPr>
        <w:pStyle w:val="ListParagraph"/>
        <w:numPr>
          <w:ilvl w:val="0"/>
          <w:numId w:val="2"/>
        </w:numPr>
        <w:spacing w:after="80" w:line="280"/>
      </w:pPr>
      <w:r>
        <w:t xml:space="preserve">International operation services.</w:t>
      </w:r>
    </w:p>
    <w:p>
      <w:pPr>
        <w:pStyle w:val="ListParagraph"/>
        <w:numPr>
          <w:ilvl w:val="0"/>
          <w:numId w:val="2"/>
        </w:numPr>
        <w:spacing w:after="80" w:line="280"/>
      </w:pPr>
      <w:r>
        <w:t xml:space="preserve">Location and directory services.</w:t>
      </w:r>
    </w:p>
    <w:p>
      <w:pPr>
        <w:pStyle w:val="ListParagraph"/>
        <w:numPr>
          <w:ilvl w:val="0"/>
          <w:numId w:val="2"/>
        </w:numPr>
        <w:spacing w:after="80" w:line="280"/>
      </w:pPr>
      <w:r>
        <w:t xml:space="preserve">Network services.</w:t>
      </w:r>
    </w:p>
    <w:p>
      <w:pPr>
        <w:pStyle w:val="ListParagraph"/>
        <w:numPr>
          <w:ilvl w:val="0"/>
          <w:numId w:val="2"/>
        </w:numPr>
        <w:spacing w:after="80" w:line="280"/>
      </w:pPr>
      <w:r>
        <w:t xml:space="preserve">Operating system services.</w:t>
      </w:r>
    </w:p>
    <w:p>
      <w:pPr>
        <w:pStyle w:val="ListParagraph"/>
        <w:numPr>
          <w:ilvl w:val="0"/>
          <w:numId w:val="2"/>
        </w:numPr>
        <w:spacing w:after="80" w:line="280"/>
      </w:pPr>
      <w:r>
        <w:t xml:space="preserve">Security services.</w:t>
      </w:r>
    </w:p>
    <w:p>
      <w:pPr>
        <w:pStyle w:val="ListParagraph"/>
        <w:numPr>
          <w:ilvl w:val="0"/>
          <w:numId w:val="2"/>
        </w:numPr>
        <w:spacing w:after="80" w:line="280"/>
      </w:pPr>
      <w:r>
        <w:t xml:space="preserve">Software engineering services.</w:t>
      </w:r>
    </w:p>
    <w:p>
      <w:pPr>
        <w:pStyle w:val="ListParagraph"/>
        <w:numPr>
          <w:ilvl w:val="0"/>
          <w:numId w:val="2"/>
        </w:numPr>
        <w:spacing w:after="80" w:line="280"/>
      </w:pPr>
      <w:r>
        <w:t xml:space="preserve">System and network management services.</w:t>
      </w:r>
    </w:p>
    <w:p>
      <w:pPr>
        <w:pStyle w:val="ListParagraph"/>
        <w:numPr>
          <w:ilvl w:val="0"/>
          <w:numId w:val="2"/>
        </w:numPr>
        <w:spacing w:after="80" w:line="280"/>
      </w:pPr>
      <w:r>
        <w:t xml:space="preserve">Transaction processing services.</w:t>
      </w:r>
    </w:p>
    <w:p>
      <w:pPr>
        <w:pStyle w:val="ListParagraph"/>
        <w:numPr>
          <w:ilvl w:val="0"/>
          <w:numId w:val="2"/>
        </w:numPr>
        <w:spacing w:after="80" w:line="280"/>
      </w:pPr>
      <w:r>
        <w:t xml:space="preserve">User interface services.</w:t>
      </w:r>
    </w:p>
    <w:p>
      <w:pPr>
        <w:spacing w:after="120" w:line="300"/>
        <w:jc w:val="both"/>
      </w:pPr>
      <w:r>
        <w:t xml:space="preserve">The TRM is intentionally generic: it names categories of service without specifying any implementation. The point is to give architects a complete checklist of "what services any application platform must provide" so that nothing critical is forgotten when designing or selecting a platform.</w:t>
      </w:r>
    </w:p>
    <w:p>
      <w:pPr>
        <w:pStyle w:val="Heading3"/>
        <w:spacing w:after="120" w:before="220"/>
      </w:pPr>
      <w:r>
        <w:rPr>
          <w:b/>
          <w:bCs/>
          <w:color w:val="404040"/>
        </w:rPr>
        <w:t xml:space="preserve">Why TRM Is at Foundation</w:t>
      </w:r>
    </w:p>
    <w:p>
      <w:pPr>
        <w:spacing w:after="120" w:line="300"/>
        <w:jc w:val="both"/>
      </w:pPr>
      <w:r>
        <w:t xml:space="preserve">The TRM applies universally. Every enterprise that runs applications needs a platform that provides these categories of service — regardless of industry, geography, or business model. There is no narrowing assumption in the TRM; it is as generic as platform thinking gets. That makes it Foundation-level by definition.</w:t>
      </w:r>
    </w:p>
    <w:p>
      <w:pPr>
        <w:pStyle w:val="Heading2"/>
        <w:spacing w:after="160" w:before="280"/>
      </w:pPr>
      <w:r>
        <w:rPr>
          <w:b/>
          <w:bCs/>
          <w:color w:val="2E75B6"/>
        </w:rPr>
        <w:t xml:space="preserve">6.2 The Integrated Information Infrastructure Reference Model (III-RM)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Integrated Information Infrastructure Reference Model (III-RM): </w:t>
            </w:r>
            <w:r>
              <w:t xml:space="preserve">TOGAF's Common Systems-level reference model. Provides a generic model of an Integrated Information Infrastructure — the platform services and information flows that support "Boundaryless Information Flow" across an enterprise. The III-RM sits at the Common Systems level of the Enterprise Continuum because it addresses a problem (information flow across a connected enterprise) common to many but not all enterprises.</w:t>
            </w:r>
          </w:p>
        </w:tc>
      </w:tr>
    </w:tbl>
    <w:p>
      <w:pPr>
        <w:pStyle w:val="Heading3"/>
        <w:spacing w:after="120" w:before="220"/>
      </w:pPr>
      <w:r>
        <w:rPr>
          <w:b/>
          <w:bCs/>
          <w:color w:val="404040"/>
        </w:rPr>
        <w:t xml:space="preserve">What the III-RM Contains</w:t>
      </w:r>
    </w:p>
    <w:p>
      <w:pPr>
        <w:spacing w:after="120" w:line="300"/>
        <w:jc w:val="both"/>
      </w:pPr>
      <w:r>
        <w:t xml:space="preserve">The III-RM is built on the TRM but adds a focus on information flow. Where the TRM is concerned with the platform services any application uses, the III-RM is concerned with the additional services and patterns needed to integrate information across the enterprise — to enable what The Open Group calls "Boundaryless Information Flow™". The III-RM identifies:</w:t>
      </w:r>
    </w:p>
    <w:p>
      <w:pPr>
        <w:pStyle w:val="ListParagraph"/>
        <w:numPr>
          <w:ilvl w:val="0"/>
          <w:numId w:val="2"/>
        </w:numPr>
        <w:spacing w:after="80" w:line="280"/>
      </w:pPr>
      <w:r>
        <w:t xml:space="preserve">Business application services (the applications that interact with users and partners).</w:t>
      </w:r>
    </w:p>
    <w:p>
      <w:pPr>
        <w:pStyle w:val="ListParagraph"/>
        <w:numPr>
          <w:ilvl w:val="0"/>
          <w:numId w:val="2"/>
        </w:numPr>
        <w:spacing w:after="80" w:line="280"/>
      </w:pPr>
      <w:r>
        <w:t xml:space="preserve">Infrastructure application services (the integration applications that connect business applications).</w:t>
      </w:r>
    </w:p>
    <w:p>
      <w:pPr>
        <w:pStyle w:val="ListParagraph"/>
        <w:numPr>
          <w:ilvl w:val="0"/>
          <w:numId w:val="2"/>
        </w:numPr>
        <w:spacing w:after="80" w:line="280"/>
      </w:pPr>
      <w:r>
        <w:t xml:space="preserve">Information consumer applications (presentation-layer applications, portals).</w:t>
      </w:r>
    </w:p>
    <w:p>
      <w:pPr>
        <w:pStyle w:val="ListParagraph"/>
        <w:numPr>
          <w:ilvl w:val="0"/>
          <w:numId w:val="2"/>
        </w:numPr>
        <w:spacing w:after="80" w:line="280"/>
      </w:pPr>
      <w:r>
        <w:t xml:space="preserve">Information provider applications (backend systems generating data).</w:t>
      </w:r>
    </w:p>
    <w:p>
      <w:pPr>
        <w:pStyle w:val="ListParagraph"/>
        <w:numPr>
          <w:ilvl w:val="0"/>
          <w:numId w:val="2"/>
        </w:numPr>
        <w:spacing w:after="80" w:line="280"/>
      </w:pPr>
      <w:r>
        <w:t xml:space="preserve">Brokering applications (middleware that mediates between providers and consumers).</w:t>
      </w:r>
    </w:p>
    <w:p>
      <w:pPr>
        <w:pStyle w:val="ListParagraph"/>
        <w:numPr>
          <w:ilvl w:val="0"/>
          <w:numId w:val="2"/>
        </w:numPr>
        <w:spacing w:after="80" w:line="280"/>
      </w:pPr>
      <w:r>
        <w:t xml:space="preserve">Information exchange standards and patterns.</w:t>
      </w:r>
    </w:p>
    <w:p>
      <w:pPr>
        <w:spacing w:after="120" w:line="300"/>
        <w:jc w:val="both"/>
      </w:pPr>
      <w:r>
        <w:t xml:space="preserve">The III-RM is essentially a model of how to wire an enterprise's information landscape so that data flows across applications without silos. It assumes a level of integration ambition that not every enterprise has — a small enterprise might not need an III-RM at all — which is why it sits at Common Systems rather than Foundation.</w:t>
      </w:r>
    </w:p>
    <w:p>
      <w:pPr>
        <w:pStyle w:val="Heading3"/>
        <w:spacing w:after="120" w:before="220"/>
      </w:pPr>
      <w:r>
        <w:rPr>
          <w:b/>
          <w:bCs/>
          <w:color w:val="404040"/>
        </w:rPr>
        <w:t xml:space="preserve">Why III-RM Is at Common Systems</w:t>
      </w:r>
    </w:p>
    <w:p>
      <w:pPr>
        <w:spacing w:after="120" w:line="300"/>
        <w:jc w:val="both"/>
      </w:pPr>
      <w:r>
        <w:t xml:space="preserve">The III-RM addresses a problem (cross-application information flow at enterprise scale) common to many enterprises but not strictly universal. Every enterprise needs platform services (TRM); not every enterprise needs an integrated information infrastructure (III-RM). The III-RM is therefore one level less generic than the TRM.</w:t>
      </w:r>
    </w:p>
    <w:p>
      <w:pPr>
        <w:pStyle w:val="Heading2"/>
        <w:spacing w:after="160" w:before="280"/>
      </w:pPr>
      <w:r>
        <w:rPr>
          <w:b/>
          <w:bCs/>
          <w:color w:val="2E75B6"/>
        </w:rPr>
        <w:t xml:space="preserve">6.3 The Two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TRM (Technical Reference Model)</w:t>
            </w:r>
          </w:p>
        </w:tc>
        <w:tc>
          <w:tcPr>
            <w:tcW w:type="dxa" w:w="4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III-RM (Integrated Information Infrastructure RM)</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Continuum level</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w:t>
            </w:r>
          </w:p>
        </w:tc>
        <w:tc>
          <w:tcPr>
            <w:tcW w:type="dxa" w:w="4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Common Systems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Applies to</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Universal — every application platform</w:t>
            </w:r>
          </w:p>
        </w:tc>
        <w:tc>
          <w:tcPr>
            <w:tcW w:type="dxa" w:w="4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Widely applicable — enterprises pursuing integrated information flow</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Concerned with</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Categories of platform services</w:t>
            </w:r>
          </w:p>
        </w:tc>
        <w:tc>
          <w:tcPr>
            <w:tcW w:type="dxa" w:w="4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Cross-application information flow patterns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Built on?</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Standalone</w:t>
            </w:r>
          </w:p>
        </w:tc>
        <w:tc>
          <w:tcPr>
            <w:tcW w:type="dxa" w:w="4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Built on TRM</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Mnemonic</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TRM = Technical (generic, foundational)</w:t>
            </w:r>
          </w:p>
        </w:tc>
        <w:tc>
          <w:tcPr>
            <w:tcW w:type="dxa" w:w="4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III-RM = Integration (cross-application, common but not universal)</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Typical use</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Checklist for platform completeness</w:t>
            </w:r>
          </w:p>
        </w:tc>
        <w:tc>
          <w:tcPr>
            <w:tcW w:type="dxa" w:w="4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Reference for integration architecture design</w:t>
            </w:r>
          </w:p>
        </w:tc>
      </w:tr>
    </w:tbl>
    <w:p>
      <w:pPr>
        <w:pStyle w:val="Heading2"/>
        <w:spacing w:after="160" w:before="280"/>
      </w:pPr>
      <w:r>
        <w:rPr>
          <w:b/>
          <w:bCs/>
          <w:color w:val="2E75B6"/>
        </w:rPr>
        <w:t xml:space="preserve">6.4 Why These Two Reference Models Matter</w:t>
      </w:r>
    </w:p>
    <w:p>
      <w:pPr>
        <w:spacing w:after="120" w:line="300"/>
        <w:jc w:val="both"/>
      </w:pPr>
      <w:r>
        <w:t xml:space="preserve">Three reasons the TRM and III-RM appear in exam content even though many practitioners rarely use them directly today:</w:t>
      </w:r>
    </w:p>
    <w:p>
      <w:pPr>
        <w:pStyle w:val="ListParagraph"/>
        <w:numPr>
          <w:ilvl w:val="0"/>
          <w:numId w:val="3"/>
        </w:numPr>
        <w:spacing w:after="80" w:line="280"/>
      </w:pPr>
      <w:r>
        <w:t xml:space="preserve">They demonstrate the Continuum's level system. The TRM at Foundation and the III-RM at Common Systems are the canonical examples of content at those two levels. Knowing where each sits is the most direct test of whether you have absorbed the Continuum's classification scheme.</w:t>
      </w:r>
    </w:p>
    <w:p>
      <w:pPr>
        <w:pStyle w:val="ListParagraph"/>
        <w:numPr>
          <w:ilvl w:val="0"/>
          <w:numId w:val="3"/>
        </w:numPr>
        <w:spacing w:after="80" w:line="280"/>
      </w:pPr>
      <w:r>
        <w:t xml:space="preserve">They are part of TOGAF's history. Both models have been part of TOGAF since early editions and remain referenced in current documentation, even if newer Series Guides have superseded them in some contexts. Understanding them is part of understanding TOGAF as a body of knowledge.</w:t>
      </w:r>
    </w:p>
    <w:p>
      <w:pPr>
        <w:pStyle w:val="ListParagraph"/>
        <w:numPr>
          <w:ilvl w:val="0"/>
          <w:numId w:val="3"/>
        </w:numPr>
        <w:spacing w:after="80" w:line="280"/>
      </w:pPr>
      <w:r>
        <w:t xml:space="preserve">They illustrate the principle of inheritance through the Continuum. The III-RM is built on the TRM — Common Systems content extending Foundation content. This inheritance pattern is the operational principle by which the Continuum delivers 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Common Mistakes on TRM and III-RM</w:t>
            </w:r>
          </w:p>
          <w:p>
            <w:pPr>
              <w:spacing w:after="60" w:line="280"/>
              <w:jc w:val="both"/>
            </w:pPr>
            <w:r>
              <w:t xml:space="preserve">Mistake 1: Swapping their levels. The exam will sometimes phrase a question to invite swapping ("the III-RM is at the Foundation level, true or false?"). Answer: false. The III-RM is at Common Systems; the TRM is at Foundation.</w:t>
            </w:r>
          </w:p>
          <w:p>
            <w:pPr>
              <w:spacing w:after="60" w:line="280"/>
              <w:jc w:val="both"/>
            </w:pPr>
            <w:r>
              <w:t xml:space="preserve">Mistake 2: Calling either of them the "TOGAF Reference Model" generically. Each has a specific name and a specific scope. Confusing them in answers ("the TRM defines information flow patterns" — no, that is the III-RM) loses marks.</w:t>
            </w:r>
          </w:p>
          <w:p>
            <w:pPr>
              <w:spacing w:after="60" w:line="280"/>
              <w:jc w:val="both"/>
            </w:pPr>
            <w:r>
              <w:t xml:space="preserve">Mistake 3: Assuming they are mandatory content. Neither model is mandatory for any TOGAF-aligned enterprise; both are reference content that may be adopted, adapted, or ignored. The Continuum's value is the option to reuse, not an obligation.</w:t>
            </w:r>
          </w:p>
        </w:tc>
      </w:tr>
    </w:tbl>
    <w:p>
      <w:r>
        <w:br w:type="page"/>
      </w:r>
    </w:p>
    <w:p>
      <w:pPr>
        <w:pStyle w:val="Heading1"/>
        <w:spacing w:after="200" w:before="360"/>
      </w:pPr>
      <w:r>
        <w:rPr>
          <w:b/>
          <w:bCs/>
          <w:color w:val="1F4E78"/>
        </w:rPr>
        <w:t xml:space="preserve">7. Summary and Review</w:t>
      </w:r>
    </w:p>
    <w:p>
      <w:pPr>
        <w:pStyle w:val="Heading2"/>
        <w:spacing w:after="160" w:before="280"/>
      </w:pPr>
      <w:r>
        <w:rPr>
          <w:b/>
          <w:bCs/>
          <w:color w:val="2E75B6"/>
        </w:rPr>
        <w:t xml:space="preserve">7.1 The Big Picture</w:t>
      </w:r>
    </w:p>
    <w:p>
      <w:pPr>
        <w:spacing w:after="120" w:line="300"/>
        <w:jc w:val="both"/>
      </w:pPr>
      <w:r>
        <w:t xml:space="preserve">The Enterprise Continuum is TOGAF's classification scheme for architecture content along a spectrum from generic to organisation-specific. Four levels — Foundation, Common Systems, Industry, Organization-Specific (mnemonic: "Four Companies Invest Organically") — divide the spectrum. Two parallel branches — Architecture Continuum (patterns, ABBs) and Solutions Continuum (products, SBBs) — run through every level. Content moves through the Continuum in two directions: specialise (left to right) adds constraints and produces more-specific content; generalise (right to left) removes constraints and contributes novel patterns back to higher levels. The Continuum classifies content; the Architecture Repository stores it — the two are complementary but distinct. TOGAF's TRM (Technical Reference Model) sits at the Foundation level; the III-RM (Integrated Information Infrastructure Reference Model) sits at the Common Systems level.</w:t>
      </w:r>
    </w:p>
    <w:p>
      <w:pPr>
        <w:pStyle w:val="Heading2"/>
        <w:spacing w:after="160" w:before="280"/>
      </w:pPr>
      <w:r>
        <w:rPr>
          <w:b/>
          <w:bCs/>
          <w:color w:val="2E75B6"/>
        </w:rPr>
        <w:t xml:space="preserve">7.2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Four levels (mnemonic)</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 → Common Systems → Industry → Organization-Specific. "Four Companies Invest Organically".</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Foundation</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Universal; TRM lives here; abstract patterns and concepts.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Common Systems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Widely applicable across industries; III-RM lives here; cross-industry patterns.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Industry</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Vertical-specific; BIAN, HL7, TM Forum, etc.; embodies industry regulation and vocabulary.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Organization-Specific</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Bespoke to one enterprise; principal output of architecture engagements.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Two branches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Continuum (patterns / WHAT / ABBs) and Solutions Continuum (products / HOW / SBBs). Both run through all four levels.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Specialise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Left → right. ADD constraints. Frequent — every engagement. Inherits higher-level content.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Generalise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Right → left. REMOVE constraints. Rare. Contributes novel patterns back to higher levels.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Continuum vs Repository</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Continuum CLASSIFIES (level + branch). Repository STORES (actual content). Dewey Decimal vs the library shelves.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TRM location</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Foundation level. Generic application-platform services. Universal applicability.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III-RM location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Common Systems level. Integrated information infrastructure for cross-application information flow. Built on the TRM.</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Asymmetry</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Specialisation is daily work; generalisation is rare strategic generosity.</w:t>
            </w:r>
          </w:p>
        </w:tc>
      </w:tr>
    </w:tbl>
    <w:p>
      <w:pPr>
        <w:pStyle w:val="Heading2"/>
        <w:spacing w:after="160" w:before="280"/>
      </w:pPr>
      <w:r>
        <w:rPr>
          <w:b/>
          <w:bCs/>
          <w:color w:val="2E75B6"/>
        </w:rPr>
        <w:t xml:space="preserve">7.3 Self-Test Questions</w:t>
      </w:r>
    </w:p>
    <w:p>
      <w:pPr>
        <w:pStyle w:val="ListParagraph"/>
        <w:numPr>
          <w:ilvl w:val="0"/>
          <w:numId w:val="3"/>
        </w:numPr>
        <w:spacing w:after="80" w:line="280"/>
      </w:pPr>
      <w:r>
        <w:t xml:space="preserve">State the four levels of the Enterprise Continuum in order from most generic to most specific. Use the mnemonic if helpful.</w:t>
      </w:r>
    </w:p>
    <w:p>
      <w:pPr>
        <w:pStyle w:val="ListParagraph"/>
        <w:numPr>
          <w:ilvl w:val="0"/>
          <w:numId w:val="3"/>
        </w:numPr>
        <w:spacing w:after="80" w:line="280"/>
      </w:pPr>
      <w:r>
        <w:t xml:space="preserve">Give one example of content at each of the four levels.</w:t>
      </w:r>
    </w:p>
    <w:p>
      <w:pPr>
        <w:pStyle w:val="ListParagraph"/>
        <w:numPr>
          <w:ilvl w:val="0"/>
          <w:numId w:val="3"/>
        </w:numPr>
        <w:spacing w:after="80" w:line="280"/>
      </w:pPr>
      <w:r>
        <w:t xml:space="preserve">Define the Architecture Continuum and the Solutions Continuum. Where do ABBs live? Where do SBBs live?</w:t>
      </w:r>
    </w:p>
    <w:p>
      <w:pPr>
        <w:pStyle w:val="ListParagraph"/>
        <w:numPr>
          <w:ilvl w:val="0"/>
          <w:numId w:val="3"/>
        </w:numPr>
        <w:spacing w:after="80" w:line="280"/>
      </w:pPr>
      <w:r>
        <w:t xml:space="preserve">Explain specialisation. In which direction does it move? What does it add?</w:t>
      </w:r>
    </w:p>
    <w:p>
      <w:pPr>
        <w:pStyle w:val="ListParagraph"/>
        <w:numPr>
          <w:ilvl w:val="0"/>
          <w:numId w:val="3"/>
        </w:numPr>
        <w:spacing w:after="80" w:line="280"/>
      </w:pPr>
      <w:r>
        <w:t xml:space="preserve">Explain generalisation. In which direction does it move? What does it remove? Why is it rarer than specialisation?</w:t>
      </w:r>
    </w:p>
    <w:p>
      <w:pPr>
        <w:pStyle w:val="ListParagraph"/>
        <w:numPr>
          <w:ilvl w:val="0"/>
          <w:numId w:val="3"/>
        </w:numPr>
        <w:spacing w:after="80" w:line="280"/>
      </w:pPr>
      <w:r>
        <w:t xml:space="preserve">Walk through how an architect specialises a Customer Authentication need from Foundation to Organization-Specific.</w:t>
      </w:r>
    </w:p>
    <w:p>
      <w:pPr>
        <w:pStyle w:val="ListParagraph"/>
        <w:numPr>
          <w:ilvl w:val="0"/>
          <w:numId w:val="3"/>
        </w:numPr>
        <w:spacing w:after="80" w:line="280"/>
      </w:pPr>
      <w:r>
        <w:t xml:space="preserve">Distinguish the Enterprise Continuum from the Architecture Repository. Use an analogy.</w:t>
      </w:r>
    </w:p>
    <w:p>
      <w:pPr>
        <w:pStyle w:val="ListParagraph"/>
        <w:numPr>
          <w:ilvl w:val="0"/>
          <w:numId w:val="3"/>
        </w:numPr>
        <w:spacing w:after="80" w:line="280"/>
      </w:pPr>
      <w:r>
        <w:t xml:space="preserve">If the Continuum classifies and the Repository stores, what role does each play when an architect searches for an existing pattern?</w:t>
      </w:r>
    </w:p>
    <w:p>
      <w:pPr>
        <w:pStyle w:val="ListParagraph"/>
        <w:numPr>
          <w:ilvl w:val="0"/>
          <w:numId w:val="3"/>
        </w:numPr>
        <w:spacing w:after="80" w:line="280"/>
      </w:pPr>
      <w:r>
        <w:t xml:space="preserve">At which Continuum level does the TRM sit? Why?</w:t>
      </w:r>
    </w:p>
    <w:p>
      <w:pPr>
        <w:pStyle w:val="ListParagraph"/>
        <w:numPr>
          <w:ilvl w:val="0"/>
          <w:numId w:val="3"/>
        </w:numPr>
        <w:spacing w:after="80" w:line="280"/>
      </w:pPr>
      <w:r>
        <w:t xml:space="preserve">At which Continuum level does the III-RM sit? How does it relate to the TRM?</w:t>
      </w:r>
    </w:p>
    <w:p>
      <w:pPr>
        <w:pStyle w:val="Heading2"/>
        <w:spacing w:after="160" w:before="280"/>
      </w:pPr>
      <w:r>
        <w:rPr>
          <w:b/>
          <w:bCs/>
          <w:color w:val="2E75B6"/>
        </w:rPr>
        <w:t xml:space="preserve">7.4 Closing Note</w:t>
      </w:r>
    </w:p>
    <w:p>
      <w:pPr>
        <w:spacing w:after="120" w:line="300"/>
        <w:jc w:val="both"/>
      </w:pPr>
      <w:r>
        <w:t xml:space="preserve">Module 10 has covered the Continuum's classification of architecture content. The next module turns to Architecture Governance and the Capability Framework — how the architecture practice itself is run, how decisions are made, how compliance is assessed, and how the architecture function is staffed and skilled. With the ADM (Modules 4–8), the Content Framework (Module 9), and the Continuum (this module) in place, the structural picture of TOGAF is essentially complete. What remains is the human-and-organisational machinery that makes the structure operate. Make sure you can recite the four levels and the mnemonic, the two branches and what lives in each, the specialise/generalise directions, the Continuum-vs-Repository distinction, and the TRM/III-RM levels from memory before moving on.</w:t>
      </w:r>
    </w:p>
    <w:p>
      <w:pPr>
        <w:spacing w:after="120"/>
      </w:pPr>
      <w:r>
        <w:t xml:space="preserve"/>
      </w:r>
    </w:p>
    <w:p>
      <w:pPr>
        <w:spacing w:before="400"/>
        <w:jc w:val="center"/>
      </w:pPr>
      <w:r>
        <w:rPr>
          <w:i/>
          <w:iCs/>
          <w:color w:val="808080"/>
        </w:rPr>
        <w:t xml:space="preserve">— End of Module 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10: Enterprise Continuum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10 Study Guide</dc:title>
  <dc:creator>Claude</dc:creator>
  <dc:description>Comprehensive study guide for the Enterprise Continuum</dc:description>
  <cp:lastModifiedBy>Un-named</cp:lastModifiedBy>
  <cp:revision>1</cp:revision>
  <dcterms:created xsi:type="dcterms:W3CDTF">2026-05-02T15:55:24.702Z</dcterms:created>
  <dcterms:modified xsi:type="dcterms:W3CDTF">2026-05-02T15:55:24.717Z</dcterms:modified>
</cp:coreProperties>
</file>

<file path=docProps/custom.xml><?xml version="1.0" encoding="utf-8"?>
<Properties xmlns="http://schemas.openxmlformats.org/officeDocument/2006/custom-properties" xmlns:vt="http://schemas.openxmlformats.org/officeDocument/2006/docPropsVTypes"/>
</file>