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11: Architecture Repository</w:t>
      </w:r>
    </w:p>
    <w:p>
      <w:pPr>
        <w:spacing w:after="200"/>
        <w:jc w:val="center"/>
      </w:pPr>
      <w:r>
        <w:rPr>
          <w:color w:val="595959"/>
          <w:sz w:val="28"/>
          <w:szCs w:val="28"/>
        </w:rPr>
        <w:t xml:space="preserve">The Six Classes That Hold the Architecture</w:t>
      </w:r>
    </w:p>
    <w:p>
      <w:pPr>
        <w:spacing w:after="200"/>
        <w:jc w:val="center"/>
      </w:pPr>
      <w:r>
        <w:rPr>
          <w:color w:val="808080"/>
          <w:sz w:val="22"/>
          <w:szCs w:val="22"/>
        </w:rPr>
        <w:t xml:space="preserve">Metamodel · Capability · Landscape · SIB · Reference Library · Governance Log</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11</w:t>
      </w:r>
    </w:p>
    <w:p>
      <w:pPr>
        <w:spacing w:after="120" w:line="300"/>
        <w:jc w:val="both"/>
      </w:pPr>
      <w:r>
        <w:t xml:space="preserve">Module 10 ended with the distinction that the Enterprise Continuum classifies content while the Architecture Repository stores it. Module 11 now turns to the storage half of that pair: the Architecture Repository itself. It is the fourth of TOGAF's five core components (the fifth, the Architecture Capability Framework, follows in Module 12), and it is the structured store where every artefact, decision, and reference holding the architecture practice together actually lives.</w:t>
      </w:r>
    </w:p>
    <w:p>
      <w:pPr>
        <w:spacing w:after="120" w:line="300"/>
        <w:jc w:val="both"/>
      </w:pPr>
      <w:r>
        <w:t xml:space="preserve">The Repository is more concrete than the Continuum. Where the Continuum is a conceptual classification scheme, the Repository is a real facility — a database, a tool, a collection of structured documents — that the architecture function maintains and queries. In modern enterprises it is typically implemented through an Enterprise Architecture management platform (LeanIX, Ardoq, Bizzdesign, Sparx EA, ServiceNow APM, and others) that gives the Repository's six classes a queryable structure rather than letting them degenerate into folders of unsearchable documents.</w:t>
      </w:r>
    </w:p>
    <w:p>
      <w:pPr>
        <w:spacing w:after="120" w:line="300"/>
        <w:jc w:val="both"/>
      </w:pPr>
      <w:r>
        <w:t xml:space="preserve">The exam tests this module carefully. Five things in particular recur: the six classes (in the right order, by name); the three levels of Architecture Landscape; the four lifecycle states of standards in the SIB; the six categories of Governance Log; and — most of all — the distinction between the SIB (standards: what to use) and the Reference Library (patterns: how to design). Get these five right and you will navigate any Repository question on the exam.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Each class of the Repository serves a different purpose and answers a different question. Treat each section of this module as a card to memorise: the class name, what it holds, what question it answers, what example contents it has. The mnemonic in Section 1 ties all six together; sections 2 through 7 then drill into each class with worked examples. Section 8 covers the SIB-vs-Reference-Library distinction explicitly because it is the most-tested point in the entire module.</w:t>
            </w:r>
          </w:p>
        </w:tc>
      </w:tr>
    </w:tbl>
    <w:p>
      <w:r>
        <w:br w:type="page"/>
      </w:r>
    </w:p>
    <w:p>
      <w:pPr>
        <w:pStyle w:val="Heading1"/>
        <w:spacing w:after="200" w:before="360"/>
      </w:pPr>
      <w:r>
        <w:rPr>
          <w:b/>
          <w:bCs/>
          <w:color w:val="1F4E78"/>
        </w:rPr>
        <w:t xml:space="preserve">1. The Six Classes of the Architecture Repository</w:t>
      </w:r>
    </w:p>
    <w:p>
      <w:pPr>
        <w:spacing w:after="120" w:line="300"/>
        <w:jc w:val="both"/>
      </w:pPr>
      <w:r>
        <w:t xml:space="preserve">The Architecture Repository is structured into six classes, each holding a distinct kind of content and answering a distinct question. The exam expects you to know the six classes by name, in the standard order, and to be able to give an example of what lives in each.</w:t>
      </w:r>
    </w:p>
    <w:p>
      <w:pPr>
        <w:pStyle w:val="Heading2"/>
        <w:spacing w:after="160" w:before="280"/>
      </w:pPr>
      <w:r>
        <w:rPr>
          <w:b/>
          <w:bCs/>
          <w:color w:val="2E75B6"/>
        </w:rPr>
        <w:t xml:space="preserve">1.1 The Mnemonic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Mnemonic for the Six Classes</w:t>
            </w:r>
          </w:p>
          <w:p>
            <w:pPr>
              <w:spacing w:after="60" w:line="280"/>
              <w:jc w:val="both"/>
            </w:pPr>
            <w:r>
              <w:t xml:space="preserve">"My Careful Librarian Stores Reference Guides"</w:t>
            </w:r>
          </w:p>
          <w:p>
            <w:pPr>
              <w:spacing w:after="60" w:line="280"/>
              <w:jc w:val="both"/>
            </w:pPr>
            <w:r>
              <w:t xml:space="preserve">M — Metamodel</w:t>
            </w:r>
          </w:p>
          <w:p>
            <w:pPr>
              <w:spacing w:after="60" w:line="280"/>
              <w:jc w:val="both"/>
            </w:pPr>
            <w:r>
              <w:t xml:space="preserve">C — Capability</w:t>
            </w:r>
          </w:p>
          <w:p>
            <w:pPr>
              <w:spacing w:after="60" w:line="280"/>
              <w:jc w:val="both"/>
            </w:pPr>
            <w:r>
              <w:t xml:space="preserve">L — Landscape</w:t>
            </w:r>
          </w:p>
          <w:p>
            <w:pPr>
              <w:spacing w:after="60" w:line="280"/>
              <w:jc w:val="both"/>
            </w:pPr>
            <w:r>
              <w:t xml:space="preserve">S — SIB (Standards Information Base)</w:t>
            </w:r>
          </w:p>
          <w:p>
            <w:pPr>
              <w:spacing w:after="60" w:line="280"/>
              <w:jc w:val="both"/>
            </w:pPr>
            <w:r>
              <w:t xml:space="preserve">R — Reference Library</w:t>
            </w:r>
          </w:p>
          <w:p>
            <w:pPr>
              <w:spacing w:after="60" w:line="280"/>
              <w:jc w:val="both"/>
            </w:pPr>
            <w:r>
              <w:t xml:space="preserve">G — Governance Log</w:t>
            </w:r>
          </w:p>
          <w:p>
            <w:pPr>
              <w:spacing w:after="60" w:line="280"/>
              <w:jc w:val="both"/>
            </w:pPr>
            <w:r>
              <w:t xml:space="preserve">The mnemonic ties all six together. The exam routinely lists five classes and asks for the sixth, or asks for them in order, or asks which class a given artefact lives in. Memorise the mnemonic and the contents will follow.</w:t>
            </w:r>
          </w:p>
        </w:tc>
      </w:tr>
    </w:tbl>
    <w:p>
      <w:pPr>
        <w:pStyle w:val="Heading2"/>
        <w:spacing w:after="160" w:before="280"/>
      </w:pPr>
      <w:r>
        <w:rPr>
          <w:b/>
          <w:bCs/>
          <w:color w:val="2E75B6"/>
        </w:rPr>
        <w:t xml:space="preserve">1.2 Overview of the Six Classes</w:t>
      </w:r>
    </w:p>
    <w:p>
      <w:pPr>
        <w:spacing w:after="120" w:line="300"/>
        <w:jc w:val="both"/>
      </w:pPr>
      <w:r>
        <w:t xml:space="preserve">Each class addresses a different storage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000"/>
        <w:gridCol w:w="27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Class</w:t>
            </w:r>
          </w:p>
        </w:tc>
        <w:tc>
          <w:tcPr>
            <w:tcW w:type="dxa" w:w="4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Holds</w:t>
            </w:r>
          </w:p>
        </w:tc>
        <w:tc>
          <w:tcPr>
            <w:tcW w:type="dxa" w:w="27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Answers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Metamodel</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metamodel describing entity types and relationships used by this enterprise</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kinds of architecture content do we recognise?</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Capability</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Records describing the architecture practice itself</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How is our architecture function structured and operated?</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Landscape</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Current, target, and transition architectures across three levels</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does our architecture look like, now and planned?</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Standards Information Base (SIB)</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The standards architectures must conform to</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standards must we use?</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Reference Library</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Generic and industry-specific patterns, templates, viewpoints, guidelines</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How should we design typical solutions?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Governance Log</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Records of governance activities — decisions, reviews, dispensations, contracts</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has the governance machinery decided?</w:t>
            </w:r>
          </w:p>
        </w:tc>
      </w:tr>
    </w:tbl>
    <w:p>
      <w:pPr>
        <w:pStyle w:val="Heading2"/>
        <w:spacing w:after="160" w:before="280"/>
      </w:pPr>
      <w:r>
        <w:rPr>
          <w:b/>
          <w:bCs/>
          <w:color w:val="2E75B6"/>
        </w:rPr>
        <w:t xml:space="preserve">1.3 Two Additional Sections (Sometimes Listed)</w:t>
      </w:r>
    </w:p>
    <w:p>
      <w:pPr>
        <w:spacing w:after="120" w:line="300"/>
        <w:jc w:val="both"/>
      </w:pPr>
      <w:r>
        <w:t xml:space="preserve">Some TOGAF descriptions list two further sections beyond the six classes. They are included here for completeness:</w:t>
      </w:r>
    </w:p>
    <w:p>
      <w:pPr>
        <w:pStyle w:val="ListParagraph"/>
        <w:numPr>
          <w:ilvl w:val="0"/>
          <w:numId w:val="2"/>
        </w:numPr>
        <w:spacing w:after="80" w:line="280"/>
      </w:pPr>
      <w:r>
        <w:t xml:space="preserve">Architecture Requirements Repository — the structured store of all architecture requirements being managed (the artefact maintained by the central Requirements Management activity from Module 4).</w:t>
      </w:r>
    </w:p>
    <w:p>
      <w:pPr>
        <w:pStyle w:val="ListParagraph"/>
        <w:numPr>
          <w:ilvl w:val="0"/>
          <w:numId w:val="2"/>
        </w:numPr>
        <w:spacing w:after="80" w:line="280"/>
      </w:pPr>
      <w:r>
        <w:t xml:space="preserve">Solutions Landscape — the actual deployed solutions realising the architecture (the SBB record companion to the Architecture Landscape).</w:t>
      </w:r>
    </w:p>
    <w:p>
      <w:pPr>
        <w:spacing w:after="120" w:line="300"/>
        <w:jc w:val="both"/>
      </w:pPr>
      <w:r>
        <w:t xml:space="preserve">These two are sometimes treated as separate sections and sometimes folded into the Landscape and Reference Library classes. The exam-relevant set is the canonical six in the mnemonic; the two extras are useful in practice but rarely featured directly in exam questions.</w:t>
      </w:r>
    </w:p>
    <w:p>
      <w:r>
        <w:br w:type="page"/>
      </w:r>
    </w:p>
    <w:p>
      <w:pPr>
        <w:pStyle w:val="Heading1"/>
        <w:spacing w:after="200" w:before="360"/>
      </w:pPr>
      <w:r>
        <w:rPr>
          <w:b/>
          <w:bCs/>
          <w:color w:val="1F4E78"/>
        </w:rPr>
        <w:t xml:space="preserve">2. Class 1 — Architecture Metamodel</w:t>
      </w:r>
    </w:p>
    <w:p>
      <w:pPr>
        <w:spacing w:after="120" w:line="300"/>
        <w:jc w:val="both"/>
      </w:pPr>
      <w:r>
        <w:t xml:space="preserve">The Architecture Metamodel section of the Repository holds the formal description of the entity types and relationships that this specific enterprise recognises. As covered in Module 9, the Architecture Content Metamodel is the schema against which architecture artefacts are produced and stored. The Repository's first class is where that schema actually lives.</w:t>
      </w:r>
    </w:p>
    <w:p>
      <w:pPr>
        <w:pStyle w:val="Heading2"/>
        <w:spacing w:after="160" w:before="280"/>
      </w:pPr>
      <w:r>
        <w:rPr>
          <w:b/>
          <w:bCs/>
          <w:color w:val="2E75B6"/>
        </w:rPr>
        <w:t xml:space="preserve">2.1 What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Metamodel (Repository Class): </w:t>
            </w:r>
            <w:r>
              <w:t xml:space="preserve">The Repository class holding the formal schema of entity types and relationships used by this enterprise. Defines what kinds of things exist in the architecture (Capability, Application, Data Entity, Technology Component, etc.) and how they relate. Configured in the Preliminary Phase; revised rarely thereafter.</w:t>
            </w:r>
          </w:p>
        </w:tc>
      </w:tr>
    </w:tbl>
    <w:p>
      <w:pPr>
        <w:spacing w:after="120" w:line="300"/>
        <w:jc w:val="both"/>
      </w:pPr>
      <w:r>
        <w:t xml:space="preserve">The Metamodel section holds:</w:t>
      </w:r>
    </w:p>
    <w:p>
      <w:pPr>
        <w:pStyle w:val="ListParagraph"/>
        <w:numPr>
          <w:ilvl w:val="0"/>
          <w:numId w:val="2"/>
        </w:numPr>
        <w:spacing w:after="80" w:line="280"/>
      </w:pPr>
      <w:r>
        <w:t xml:space="preserve">The list of entity types recognised (e.g., Capability, Value Stream, Process, Application, Data Entity, Technology Component, ABB, SBB, Work Package).</w:t>
      </w:r>
    </w:p>
    <w:p>
      <w:pPr>
        <w:pStyle w:val="ListParagraph"/>
        <w:numPr>
          <w:ilvl w:val="0"/>
          <w:numId w:val="2"/>
        </w:numPr>
        <w:spacing w:after="80" w:line="280"/>
      </w:pPr>
      <w:r>
        <w:t xml:space="preserve">The attributes defined on each entity type (e.g., a Capability has a name, a description, a level, an owner, a maturity score).</w:t>
      </w:r>
    </w:p>
    <w:p>
      <w:pPr>
        <w:pStyle w:val="ListParagraph"/>
        <w:numPr>
          <w:ilvl w:val="0"/>
          <w:numId w:val="2"/>
        </w:numPr>
        <w:spacing w:after="80" w:line="280"/>
      </w:pPr>
      <w:r>
        <w:t xml:space="preserve">The relationships allowed between entity types (e.g., an Application is realised-by an SBB; a Capability is owned-by an Organisation Unit).</w:t>
      </w:r>
    </w:p>
    <w:p>
      <w:pPr>
        <w:pStyle w:val="ListParagraph"/>
        <w:numPr>
          <w:ilvl w:val="0"/>
          <w:numId w:val="2"/>
        </w:numPr>
        <w:spacing w:after="80" w:line="280"/>
      </w:pPr>
      <w:r>
        <w:t xml:space="preserve">The vocabulary, naming conventions, and identifier schemes used.</w:t>
      </w:r>
    </w:p>
    <w:p>
      <w:pPr>
        <w:pStyle w:val="ListParagraph"/>
        <w:numPr>
          <w:ilvl w:val="0"/>
          <w:numId w:val="2"/>
        </w:numPr>
        <w:spacing w:after="80" w:line="280"/>
      </w:pPr>
      <w:r>
        <w:t xml:space="preserve">The tailoring decisions made in the Preliminary Phase (which TOGAF Metamodel extensions have been adopted; which entity types have been added or removed).</w:t>
      </w:r>
    </w:p>
    <w:p>
      <w:pPr>
        <w:pStyle w:val="Heading2"/>
        <w:spacing w:after="160" w:before="280"/>
      </w:pPr>
      <w:r>
        <w:rPr>
          <w:b/>
          <w:bCs/>
          <w:color w:val="2E75B6"/>
        </w:rPr>
        <w:t xml:space="preserve">2.2 Why It Comes First</w:t>
      </w:r>
    </w:p>
    <w:p>
      <w:pPr>
        <w:spacing w:after="120" w:line="300"/>
        <w:jc w:val="both"/>
      </w:pPr>
      <w:r>
        <w:t xml:space="preserve">The Metamodel is listed first in the six classes because everything else in the Repository depends on it. An entry in the Architecture Landscape describes a Capability — but only if the Metamodel has defined what "Capability" means as an entity type. An entry in the Reference Library cites a viewpoint — but only if the Metamodel has the vocabulary that lets the viewpoint reference architecture elements consistently. Without the Metamodel, every other section of the Repository becomes a pile of strings with no agreed meaning.</w:t>
      </w:r>
    </w:p>
    <w:p>
      <w:pPr>
        <w:pStyle w:val="Heading2"/>
        <w:spacing w:after="160" w:before="280"/>
      </w:pPr>
      <w:r>
        <w:rPr>
          <w:b/>
          <w:bCs/>
          <w:color w:val="2E75B6"/>
        </w:rPr>
        <w:t xml:space="preserve">2.3 In Modern EA Tooling</w:t>
      </w:r>
    </w:p>
    <w:p>
      <w:pPr>
        <w:spacing w:after="120" w:line="300"/>
        <w:jc w:val="both"/>
      </w:pPr>
      <w:r>
        <w:t xml:space="preserve">In modern Enterprise Architecture management tools, the Metamodel is implemented as the tool's schema — the data model that defines what objects can be created, what fields they have, and what links between objects are allowed. Configuring the EA tool is essentially configuring the Metamodel section of the Repository. Once configured, every artefact created in the tool conforms to the Metamodel automatically; queries across the architecture work because the schema is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Metamodel Configuration</w:t>
            </w:r>
          </w:p>
          <w:p>
            <w:pPr>
              <w:spacing w:after="60" w:line="280"/>
              <w:jc w:val="both"/>
            </w:pPr>
            <w:r>
              <w:t xml:space="preserve">Acme Bank's Preliminary Phase produced these Metamodel decisions, recorded in the Repository's Metamodel class:</w:t>
            </w:r>
          </w:p>
          <w:p>
            <w:pPr>
              <w:spacing w:after="60" w:line="280"/>
              <w:jc w:val="both"/>
            </w:pPr>
            <w:r>
              <w:t xml:space="preserve">Entity types adopted: Capability, Value Stream, Process, Organisation Unit, Role, Application, Data Entity, Technology Component, ABB, SBB, Work Package, Goal, Requirement, Architecture Principle.</w:t>
            </w:r>
          </w:p>
          <w:p>
            <w:pPr>
              <w:spacing w:after="60" w:line="280"/>
              <w:jc w:val="both"/>
            </w:pPr>
            <w:r>
              <w:t xml:space="preserve">Entity types extended beyond standard TOGAF: Regulatory Obligation (added because banking regulation matters); Customer Journey (added as a finer-grained subtype of Value Stream).</w:t>
            </w:r>
          </w:p>
          <w:p>
            <w:pPr>
              <w:spacing w:after="60" w:line="280"/>
              <w:jc w:val="both"/>
            </w:pPr>
            <w:r>
              <w:t xml:space="preserve">Attributes added: every Capability has a Maturity Score (1–5), a Strategic Importance (1–5), and a TIME-equivalent disposition (Invest/Sustain/Reduce/Eliminate). Every Application has a Business Criticality (1–4).</w:t>
            </w:r>
          </w:p>
          <w:p>
            <w:pPr>
              <w:spacing w:after="60" w:line="280"/>
              <w:jc w:val="both"/>
            </w:pPr>
            <w:r>
              <w:t xml:space="preserve">Relationships defined: Capability is realised-by Application; Application uses Data Entity; Application runs-on Technology Component; SBB realises ABB; Work Package implements ABB; Work Package implements SBB; Capability supports Goal; Requirement is satisfied-by ABB.</w:t>
            </w:r>
          </w:p>
          <w:p>
            <w:pPr>
              <w:spacing w:after="60" w:line="280"/>
              <w:jc w:val="both"/>
            </w:pPr>
            <w:r>
              <w:t xml:space="preserve">Naming convention: every artefact has an identifier of the form TYPE-NNNN (e.g., CAP-0001, APP-0042, ABB-0008).</w:t>
            </w:r>
          </w:p>
          <w:p>
            <w:pPr>
              <w:spacing w:after="60" w:line="280"/>
              <w:jc w:val="both"/>
            </w:pPr>
            <w:r>
              <w:t xml:space="preserve">These decisions were configured in the bank's Ardoq EA tool. From that point on, every artefact created in the tool conforms to this Metamodel; every cross-architecture query ("which Applications support Capabilities scoring less than 3 on Maturity?") works because the schema is consistent.</w:t>
            </w:r>
          </w:p>
        </w:tc>
      </w:tr>
    </w:tbl>
    <w:p>
      <w:r>
        <w:br w:type="page"/>
      </w:r>
    </w:p>
    <w:p>
      <w:pPr>
        <w:pStyle w:val="Heading1"/>
        <w:spacing w:after="200" w:before="360"/>
      </w:pPr>
      <w:r>
        <w:rPr>
          <w:b/>
          <w:bCs/>
          <w:color w:val="1F4E78"/>
        </w:rPr>
        <w:t xml:space="preserve">3. Class 2 — Architecture Capability</w:t>
      </w:r>
    </w:p>
    <w:p>
      <w:pPr>
        <w:spacing w:after="120" w:line="300"/>
        <w:jc w:val="both"/>
      </w:pPr>
      <w:r>
        <w:t xml:space="preserve">The Architecture Capability section of the Repository holds records describing the architecture practice itself — its people, its processes, its tools, its skills. Where the other classes describe the architecture being managed, this class describes the function that does the managing.</w:t>
      </w:r>
    </w:p>
    <w:p>
      <w:pPr>
        <w:pStyle w:val="Heading2"/>
        <w:spacing w:after="160" w:before="280"/>
      </w:pPr>
      <w:r>
        <w:rPr>
          <w:b/>
          <w:bCs/>
          <w:color w:val="2E75B6"/>
        </w:rPr>
        <w:t xml:space="preserve">3.1 What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Capability (Repository Class): </w:t>
            </w:r>
            <w:r>
              <w:t xml:space="preserve">The Repository class holding records about the architecture practice itself: its organisation, roles, skills, tools, governance bodies, processes, and operating model. Distinct from the Architecture Capability Framework (the TOGAF component covered in Module 12), which is the meta-description; this Repository class holds the enterprise's specific instantiation.</w:t>
            </w:r>
          </w:p>
        </w:tc>
      </w:tr>
    </w:tbl>
    <w:p>
      <w:pPr>
        <w:pStyle w:val="Heading2"/>
        <w:spacing w:after="160" w:before="280"/>
      </w:pPr>
      <w:r>
        <w:rPr>
          <w:b/>
          <w:bCs/>
          <w:color w:val="2E75B6"/>
        </w:rPr>
        <w:t xml:space="preserve">3.2 Typical Contents</w:t>
      </w:r>
    </w:p>
    <w:p>
      <w:pPr>
        <w:pStyle w:val="ListParagraph"/>
        <w:numPr>
          <w:ilvl w:val="0"/>
          <w:numId w:val="2"/>
        </w:numPr>
        <w:spacing w:after="80" w:line="280"/>
      </w:pPr>
      <w:r>
        <w:t xml:space="preserve">The architecture function's organisational structure: the team or teams of architects, their reporting lines, their relationships to business units.</w:t>
      </w:r>
    </w:p>
    <w:p>
      <w:pPr>
        <w:pStyle w:val="ListParagraph"/>
        <w:numPr>
          <w:ilvl w:val="0"/>
          <w:numId w:val="2"/>
        </w:numPr>
        <w:spacing w:after="80" w:line="280"/>
      </w:pPr>
      <w:r>
        <w:t xml:space="preserve">Role definitions: Enterprise Architect, Business Architect, Data Architect, Application Architect, Technology Architect, Solution Architect, with responsibilities per role.</w:t>
      </w:r>
    </w:p>
    <w:p>
      <w:pPr>
        <w:pStyle w:val="ListParagraph"/>
        <w:numPr>
          <w:ilvl w:val="0"/>
          <w:numId w:val="2"/>
        </w:numPr>
        <w:spacing w:after="80" w:line="280"/>
      </w:pPr>
      <w:r>
        <w:t xml:space="preserve">Architecture Skills Framework adapted to this enterprise: the proficiency levels expected at each role, the development paths, the training and certification expectations.</w:t>
      </w:r>
    </w:p>
    <w:p>
      <w:pPr>
        <w:pStyle w:val="ListParagraph"/>
        <w:numPr>
          <w:ilvl w:val="0"/>
          <w:numId w:val="2"/>
        </w:numPr>
        <w:spacing w:after="80" w:line="280"/>
      </w:pPr>
      <w:r>
        <w:t xml:space="preserve">The Architecture Board's charter, composition, terms of reference, meeting cadence, escalation paths.</w:t>
      </w:r>
    </w:p>
    <w:p>
      <w:pPr>
        <w:pStyle w:val="ListParagraph"/>
        <w:numPr>
          <w:ilvl w:val="0"/>
          <w:numId w:val="2"/>
        </w:numPr>
        <w:spacing w:after="80" w:line="280"/>
      </w:pPr>
      <w:r>
        <w:t xml:space="preserve">The architecture processes the function operates: how engagements start, how Compliance Reviews are conducted, how dispensations are issued, how the Repository is maintained.</w:t>
      </w:r>
    </w:p>
    <w:p>
      <w:pPr>
        <w:pStyle w:val="ListParagraph"/>
        <w:numPr>
          <w:ilvl w:val="0"/>
          <w:numId w:val="2"/>
        </w:numPr>
        <w:spacing w:after="80" w:line="280"/>
      </w:pPr>
      <w:r>
        <w:t xml:space="preserve">Tooling decisions: which EA management tool, which document store, which collaboration platform, how the tools integrate.</w:t>
      </w:r>
    </w:p>
    <w:p>
      <w:pPr>
        <w:pStyle w:val="ListParagraph"/>
        <w:numPr>
          <w:ilvl w:val="0"/>
          <w:numId w:val="2"/>
        </w:numPr>
        <w:spacing w:after="80" w:line="280"/>
      </w:pPr>
      <w:r>
        <w:t xml:space="preserve">The Architecture Capability Maturity assessment, if one has been performed, with current state and improvement targets.</w:t>
      </w:r>
    </w:p>
    <w:p>
      <w:pPr>
        <w:pStyle w:val="Heading2"/>
        <w:spacing w:after="160" w:before="280"/>
      </w:pPr>
      <w:r>
        <w:rPr>
          <w:b/>
          <w:bCs/>
          <w:color w:val="2E75B6"/>
        </w:rPr>
        <w:t xml:space="preserve">3.3 Why This Class Exists</w:t>
      </w:r>
    </w:p>
    <w:p>
      <w:pPr>
        <w:spacing w:after="120" w:line="300"/>
        <w:jc w:val="both"/>
      </w:pPr>
      <w:r>
        <w:t xml:space="preserve">Three reasons the Repository keeps records about the practice itself:</w:t>
      </w:r>
    </w:p>
    <w:p>
      <w:pPr>
        <w:pStyle w:val="ListParagraph"/>
        <w:numPr>
          <w:ilvl w:val="0"/>
          <w:numId w:val="3"/>
        </w:numPr>
        <w:spacing w:after="80" w:line="280"/>
      </w:pPr>
      <w:r>
        <w:t xml:space="preserve">Continuity. Architecture practices outlast the people who staff them. When architects leave or rotate, the Repository's Capability class preserves the knowledge of how the practice operates — its decisions, its processes, its rationales. Without this, every personnel change would re-derive the operating model from scratch.</w:t>
      </w:r>
    </w:p>
    <w:p>
      <w:pPr>
        <w:pStyle w:val="ListParagraph"/>
        <w:numPr>
          <w:ilvl w:val="0"/>
          <w:numId w:val="3"/>
        </w:numPr>
        <w:spacing w:after="80" w:line="280"/>
      </w:pPr>
      <w:r>
        <w:t xml:space="preserve">Governance. The Architecture Board references the Capability class when assessing whether the practice itself is functioning correctly. Roles, processes, and tools are governance subjects in their own right; they need to be documented, reviewed, and revised over time.</w:t>
      </w:r>
    </w:p>
    <w:p>
      <w:pPr>
        <w:pStyle w:val="ListParagraph"/>
        <w:numPr>
          <w:ilvl w:val="0"/>
          <w:numId w:val="3"/>
        </w:numPr>
        <w:spacing w:after="80" w:line="280"/>
      </w:pPr>
      <w:r>
        <w:t xml:space="preserve">Improvement. Maturity assessments depend on a baseline. The Capability class holds that baseline — the current state of the practice — against which improvement is planned and measured.</w:t>
      </w:r>
    </w:p>
    <w:p>
      <w:r>
        <w:br w:type="page"/>
      </w:r>
    </w:p>
    <w:p>
      <w:pPr>
        <w:pStyle w:val="Heading1"/>
        <w:spacing w:after="200" w:before="360"/>
      </w:pPr>
      <w:r>
        <w:rPr>
          <w:b/>
          <w:bCs/>
          <w:color w:val="1F4E78"/>
        </w:rPr>
        <w:t xml:space="preserve">4. Class 3 — Architecture Landscape</w:t>
      </w:r>
    </w:p>
    <w:p>
      <w:pPr>
        <w:spacing w:after="120" w:line="300"/>
        <w:jc w:val="both"/>
      </w:pPr>
      <w:r>
        <w:t xml:space="preserve">The Architecture Landscape section of the Repository holds the actual architectures of the enterprise: current state, target state, and transition states. It is by far the largest class in most Repositories — the substantive content of Phases B, C, D, E, and F flows here. The Landscape is structured along the three architecture levels covered in Module 4: Strategic, Segment, and Capability.</w:t>
      </w:r>
    </w:p>
    <w:p>
      <w:pPr>
        <w:pStyle w:val="Heading2"/>
        <w:spacing w:after="160" w:before="280"/>
      </w:pPr>
      <w:r>
        <w:rPr>
          <w:b/>
          <w:bCs/>
          <w:color w:val="2E75B6"/>
        </w:rPr>
        <w:t xml:space="preserve">4.1 What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Landscape (Repository Class): </w:t>
            </w:r>
            <w:r>
              <w:t xml:space="preserve">The Repository class holding the actual architectures of the enterprise — baseline, target, and transition architectures — at three levels of granularity: Strategic (whole enterprise, 5+ years), Segment (business unit or programme, 1–3 years), and Capability (single capability or solution, weeks-quarter).</w:t>
            </w:r>
          </w:p>
        </w:tc>
      </w:tr>
    </w:tbl>
    <w:p>
      <w:pPr>
        <w:pStyle w:val="Heading2"/>
        <w:spacing w:after="160" w:before="280"/>
      </w:pPr>
      <w:r>
        <w:rPr>
          <w:b/>
          <w:bCs/>
          <w:color w:val="2E75B6"/>
        </w:rPr>
        <w:t xml:space="preserve">4.2 The Three Levels of the Landscape</w:t>
      </w:r>
    </w:p>
    <w:p>
      <w:pPr>
        <w:spacing w:after="120" w:line="300"/>
        <w:jc w:val="both"/>
      </w:pPr>
      <w:r>
        <w:t xml:space="preserve">The Landscape is organised by the three architecture levels established in Module 4. Each level holds architectures of different scope, detail, and lifespan.</w:t>
      </w:r>
    </w:p>
    <w:p>
      <w:pPr>
        <w:pStyle w:val="Heading3"/>
        <w:spacing w:after="120" w:before="220"/>
      </w:pPr>
      <w:r>
        <w:rPr>
          <w:b/>
          <w:bCs/>
          <w:color w:val="404040"/>
        </w:rPr>
        <w:t xml:space="preserve">Strategic Architecture Landscape</w:t>
      </w:r>
    </w:p>
    <w:p>
      <w:pPr>
        <w:spacing w:after="120" w:line="300"/>
        <w:jc w:val="both"/>
      </w:pPr>
      <w:r>
        <w:t xml:space="preserve">Holds the highest-level architectures, covering the entire enterprise over a five-plus-year horizon. Concerned with strategic direction, capability evolution, and platform shape rather than detailed design. Typical contents: the enterprise capability map (top two levels), the high-level target architecture vision, the principal Architecture Principles applied, the strategic technology direction. Owned by executive-level stakeholders. Changes infrequently.</w:t>
      </w:r>
    </w:p>
    <w:p>
      <w:pPr>
        <w:pStyle w:val="Heading3"/>
        <w:spacing w:after="120" w:before="220"/>
      </w:pPr>
      <w:r>
        <w:rPr>
          <w:b/>
          <w:bCs/>
          <w:color w:val="404040"/>
        </w:rPr>
        <w:t xml:space="preserve">Segment Architecture Landscape</w:t>
      </w:r>
    </w:p>
    <w:p>
      <w:pPr>
        <w:spacing w:after="120" w:line="300"/>
        <w:jc w:val="both"/>
      </w:pPr>
      <w:r>
        <w:t xml:space="preserve">Holds mid-level architectures for defined parts of the enterprise — business units, programmes, geographic regions, or major capability clusters. Covers a one- to three-year horizon. More detailed than Strategic but less detailed than Capability. Typical contents: Architecture Definition Documents for major programmes (e.g., the digital onboarding ADD), Roadmaps and Migration Plans, Transition Architectures. Owned by programme sponsors and business unit heads. Reviewed annually.</w:t>
      </w:r>
    </w:p>
    <w:p>
      <w:pPr>
        <w:pStyle w:val="Heading3"/>
        <w:spacing w:after="120" w:before="220"/>
      </w:pPr>
      <w:r>
        <w:rPr>
          <w:b/>
          <w:bCs/>
          <w:color w:val="404040"/>
        </w:rPr>
        <w:t xml:space="preserve">Capability Architecture Landscape</w:t>
      </w:r>
    </w:p>
    <w:p>
      <w:pPr>
        <w:spacing w:after="120" w:line="300"/>
        <w:jc w:val="both"/>
      </w:pPr>
      <w:r>
        <w:t xml:space="preserve">Holds the most detailed architectures, covering single business capabilities or solutions over a horizon of weeks to a quarter. Detailed enough to drive engineering directly. Typical contents: solution designs, API contracts, deployment specifications, the precise ABB and SBB definitions for a specific capability. Owned by solution architects and engineering leads. Reviewed each iteration or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Three Levels of Architecture Landscape: </w:t>
            </w:r>
            <w:r>
              <w:t xml:space="preserve">Strategic (whole enterprise, 5+ years, executive owners). Segment (business unit / programme / capability cluster, 1–3 years, programme sponsors). Capability (single capability or solution, weeks-quarter, solution architects). The same three levels covered in Module 4 are used here to organise the Architecture Landscape section of the Repository.</w:t>
            </w:r>
          </w:p>
        </w:tc>
      </w:tr>
    </w:tbl>
    <w:p>
      <w:pPr>
        <w:pStyle w:val="Heading2"/>
        <w:spacing w:after="160" w:before="280"/>
      </w:pPr>
      <w:r>
        <w:rPr>
          <w:b/>
          <w:bCs/>
          <w:color w:val="2E75B6"/>
        </w:rPr>
        <w:t xml:space="preserve">4.3 The Three Levels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2200"/>
        <w:gridCol w:w="22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Scope</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Time Horizon</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Owner</w:t>
            </w:r>
          </w:p>
        </w:tc>
        <w:tc>
          <w:tcPr>
            <w:tcW w:type="dxa" w:w="2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Contents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Strategic</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Whole enterprise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 years</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Executive (CEO, CIO, CTO)</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Enterprise capability map, target vision, principles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Segment</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unit / programme</w:t>
            </w:r>
          </w:p>
        </w:tc>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1–3 years</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Programme sponsors, BU heads</w:t>
            </w:r>
          </w:p>
        </w:tc>
        <w:tc>
          <w:tcPr>
            <w:tcW w:type="dxa" w:w="2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ADDs, Roadmaps, Migration Plans, TAs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Single capability / solution</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Weeks to quarter</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Solution architects, engineering</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Solution designs, API contracts, ABB/SBB specs</w:t>
            </w:r>
          </w:p>
        </w:tc>
      </w:tr>
    </w:tbl>
    <w:p>
      <w:pPr>
        <w:pStyle w:val="Heading2"/>
        <w:spacing w:after="160" w:before="280"/>
      </w:pPr>
      <w:r>
        <w:rPr>
          <w:b/>
          <w:bCs/>
          <w:color w:val="2E75B6"/>
        </w:rPr>
        <w:t xml:space="preserve">4.4 Baseline, Target, and Transition Within Each Level</w:t>
      </w:r>
    </w:p>
    <w:p>
      <w:pPr>
        <w:spacing w:after="120" w:line="300"/>
        <w:jc w:val="both"/>
      </w:pPr>
      <w:r>
        <w:t xml:space="preserve">At every level, the Landscape holds three temporal states for any architecture in scope:</w:t>
      </w:r>
    </w:p>
    <w:p>
      <w:pPr>
        <w:pStyle w:val="ListParagraph"/>
        <w:numPr>
          <w:ilvl w:val="0"/>
          <w:numId w:val="2"/>
        </w:numPr>
        <w:spacing w:after="80" w:line="280"/>
      </w:pPr>
      <w:r>
        <w:t xml:space="preserve">Baseline — what the architecture looks like today (the current state).</w:t>
      </w:r>
    </w:p>
    <w:p>
      <w:pPr>
        <w:pStyle w:val="ListParagraph"/>
        <w:numPr>
          <w:ilvl w:val="0"/>
          <w:numId w:val="2"/>
        </w:numPr>
        <w:spacing w:after="80" w:line="280"/>
      </w:pPr>
      <w:r>
        <w:t xml:space="preserve">Target — what the architecture is intended to look like at a defined future point.</w:t>
      </w:r>
    </w:p>
    <w:p>
      <w:pPr>
        <w:pStyle w:val="ListParagraph"/>
        <w:numPr>
          <w:ilvl w:val="0"/>
          <w:numId w:val="2"/>
        </w:numPr>
        <w:spacing w:after="80" w:line="280"/>
      </w:pPr>
      <w:r>
        <w:t xml:space="preserve">Transition — the intermediate states between baseline and target (covered in Module 7).</w:t>
      </w:r>
    </w:p>
    <w:p>
      <w:pPr>
        <w:spacing w:after="120" w:line="300"/>
        <w:jc w:val="both"/>
      </w:pPr>
      <w:r>
        <w:t xml:space="preserve">This temporal structure cuts across all three levels. The Strategic Landscape holds baseline and target at enterprise scope; the Segment Landscape holds baseline, target, and transitions for each major programme; the Capability Landscape holds the most granular versions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The Architecture Landscape at Acme Bank</w:t>
            </w:r>
          </w:p>
          <w:p>
            <w:pPr>
              <w:spacing w:after="60" w:line="280"/>
              <w:jc w:val="both"/>
            </w:pPr>
            <w:r>
              <w:t xml:space="preserve">Strategic level: "Acme Bank Enterprise Architecture 2025" — the top-level capability map (28 Level-1 capabilities), the target architecture vision ("digital-first, cloud-native by 2030"), the 12 enterprise Architecture Principles. Reviewed by the Group Executive every two years.</w:t>
            </w:r>
          </w:p>
          <w:p>
            <w:pPr>
              <w:spacing w:after="60" w:line="280"/>
              <w:jc w:val="both"/>
            </w:pPr>
            <w:r>
              <w:t xml:space="preserve">Segment level: includes the "Digital Onboarding Modernisation Architecture Definition Document v3.0" (the ongoing example through these modules); the "Payments Platform Modernisation ADD"; the "Wealth Management Architecture". Each is a programme-level architecture covering 18–36 months. Reviewed annually by the relevant business unit's leadership.</w:t>
            </w:r>
          </w:p>
          <w:p>
            <w:pPr>
              <w:spacing w:after="60" w:line="280"/>
              <w:jc w:val="both"/>
            </w:pPr>
            <w:r>
              <w:t xml:space="preserve">Capability level: includes the "Customer Identity Verification Service" detailed solution design, the "Onboarding Orchestrator" detailed solution design, the precise API contracts and deployment specifications for each. Reviewed each sprint.</w:t>
            </w:r>
          </w:p>
          <w:p>
            <w:pPr>
              <w:spacing w:after="60" w:line="280"/>
              <w:jc w:val="both"/>
            </w:pPr>
            <w:r>
              <w:t xml:space="preserve">Each architecture has baseline, target, and transition states. The same Repository, organised by three Landscape levels, holds all three temporal versions for each. Querying the Repository by level + temporal state is how an architect retrieves the specific architecture they need.</w:t>
            </w:r>
          </w:p>
        </w:tc>
      </w:tr>
    </w:tbl>
    <w:p>
      <w:r>
        <w:br w:type="page"/>
      </w:r>
    </w:p>
    <w:p>
      <w:pPr>
        <w:pStyle w:val="Heading1"/>
        <w:spacing w:after="200" w:before="360"/>
      </w:pPr>
      <w:r>
        <w:rPr>
          <w:b/>
          <w:bCs/>
          <w:color w:val="1F4E78"/>
        </w:rPr>
        <w:t xml:space="preserve">5. Class 4 — Standards Information Base (SIB)</w:t>
      </w:r>
    </w:p>
    <w:p>
      <w:pPr>
        <w:spacing w:after="120" w:line="300"/>
        <w:jc w:val="both"/>
      </w:pPr>
      <w:r>
        <w:t xml:space="preserve">The Standards Information Base — abbreviated SIB — is the Repository class holding the standards that architectures must conform to. It is the authoritative answer to the question "what standards must we use?". As Module 6 covered, technologies are TIME-classified (Tolerate / Invest / Migrate / Eliminate); the SIB extends this discipline to standards more broadly: not just technologies, but protocols, formats, methodologies, design conventions, and any other rule that architectures and solutions must follow.</w:t>
      </w:r>
    </w:p>
    <w:p>
      <w:pPr>
        <w:pStyle w:val="Heading2"/>
        <w:spacing w:after="160" w:before="280"/>
      </w:pPr>
      <w:r>
        <w:rPr>
          <w:b/>
          <w:bCs/>
          <w:color w:val="2E75B6"/>
        </w:rPr>
        <w:t xml:space="preserve">5.1 What the SIB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Standards Information Base (SIB): </w:t>
            </w:r>
            <w:r>
              <w:t xml:space="preserve">The Repository class holding the standards that architectures, solutions, and implementations must conform to. Includes technology standards, protocol standards, data standards, security standards, methodology standards, and any other rule the enterprise has adopted. Each entry has a lifecycle state: Mandatory, Recommended, Emerging, or Deprecated. The SIB is what governance enforces against.</w:t>
            </w:r>
          </w:p>
        </w:tc>
      </w:tr>
    </w:tbl>
    <w:p>
      <w:pPr>
        <w:spacing w:after="120" w:line="300"/>
        <w:jc w:val="both"/>
      </w:pPr>
      <w:r>
        <w:t xml:space="preserve">The SIB holds standards at three broad scopes:</w:t>
      </w:r>
    </w:p>
    <w:p>
      <w:pPr>
        <w:pStyle w:val="ListParagraph"/>
        <w:numPr>
          <w:ilvl w:val="0"/>
          <w:numId w:val="2"/>
        </w:numPr>
        <w:spacing w:after="80" w:line="280"/>
      </w:pPr>
      <w:r>
        <w:t xml:space="preserve">Technology standards — approved (or banned) technologies, often classified using TIME (covered in Module 6). Examples: PostgreSQL is a strategic database; Sybase ASE is banned.</w:t>
      </w:r>
    </w:p>
    <w:p>
      <w:pPr>
        <w:pStyle w:val="ListParagraph"/>
        <w:numPr>
          <w:ilvl w:val="0"/>
          <w:numId w:val="2"/>
        </w:numPr>
        <w:spacing w:after="80" w:line="280"/>
      </w:pPr>
      <w:r>
        <w:t xml:space="preserve">Interface and data standards — approved formats, protocols, vocabularies. Examples: REST with OpenAPI 3.x for synchronous APIs; JSON-LD for linked data; ISO 8601 for date-times; ISO 4217 for currencies.</w:t>
      </w:r>
    </w:p>
    <w:p>
      <w:pPr>
        <w:pStyle w:val="ListParagraph"/>
        <w:numPr>
          <w:ilvl w:val="0"/>
          <w:numId w:val="2"/>
        </w:numPr>
        <w:spacing w:after="80" w:line="280"/>
      </w:pPr>
      <w:r>
        <w:t xml:space="preserve">Methodology and design standards — approved patterns, methodologies, conventions. Examples: the API-first principle; the event-driven default for cross-system integration; the C4 diagramming notation for solution designs.</w:t>
      </w:r>
    </w:p>
    <w:p>
      <w:pPr>
        <w:pStyle w:val="Heading2"/>
        <w:spacing w:after="160" w:before="280"/>
      </w:pPr>
      <w:r>
        <w:rPr>
          <w:b/>
          <w:bCs/>
          <w:color w:val="2E75B6"/>
        </w:rPr>
        <w:t xml:space="preserve">5.2 The Four Lifecycle States</w:t>
      </w:r>
    </w:p>
    <w:p>
      <w:pPr>
        <w:spacing w:after="120" w:line="300"/>
        <w:jc w:val="both"/>
      </w:pPr>
      <w:r>
        <w:t xml:space="preserve">Every entry in the SIB carries one of four lifecycle states. The four-state scheme is exam-tested directly: memorise the names and what each means.</w:t>
      </w:r>
    </w:p>
    <w:p>
      <w:pPr>
        <w:pStyle w:val="Heading3"/>
        <w:spacing w:after="120" w:before="220"/>
      </w:pPr>
      <w:r>
        <w:rPr>
          <w:b/>
          <w:bCs/>
          <w:color w:val="404040"/>
        </w:rPr>
        <w:t xml:space="preserve">State 1: Mandatory</w:t>
      </w:r>
    </w:p>
    <w:p>
      <w:pPr>
        <w:spacing w:after="120" w:line="300"/>
        <w:jc w:val="both"/>
      </w:pPr>
      <w:r>
        <w:t xml:space="preserve">The standard is required for compliance. New architectures and solutions must use it; existing ones must align with it. "Mandatory" entries are non-negotiable except by formal dispensation. Examples: "all customer-facing services must support TLS 1.3"; "all APIs must be documented in OpenAPI 3.x"; "all customer data must be classified in the corporate classification scheme."</w:t>
      </w:r>
    </w:p>
    <w:p>
      <w:pPr>
        <w:pStyle w:val="Heading3"/>
        <w:spacing w:after="120" w:before="220"/>
      </w:pPr>
      <w:r>
        <w:rPr>
          <w:b/>
          <w:bCs/>
          <w:color w:val="404040"/>
        </w:rPr>
        <w:t xml:space="preserve">State 2: Recommended</w:t>
      </w:r>
    </w:p>
    <w:p>
      <w:pPr>
        <w:spacing w:after="120" w:line="300"/>
        <w:jc w:val="both"/>
      </w:pPr>
      <w:r>
        <w:t xml:space="preserve">The standard is preferred. New architectures and solutions should use it where reasonable; existing ones should migrate over time. "Recommended" entries are followed by default but can be deviated from with justification (less stringent than dispensation). Examples: "use the corporate API gateway"; "adopt the standard observability stack"; "use the corporate IDP for workforce authentication."</w:t>
      </w:r>
    </w:p>
    <w:p>
      <w:pPr>
        <w:pStyle w:val="Heading3"/>
        <w:spacing w:after="120" w:before="220"/>
      </w:pPr>
      <w:r>
        <w:rPr>
          <w:b/>
          <w:bCs/>
          <w:color w:val="404040"/>
        </w:rPr>
        <w:t xml:space="preserve">State 3: Emerging</w:t>
      </w:r>
    </w:p>
    <w:p>
      <w:pPr>
        <w:spacing w:after="120" w:line="300"/>
        <w:jc w:val="both"/>
      </w:pPr>
      <w:r>
        <w:t xml:space="preserve">The standard is being adopted but is not yet ready to be enforced. Architectures may pilot it; lessons feed into a decision to elevate to Recommended or Mandatory. Examples: "WebAssembly for edge compute" (in early adoption); "GraphQL Federation v2" (under evaluation); "a new MFA factor pattern in pilot."</w:t>
      </w:r>
    </w:p>
    <w:p>
      <w:pPr>
        <w:pStyle w:val="Heading3"/>
        <w:spacing w:after="120" w:before="220"/>
      </w:pPr>
      <w:r>
        <w:rPr>
          <w:b/>
          <w:bCs/>
          <w:color w:val="404040"/>
        </w:rPr>
        <w:t xml:space="preserve">State 4: Deprecated</w:t>
      </w:r>
    </w:p>
    <w:p>
      <w:pPr>
        <w:spacing w:after="120" w:line="300"/>
        <w:jc w:val="both"/>
      </w:pPr>
      <w:r>
        <w:t xml:space="preserve">The standard was previously approved but is being phased out. New architectures must NOT adopt it; existing usage must migrate within a defined window. "Deprecated" entries typically have an end-of-life date. Examples: "SOAP web services — no new instances; existing instances to migrate by 2027"; "Internet Explorer support — no new development"; "SHA-1 hashing — banned for new systems, existing migrating."</w:t>
      </w:r>
    </w:p>
    <w:p>
      <w:pPr>
        <w:pStyle w:val="Heading2"/>
        <w:spacing w:after="160" w:before="280"/>
      </w:pPr>
      <w:r>
        <w:rPr>
          <w:b/>
          <w:bCs/>
          <w:color w:val="2E75B6"/>
        </w:rPr>
        <w:t xml:space="preserve">5.3 The Four States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4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State</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Means</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New Use</w:t>
            </w:r>
          </w:p>
        </w:tc>
        <w:tc>
          <w:tcPr>
            <w:tcW w:type="dxa" w:w="2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Existing Use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Mandatory</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Required — non-negotiable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Must use</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Must comply (dispensation if not)</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Recommended</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Preferred default</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Should use unless justified</w:t>
            </w:r>
          </w:p>
        </w:tc>
        <w:tc>
          <w:tcPr>
            <w:tcW w:type="dxa" w:w="2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Should migrate over time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Emerging</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Being adopted; not yet enforced</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May pilot</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Not yet relevant</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Deprecated</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Phasing out</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Must NOT use</w:t>
            </w:r>
          </w:p>
        </w:tc>
        <w:tc>
          <w:tcPr>
            <w:tcW w:type="dxa" w:w="2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Must migrate by stated date</w:t>
            </w:r>
          </w:p>
        </w:tc>
      </w:tr>
    </w:tbl>
    <w:p>
      <w:pPr>
        <w:pStyle w:val="Heading2"/>
        <w:spacing w:after="160" w:before="280"/>
      </w:pPr>
      <w:r>
        <w:rPr>
          <w:b/>
          <w:bCs/>
          <w:color w:val="2E75B6"/>
        </w:rPr>
        <w:t xml:space="preserve">5.4 The SIB and Compliance Reviews</w:t>
      </w:r>
    </w:p>
    <w:p>
      <w:pPr>
        <w:spacing w:after="120" w:line="300"/>
        <w:jc w:val="both"/>
      </w:pPr>
      <w:r>
        <w:t xml:space="preserve">The SIB is the principal reference for Architecture Compliance Reviews (covered in Module 8). When a project is reviewed, the question is: does it conform to the standards in the SIB? The SIB's lifecycle states map directly to compliance outcomes:</w:t>
      </w:r>
    </w:p>
    <w:p>
      <w:pPr>
        <w:pStyle w:val="ListParagraph"/>
        <w:numPr>
          <w:ilvl w:val="0"/>
          <w:numId w:val="2"/>
        </w:numPr>
        <w:spacing w:after="80" w:line="280"/>
      </w:pPr>
      <w:r>
        <w:t xml:space="preserve">Conforming to all Mandatory entries → potential Conformant or Fully Conformant.</w:t>
      </w:r>
    </w:p>
    <w:p>
      <w:pPr>
        <w:pStyle w:val="ListParagraph"/>
        <w:numPr>
          <w:ilvl w:val="0"/>
          <w:numId w:val="2"/>
        </w:numPr>
        <w:spacing w:after="80" w:line="280"/>
      </w:pPr>
      <w:r>
        <w:t xml:space="preserve">Conforming to most Mandatory and Recommended entries → potential Compliant.</w:t>
      </w:r>
    </w:p>
    <w:p>
      <w:pPr>
        <w:pStyle w:val="ListParagraph"/>
        <w:numPr>
          <w:ilvl w:val="0"/>
          <w:numId w:val="2"/>
        </w:numPr>
        <w:spacing w:after="80" w:line="280"/>
      </w:pPr>
      <w:r>
        <w:t xml:space="preserve">Failing to conform to a Mandatory entry → Non-Conformant unless dispensed.</w:t>
      </w:r>
    </w:p>
    <w:p>
      <w:pPr>
        <w:pStyle w:val="ListParagraph"/>
        <w:numPr>
          <w:ilvl w:val="0"/>
          <w:numId w:val="2"/>
        </w:numPr>
        <w:spacing w:after="80" w:line="280"/>
      </w:pPr>
      <w:r>
        <w:t xml:space="preserve">Using a Deprecated entry in new development → Non-Conformant; remediation required.</w:t>
      </w:r>
    </w:p>
    <w:p>
      <w:pPr>
        <w:pStyle w:val="ListParagraph"/>
        <w:numPr>
          <w:ilvl w:val="0"/>
          <w:numId w:val="2"/>
        </w:numPr>
        <w:spacing w:after="80" w:line="280"/>
      </w:pPr>
      <w:r>
        <w:t xml:space="preserve">Piloting an Emerging entry → noted; outcome contributes to whether the standard is elevated.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SIB Entry With Lifecycle Transitions</w:t>
            </w:r>
          </w:p>
          <w:p>
            <w:pPr>
              <w:spacing w:after="60" w:line="280"/>
              <w:jc w:val="both"/>
            </w:pPr>
            <w:r>
              <w:t xml:space="preserve">Standard: TLS for transport encryption.</w:t>
            </w:r>
          </w:p>
          <w:p>
            <w:pPr>
              <w:spacing w:after="60" w:line="280"/>
              <w:jc w:val="both"/>
            </w:pPr>
            <w:r>
              <w:t xml:space="preserve">Initial entry (2018): TLS 1.2 — Mandatory for all customer-facing services. TLS 1.0 and 1.1 — Deprecated, migration required by 2019. SSLv3 — Banned (Deprecated with immediate removal).</w:t>
            </w:r>
          </w:p>
          <w:p>
            <w:pPr>
              <w:spacing w:after="60" w:line="280"/>
              <w:jc w:val="both"/>
            </w:pPr>
            <w:r>
              <w:t xml:space="preserve">Update (2021): TLS 1.3 — Recommended (encouraged for new services). TLS 1.2 — Mandatory (still the floor). TLS 1.1 and below — Deprecated.</w:t>
            </w:r>
          </w:p>
          <w:p>
            <w:pPr>
              <w:spacing w:after="60" w:line="280"/>
              <w:jc w:val="both"/>
            </w:pPr>
            <w:r>
              <w:t xml:space="preserve">Update (2024): TLS 1.3 — Mandatory (new floor). TLS 1.2 — Recommended (acceptable but not preferred). TLS 1.1 and below — Banned for any use.</w:t>
            </w:r>
          </w:p>
          <w:p>
            <w:pPr>
              <w:spacing w:after="60" w:line="280"/>
              <w:jc w:val="both"/>
            </w:pPr>
            <w:r>
              <w:t xml:space="preserve">Update (2026): post-quantum-ready TLS extensions — Emerging (under pilot for highest-risk services).</w:t>
            </w:r>
          </w:p>
          <w:p>
            <w:pPr>
              <w:spacing w:after="60" w:line="280"/>
              <w:jc w:val="both"/>
            </w:pPr>
            <w:r>
              <w:t xml:space="preserve">The same standard moves through the lifecycle as the technology landscape evolves. Each transition is recorded in the SIB; each transition shapes Compliance Review outcomes; new development is always evaluated against the current state of the SIB.</w:t>
            </w:r>
          </w:p>
        </w:tc>
      </w:tr>
    </w:tbl>
    <w:p>
      <w:r>
        <w:br w:type="page"/>
      </w:r>
    </w:p>
    <w:p>
      <w:pPr>
        <w:pStyle w:val="Heading1"/>
        <w:spacing w:after="200" w:before="360"/>
      </w:pPr>
      <w:r>
        <w:rPr>
          <w:b/>
          <w:bCs/>
          <w:color w:val="1F4E78"/>
        </w:rPr>
        <w:t xml:space="preserve">6. Class 5 — Reference Library</w:t>
      </w:r>
    </w:p>
    <w:p>
      <w:pPr>
        <w:spacing w:after="120" w:line="300"/>
        <w:jc w:val="both"/>
      </w:pPr>
      <w:r>
        <w:t xml:space="preserve">The Reference Library is the Repository class holding generic and industry-specific reference materials that architects use as starting points and templates. Where the SIB tells architects what standards to use, the Reference Library tells them how to design typical solutions. This is the most-confused pairing in the entire Repository — they sound similar, they overlap conceptually, and the exam tests the distinction directly. Section 8 of this module addresses the SIB-vs-Reference-Library distinction explicitly; this section covers what the Reference Library itself holds.</w:t>
      </w:r>
    </w:p>
    <w:p>
      <w:pPr>
        <w:pStyle w:val="Heading2"/>
        <w:spacing w:after="160" w:before="280"/>
      </w:pPr>
      <w:r>
        <w:rPr>
          <w:b/>
          <w:bCs/>
          <w:color w:val="2E75B6"/>
        </w:rPr>
        <w:t xml:space="preserve">6.1 What the Reference Library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Reference Library (Repository Class): </w:t>
            </w:r>
            <w:r>
              <w:t xml:space="preserve">The Repository class holding generic and industry-specific reference materials: guidelines, templates, patterns, and viewpoints. Architects consult the Reference Library to find proven design starting points. Distinct from the SIB (which holds standards / what to use); the Reference Library holds patterns / how to design.</w:t>
            </w:r>
          </w:p>
        </w:tc>
      </w:tr>
    </w:tbl>
    <w:p>
      <w:pPr>
        <w:pStyle w:val="Heading2"/>
        <w:spacing w:after="160" w:before="280"/>
      </w:pPr>
      <w:r>
        <w:rPr>
          <w:b/>
          <w:bCs/>
          <w:color w:val="2E75B6"/>
        </w:rPr>
        <w:t xml:space="preserve">6.2 The Four Categories of Reference Library Content</w:t>
      </w:r>
    </w:p>
    <w:p>
      <w:pPr>
        <w:spacing w:after="120" w:line="300"/>
        <w:jc w:val="both"/>
      </w:pPr>
      <w:r>
        <w:t xml:space="preserve">The Reference Library is conventionally organised into four categories of reference content:</w:t>
      </w:r>
    </w:p>
    <w:p>
      <w:pPr>
        <w:pStyle w:val="Heading3"/>
        <w:spacing w:after="120" w:before="220"/>
      </w:pPr>
      <w:r>
        <w:rPr>
          <w:b/>
          <w:bCs/>
          <w:color w:val="404040"/>
        </w:rPr>
        <w:t xml:space="preserve">Category 1: Guidelines</w:t>
      </w:r>
    </w:p>
    <w:p>
      <w:pPr>
        <w:spacing w:after="120" w:line="300"/>
        <w:jc w:val="both"/>
      </w:pPr>
      <w:r>
        <w:t xml:space="preserve">Documents giving architects guidance on how to approach particular kinds of architecture problem. Guidelines are textual, narrative, advisory. Examples: "Guidelines for designing a customer-facing identity service"; "Guidelines for cloud landing zone setup"; "Guidelines for handling personal data under GDPR"; "Guidelines for Agile-aligned architecture engagement." Guidelines are typically multi-page, written by experienced practitioners, and represent accumulated good practice rather than enforceable rules.</w:t>
      </w:r>
    </w:p>
    <w:p>
      <w:pPr>
        <w:pStyle w:val="Heading3"/>
        <w:spacing w:after="120" w:before="220"/>
      </w:pPr>
      <w:r>
        <w:rPr>
          <w:b/>
          <w:bCs/>
          <w:color w:val="404040"/>
        </w:rPr>
        <w:t xml:space="preserve">Category 2: Templates</w:t>
      </w:r>
    </w:p>
    <w:p>
      <w:pPr>
        <w:spacing w:after="120" w:line="300"/>
        <w:jc w:val="both"/>
      </w:pPr>
      <w:r>
        <w:t xml:space="preserve">Reusable starting points for the artefacts produced by phase activities. Where Guidelines tell you how to think about a problem, Templates give you a structured form to fill in. Examples: "Statement of Architecture Work template"; "Architecture Definition Document template"; "Architecture Compliance Review template"; "Architecture Vision document template"; "Capability Map workshop template." Templates ensure that artefacts have consistent structure across engagements and that architects do not start from blank pages.</w:t>
      </w:r>
    </w:p>
    <w:p>
      <w:pPr>
        <w:pStyle w:val="Heading3"/>
        <w:spacing w:after="120" w:before="220"/>
      </w:pPr>
      <w:r>
        <w:rPr>
          <w:b/>
          <w:bCs/>
          <w:color w:val="404040"/>
        </w:rPr>
        <w:t xml:space="preserve">Category 3: Patterns</w:t>
      </w:r>
    </w:p>
    <w:p>
      <w:pPr>
        <w:spacing w:after="120" w:line="300"/>
        <w:jc w:val="both"/>
      </w:pPr>
      <w:r>
        <w:t xml:space="preserve">Reusable architectural designs that solve recurring problems. Patterns are more concrete than Guidelines — they specify a particular shape of solution — but more abstract than fully-fledged ABBs. Examples: "three-tier web application pattern"; "event-driven integration pattern"; "CQRS pattern"; "saga pattern for distributed transactions"; "backend-for-frontend pattern"; "API gateway pattern." Patterns may come from Foundation or Common Systems levels of the Continuum (e.g., Gang of Four design patterns adapted to architecture; Microsoft / AWS / Google reference architectures).</w:t>
      </w:r>
    </w:p>
    <w:p>
      <w:pPr>
        <w:pStyle w:val="Heading3"/>
        <w:spacing w:after="120" w:before="220"/>
      </w:pPr>
      <w:r>
        <w:rPr>
          <w:b/>
          <w:bCs/>
          <w:color w:val="404040"/>
        </w:rPr>
        <w:t xml:space="preserve">Category 4: Viewpoints</w:t>
      </w:r>
    </w:p>
    <w:p>
      <w:pPr>
        <w:spacing w:after="120" w:line="300"/>
        <w:jc w:val="both"/>
      </w:pPr>
      <w:r>
        <w:t xml:space="preserve">As covered extensively in Module 3, viewpoints are reusable templates for constructing views — they specify the elements, relationships, notation, and concerns addressed by a particular kind of view. The Reference Library holds the enterprise's viewpoint catalogue: the Application Communication viewpoint, the Capability/Value Stream viewpoint, the Data Lifecycle viewpoint, the Network Topology viewpoint, the Stakeholder/Concern viewpoint. When an architect needs to produce a view in any phase, they reach into the Reference Library for the matching viewpoint.</w:t>
      </w:r>
    </w:p>
    <w:p>
      <w:pPr>
        <w:pStyle w:val="Heading2"/>
        <w:spacing w:after="160" w:before="280"/>
      </w:pPr>
      <w:r>
        <w:rPr>
          <w:b/>
          <w:bCs/>
          <w:color w:val="2E75B6"/>
        </w:rPr>
        <w:t xml:space="preserve">6.3 The Four Categories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00"/>
        <w:gridCol w:w="24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Category</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Form</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Use</w:t>
            </w:r>
          </w:p>
        </w:tc>
        <w:tc>
          <w:tcPr>
            <w:tcW w:type="dxa" w:w="2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Guidelines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Narrative documents</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How to think about a kind of problem</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GDPR personal data handling guidelines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Templates</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Structured forms to fill in</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Consistent starting point for an artefact</w:t>
            </w:r>
          </w:p>
        </w:tc>
        <w:tc>
          <w:tcPr>
            <w:tcW w:type="dxa" w:w="2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Definition Document template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Patterns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Reusable architectural designs</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Proven shape for a recurring problem</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Event-driven integration pattern</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Viewpoints</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Templates for view construction</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Consistent way to depict architecture for a stakeholder</w:t>
            </w:r>
          </w:p>
        </w:tc>
        <w:tc>
          <w:tcPr>
            <w:tcW w:type="dxa" w:w="2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Communication viewpoint</w:t>
            </w:r>
          </w:p>
        </w:tc>
      </w:tr>
    </w:tbl>
    <w:p>
      <w:pPr>
        <w:pStyle w:val="Heading2"/>
        <w:spacing w:after="160" w:before="280"/>
      </w:pPr>
      <w:r>
        <w:rPr>
          <w:b/>
          <w:bCs/>
          <w:color w:val="2E75B6"/>
        </w:rPr>
        <w:t xml:space="preserve">6.4 Sources of Reference Library Content</w:t>
      </w:r>
    </w:p>
    <w:p>
      <w:pPr>
        <w:spacing w:after="120" w:line="300"/>
        <w:jc w:val="both"/>
      </w:pPr>
      <w:r>
        <w:t xml:space="preserve">Reference Library content is sourced from many places, in approximately decreasing order of frequency:</w:t>
      </w:r>
    </w:p>
    <w:p>
      <w:pPr>
        <w:pStyle w:val="ListParagraph"/>
        <w:numPr>
          <w:ilvl w:val="0"/>
          <w:numId w:val="2"/>
        </w:numPr>
        <w:spacing w:after="80" w:line="280"/>
      </w:pPr>
      <w:r>
        <w:t xml:space="preserve">Industry consortia — BIAN, TM Forum, HL7, OAGi, ARTS, etc.</w:t>
      </w:r>
    </w:p>
    <w:p>
      <w:pPr>
        <w:pStyle w:val="ListParagraph"/>
        <w:numPr>
          <w:ilvl w:val="0"/>
          <w:numId w:val="2"/>
        </w:numPr>
        <w:spacing w:after="80" w:line="280"/>
      </w:pPr>
      <w:r>
        <w:t xml:space="preserve">Reference architectures from technology vendors — AWS Well-Architected, Microsoft Azure Architecture Center, Google Cloud Architecture Framework.</w:t>
      </w:r>
    </w:p>
    <w:p>
      <w:pPr>
        <w:pStyle w:val="ListParagraph"/>
        <w:numPr>
          <w:ilvl w:val="0"/>
          <w:numId w:val="2"/>
        </w:numPr>
        <w:spacing w:after="80" w:line="280"/>
      </w:pPr>
      <w:r>
        <w:t xml:space="preserve">Standards bodies — The Open Group, ISO, IEEE, OMG, W3C.</w:t>
      </w:r>
    </w:p>
    <w:p>
      <w:pPr>
        <w:pStyle w:val="ListParagraph"/>
        <w:numPr>
          <w:ilvl w:val="0"/>
          <w:numId w:val="2"/>
        </w:numPr>
        <w:spacing w:after="80" w:line="280"/>
      </w:pPr>
      <w:r>
        <w:t xml:space="preserve">Open-source pattern catalogues — Gang of Four, Martin Fowler's catalogues, Cloud Design Patterns books.</w:t>
      </w:r>
    </w:p>
    <w:p>
      <w:pPr>
        <w:pStyle w:val="ListParagraph"/>
        <w:numPr>
          <w:ilvl w:val="0"/>
          <w:numId w:val="2"/>
        </w:numPr>
        <w:spacing w:after="80" w:line="280"/>
      </w:pPr>
      <w:r>
        <w:t xml:space="preserve">Internal practice — patterns that the architecture function has produced and validated within the enterprise.</w:t>
      </w:r>
    </w:p>
    <w:p>
      <w:pPr>
        <w:pStyle w:val="ListParagraph"/>
        <w:numPr>
          <w:ilvl w:val="0"/>
          <w:numId w:val="2"/>
        </w:numPr>
        <w:spacing w:after="80" w:line="280"/>
      </w:pPr>
      <w:r>
        <w:t xml:space="preserve">Generalised content from previous Organization-Specific work (the generalise direction in the Continuum, covered in Module 10).</w:t>
      </w:r>
    </w:p>
    <w:p>
      <w:pPr>
        <w:pStyle w:val="Heading2"/>
        <w:spacing w:after="160" w:before="280"/>
      </w:pPr>
      <w:r>
        <w:rPr>
          <w:b/>
          <w:bCs/>
          <w:color w:val="2E75B6"/>
        </w:rPr>
        <w:t xml:space="preserve">6.5 The Reference Library and the Continuum</w:t>
      </w:r>
    </w:p>
    <w:p>
      <w:pPr>
        <w:spacing w:after="120" w:line="300"/>
        <w:jc w:val="both"/>
      </w:pPr>
      <w:r>
        <w:t xml:space="preserve">The Reference Library is closely connected to the Enterprise Continuum (Module 10). Foundation- and Common-Systems-level patterns are typical Reference Library content; Industry-level patterns sit in the Reference Library when the enterprise has adopted them; Organization-Specific patterns enter the Reference Library when they have proved reusable internally. The Continuum classifies patterns by level; the Reference Library is where the patterns themselves are stored and retrieved.</w:t>
      </w:r>
    </w:p>
    <w:p>
      <w:r>
        <w:br w:type="page"/>
      </w:r>
    </w:p>
    <w:p>
      <w:pPr>
        <w:pStyle w:val="Heading1"/>
        <w:spacing w:after="200" w:before="360"/>
      </w:pPr>
      <w:r>
        <w:rPr>
          <w:b/>
          <w:bCs/>
          <w:color w:val="1F4E78"/>
        </w:rPr>
        <w:t xml:space="preserve">7. Class 6 — Governance Log</w:t>
      </w:r>
    </w:p>
    <w:p>
      <w:pPr>
        <w:spacing w:after="120" w:line="300"/>
        <w:jc w:val="both"/>
      </w:pPr>
      <w:r>
        <w:t xml:space="preserve">The Governance Log is the Repository class holding the records of what the architecture governance machinery has decided. It is the audit trail of the architecture function — the durable, queryable record of every decision, review, dispensation, contract, waiver, and change request that has flowed through the Architecture Board and its delegated authorities. Without a Governance Log, governance becomes oral tradition, which is to say, ungovernable.</w:t>
      </w:r>
    </w:p>
    <w:p>
      <w:pPr>
        <w:pStyle w:val="Heading2"/>
        <w:spacing w:after="160" w:before="280"/>
      </w:pPr>
      <w:r>
        <w:rPr>
          <w:b/>
          <w:bCs/>
          <w:color w:val="2E75B6"/>
        </w:rPr>
        <w:t xml:space="preserve">7.1 What the Governance Log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Governance Log (Repository Class): </w:t>
            </w:r>
            <w:r>
              <w:t xml:space="preserve">The Repository class holding the records of architecture governance activity: decisions, compliance review outcomes, dispensations, architecture contracts, waivers, and change requests. The audit trail of the architecture function; the basis for traceability, defensibility, and continuity of governance over time.</w:t>
            </w:r>
          </w:p>
        </w:tc>
      </w:tr>
    </w:tbl>
    <w:p>
      <w:pPr>
        <w:pStyle w:val="Heading2"/>
        <w:spacing w:after="160" w:before="280"/>
      </w:pPr>
      <w:r>
        <w:rPr>
          <w:b/>
          <w:bCs/>
          <w:color w:val="2E75B6"/>
        </w:rPr>
        <w:t xml:space="preserve">7.2 The Six Categories of Governance Log Content</w:t>
      </w:r>
    </w:p>
    <w:p>
      <w:pPr>
        <w:spacing w:after="120" w:line="300"/>
        <w:jc w:val="both"/>
      </w:pPr>
      <w:r>
        <w:t xml:space="preserve">The Governance Log is structured into six standard categories of record. Each is a kind of governance event with its own format and metadata.</w:t>
      </w:r>
    </w:p>
    <w:p>
      <w:pPr>
        <w:pStyle w:val="Heading3"/>
        <w:spacing w:after="120" w:before="220"/>
      </w:pPr>
      <w:r>
        <w:rPr>
          <w:b/>
          <w:bCs/>
          <w:color w:val="404040"/>
        </w:rPr>
        <w:t xml:space="preserve">Category 1: Decisions</w:t>
      </w:r>
    </w:p>
    <w:p>
      <w:pPr>
        <w:spacing w:after="120" w:line="300"/>
        <w:jc w:val="both"/>
      </w:pPr>
      <w:r>
        <w:t xml:space="preserve">Architecture decisions taken by the Architecture Board or its delegated authorities, recorded with rationale. Examples: "Decision to adopt Kafka as the strategic event-streaming platform"; "Decision to retire legacy fraud system 1"; "Decision to mandate API-first integration." Each entry typically includes: decision number, date, decision-makers, options considered, choice made, rationale, expected impact, and review date.</w:t>
      </w:r>
    </w:p>
    <w:p>
      <w:pPr>
        <w:pStyle w:val="Heading3"/>
        <w:spacing w:after="120" w:before="220"/>
      </w:pPr>
      <w:r>
        <w:rPr>
          <w:b/>
          <w:bCs/>
          <w:color w:val="404040"/>
        </w:rPr>
        <w:t xml:space="preserve">Category 2: Compliance Review Outcomes</w:t>
      </w:r>
    </w:p>
    <w:p>
      <w:pPr>
        <w:spacing w:after="120" w:line="300"/>
        <w:jc w:val="both"/>
      </w:pPr>
      <w:r>
        <w:t xml:space="preserve">The outcomes of every Architecture Compliance Review (covered in Module 8). Each entry records: project name, review date, reviewer panel, scope of review, compliance level outcome (Irrelevant / Consistent / Compliant / Conformant / Fully Conformant / Non-Conformant), specific findings, and any required actions.</w:t>
      </w:r>
    </w:p>
    <w:p>
      <w:pPr>
        <w:pStyle w:val="Heading3"/>
        <w:spacing w:after="120" w:before="220"/>
      </w:pPr>
      <w:r>
        <w:rPr>
          <w:b/>
          <w:bCs/>
          <w:color w:val="404040"/>
        </w:rPr>
        <w:t xml:space="preserve">Category 3: Dispensations</w:t>
      </w:r>
    </w:p>
    <w:p>
      <w:pPr>
        <w:spacing w:after="120" w:line="300"/>
        <w:jc w:val="both"/>
      </w:pPr>
      <w:r>
        <w:t xml:space="preserve">Every dispensation issued (covered in Module 8): formal time-bounded permissions for projects to deviate from the architecture. Each entry holds the dispensation reference, the architecture element being deviated from, the nature and justification of the deviation, the conditions, the named remediation owner, the remediation plan, and the explicit expiry date. Dispensations are reviewed at every Architecture Board meeting until expiry.</w:t>
      </w:r>
    </w:p>
    <w:p>
      <w:pPr>
        <w:pStyle w:val="Heading3"/>
        <w:spacing w:after="120" w:before="220"/>
      </w:pPr>
      <w:r>
        <w:rPr>
          <w:b/>
          <w:bCs/>
          <w:color w:val="404040"/>
        </w:rPr>
        <w:t xml:space="preserve">Category 4: Architecture Contracts</w:t>
      </w:r>
    </w:p>
    <w:p>
      <w:pPr>
        <w:spacing w:after="120" w:line="300"/>
        <w:jc w:val="both"/>
      </w:pPr>
      <w:r>
        <w:t xml:space="preserve">Signed Architecture Contracts (covered in Module 8) between the architecture function and implementation projects. Each entry records: project name, parties, baseline (which version of the ADD/Requirements Specification the project is building to), conformance expected, support obligations, change control, acceptance criteria, signatures, dates.</w:t>
      </w:r>
    </w:p>
    <w:p>
      <w:pPr>
        <w:pStyle w:val="Heading3"/>
        <w:spacing w:after="120" w:before="220"/>
      </w:pPr>
      <w:r>
        <w:rPr>
          <w:b/>
          <w:bCs/>
          <w:color w:val="404040"/>
        </w:rPr>
        <w:t xml:space="preserve">Category 5: Waivers</w:t>
      </w:r>
    </w:p>
    <w:p>
      <w:pPr>
        <w:spacing w:after="120" w:line="300"/>
        <w:jc w:val="both"/>
      </w:pPr>
      <w:r>
        <w:t xml:space="preserve">Formal waivers — broader than dispensations — that exempt particular work from specified governance steps or compliance requirements. Where a dispensation is a permitted deviation from a specific architecture element, a waiver is a permitted exemption from a process or rule (e.g., "this emergency security patch is waived from the standard 4-week pre-implementation Compliance Review process"). Waivers, like dispensations, are formal, time-bounded, and named.</w:t>
      </w:r>
    </w:p>
    <w:p>
      <w:pPr>
        <w:pStyle w:val="Heading3"/>
        <w:spacing w:after="120" w:before="220"/>
      </w:pPr>
      <w:r>
        <w:rPr>
          <w:b/>
          <w:bCs/>
          <w:color w:val="404040"/>
        </w:rPr>
        <w:t xml:space="preserve">Category 6: Change Requests</w:t>
      </w:r>
    </w:p>
    <w:p>
      <w:pPr>
        <w:spacing w:after="120" w:line="300"/>
        <w:jc w:val="both"/>
      </w:pPr>
      <w:r>
        <w:t xml:space="preserve">Architecture change requests, with their disposition: how each was classified (Simplification, Incremental, Re-architecting per Module 8), what action was taken, what the outcome was. Change Requests are the input to Phase H change management; their record in the Governance Log is what allows the architecture practice to learn from the pattern of changes over time (e.g., "60% of changes have been Simplification — does this mean our architecture is well-defined, or under-specified for the change rate?").</w:t>
      </w:r>
    </w:p>
    <w:p>
      <w:pPr>
        <w:pStyle w:val="Heading2"/>
        <w:spacing w:after="160" w:before="280"/>
      </w:pPr>
      <w:r>
        <w:rPr>
          <w:b/>
          <w:bCs/>
          <w:color w:val="2E75B6"/>
        </w:rPr>
        <w:t xml:space="preserve">7.3 The Six Categories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Category</w:t>
            </w:r>
          </w:p>
        </w:tc>
        <w:tc>
          <w:tcPr>
            <w:tcW w:type="dxa" w:w="4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Records</w:t>
            </w:r>
          </w:p>
        </w:tc>
        <w:tc>
          <w:tcPr>
            <w:tcW w:type="dxa" w:w="2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Source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Decisions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decisions with rationale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Board</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Compliance Review Outcomes</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Outcomes of formal Compliance Reviews</w:t>
            </w:r>
          </w:p>
        </w:tc>
        <w:tc>
          <w:tcPr>
            <w:tcW w:type="dxa" w:w="2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Reviewer panels under the Board</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Dispensations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Time-bounded permissions to deviate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Board (or delegated authority)</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Contracts</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Signed agreements with delivery teams</w:t>
            </w:r>
          </w:p>
        </w:tc>
        <w:tc>
          <w:tcPr>
            <w:tcW w:type="dxa" w:w="2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function and project</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Waivers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Exemptions from process or rule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Board (or delegated authority)</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Change Requests</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Change requests and dispositions</w:t>
            </w:r>
          </w:p>
        </w:tc>
        <w:tc>
          <w:tcPr>
            <w:tcW w:type="dxa" w:w="2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H / change management</w:t>
            </w:r>
          </w:p>
        </w:tc>
      </w:tr>
    </w:tbl>
    <w:p>
      <w:pPr>
        <w:pStyle w:val="Heading2"/>
        <w:spacing w:after="160" w:before="280"/>
      </w:pPr>
      <w:r>
        <w:rPr>
          <w:b/>
          <w:bCs/>
          <w:color w:val="2E75B6"/>
        </w:rPr>
        <w:t xml:space="preserve">7.4 Why the Governance Log Matters</w:t>
      </w:r>
    </w:p>
    <w:p>
      <w:pPr>
        <w:spacing w:after="120" w:line="300"/>
        <w:jc w:val="both"/>
      </w:pPr>
      <w:r>
        <w:t xml:space="preserve">Three reasons the Governance Log is one of the most consequential parts of the Repository:</w:t>
      </w:r>
    </w:p>
    <w:p>
      <w:pPr>
        <w:pStyle w:val="ListParagraph"/>
        <w:numPr>
          <w:ilvl w:val="0"/>
          <w:numId w:val="3"/>
        </w:numPr>
        <w:spacing w:after="80" w:line="280"/>
      </w:pPr>
      <w:r>
        <w:t xml:space="preserve">Defensibility. When a decision is questioned years later, the Governance Log is the basis for demonstrating that the decision was made deliberately, by the right authorities, with the right considerations, at a specific time. Without it, every old decision becomes a controversy.</w:t>
      </w:r>
    </w:p>
    <w:p>
      <w:pPr>
        <w:pStyle w:val="ListParagraph"/>
        <w:numPr>
          <w:ilvl w:val="0"/>
          <w:numId w:val="3"/>
        </w:numPr>
        <w:spacing w:after="80" w:line="280"/>
      </w:pPr>
      <w:r>
        <w:t xml:space="preserve">Traceability. Together with the Repository's other classes, the Governance Log allows any architectural state to be traced to the decisions that produced it. Why does this Application use that Technology? Trace via the Architecture Contract that authorised the project; the Compliance Review that approved the design; the Decision that mandated the Technology. Each step is in the Governance Log.</w:t>
      </w:r>
    </w:p>
    <w:p>
      <w:pPr>
        <w:pStyle w:val="ListParagraph"/>
        <w:numPr>
          <w:ilvl w:val="0"/>
          <w:numId w:val="3"/>
        </w:numPr>
        <w:spacing w:after="80" w:line="280"/>
      </w:pPr>
      <w:r>
        <w:t xml:space="preserve">Continuity across personnel. Architecture functions experience high turnover at architect level. A new architect joining the practice can read the Governance Log to understand why the architecture is the way it is — far more efficiently than reverse-engineering from the artefacts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Governance Log in Practice</w:t>
            </w:r>
          </w:p>
          <w:p>
            <w:pPr>
              <w:spacing w:after="60" w:line="280"/>
              <w:jc w:val="both"/>
            </w:pPr>
            <w:r>
              <w:t xml:space="preserve">Acme Bank Governance Log entries from a single quarter:</w:t>
            </w:r>
          </w:p>
          <w:p>
            <w:pPr>
              <w:spacing w:after="60" w:line="280"/>
              <w:jc w:val="both"/>
            </w:pPr>
            <w:r>
              <w:t xml:space="preserve">DEC-2025-008 (Decision): "Adopt Snowflake as the strategic data warehouse platform". Rationale, alternatives considered, expected savings, transition plan. Approved by the Architecture Board on 12 March 2025.</w:t>
            </w:r>
          </w:p>
          <w:p>
            <w:pPr>
              <w:spacing w:after="60" w:line="280"/>
              <w:jc w:val="both"/>
            </w:pPr>
            <w:r>
              <w:t xml:space="preserve">REV-2025-042 (Compliance Review): "Onboarding Orchestrator Solution Design Review — Conformant. Findings: minor gaps in observability instrumentation; remediation tracked." Reviewed 28 March 2025.</w:t>
            </w:r>
          </w:p>
          <w:p>
            <w:pPr>
              <w:spacing w:after="60" w:line="280"/>
              <w:jc w:val="both"/>
            </w:pPr>
            <w:r>
              <w:t xml:space="preserve">DISP-2025-014 (Dispensation): "Customer Analytics Tool — permitted to use Sybase ASE component until vendor v9 release. Owner: J. Watson. Expiry: 30 September 2026." Approved 15 March 2025.</w:t>
            </w:r>
          </w:p>
          <w:p>
            <w:pPr>
              <w:spacing w:after="60" w:line="280"/>
              <w:jc w:val="both"/>
            </w:pPr>
            <w:r>
              <w:t xml:space="preserve">CTR-2025-033 (Architecture Contract): signed with the Identity Service project (WP-001) on 1 April 2025; baseline ADD v2.3, AR-101 to AR-107.</w:t>
            </w:r>
          </w:p>
          <w:p>
            <w:pPr>
              <w:spacing w:after="60" w:line="280"/>
              <w:jc w:val="both"/>
            </w:pPr>
            <w:r>
              <w:t xml:space="preserve">WVR-2025-007 (Waiver): "Emergency security patch CVE-2025-1234 — waived from standard 4-week pre-implementation Compliance Review; expedited 24-hour review applied." Approved 18 March 2025; expired (single-use waiver).</w:t>
            </w:r>
          </w:p>
          <w:p>
            <w:pPr>
              <w:spacing w:after="60" w:line="280"/>
              <w:jc w:val="both"/>
            </w:pPr>
            <w:r>
              <w:t xml:space="preserve">CHG-2025-061 (Change Request): EU AI Act regulatory change — classified as Re-architecting (per the Module 8 Impact Assessment example). New Phase A initiated.</w:t>
            </w:r>
          </w:p>
          <w:p>
            <w:pPr>
              <w:spacing w:after="60" w:line="280"/>
              <w:jc w:val="both"/>
            </w:pPr>
            <w:r>
              <w:t xml:space="preserve">Six entries from one quarter; multiplied across the year and the whole architecture function, the Governance Log becomes the durable record of the architecture function's operation.</w:t>
            </w:r>
          </w:p>
        </w:tc>
      </w:tr>
    </w:tbl>
    <w:p>
      <w:r>
        <w:br w:type="page"/>
      </w:r>
    </w:p>
    <w:p>
      <w:pPr>
        <w:pStyle w:val="Heading1"/>
        <w:spacing w:after="200" w:before="360"/>
      </w:pPr>
      <w:r>
        <w:rPr>
          <w:b/>
          <w:bCs/>
          <w:color w:val="1F4E78"/>
        </w:rPr>
        <w:t xml:space="preserve">8. SIB vs Reference Library — Standards vs Patterns</w:t>
      </w:r>
    </w:p>
    <w:p>
      <w:pPr>
        <w:spacing w:after="120" w:line="300"/>
        <w:jc w:val="both"/>
      </w:pPr>
      <w:r>
        <w:t xml:space="preserve">This is the most-tested distinction within the Repository module, and one of the most consistently confused pairings in TOGAF as a whole. The SIB and the Reference Library both contain reusable content; both are referenced by architects during design; both inform Compliance Reviews. They are nevertheless different things, with different purposes and different consequences. Confusing them produces architecture practice that either over-restricts (treating recommendations as mandates) or under-restricts (treating mandates as suggestions).</w:t>
      </w:r>
    </w:p>
    <w:p>
      <w:pPr>
        <w:pStyle w:val="Heading2"/>
        <w:spacing w:after="160" w:before="280"/>
      </w:pPr>
      <w:r>
        <w:rPr>
          <w:b/>
          <w:bCs/>
          <w:color w:val="2E75B6"/>
        </w:rPr>
        <w:t xml:space="preserve">8.1 The One-Sentence Distinction</w:t>
      </w:r>
    </w:p>
    <w:p>
      <w:pPr>
        <w:spacing w:after="120" w:line="300"/>
        <w:jc w:val="both"/>
      </w:pPr>
      <w:r>
        <w:t xml:space="preserve">The </w:t>
      </w:r>
      <w:r>
        <w:rPr>
          <w:b/>
          <w:bCs/>
        </w:rPr>
        <w:t xml:space="preserve">SIB holds standards</w:t>
      </w:r>
      <w:r>
        <w:t xml:space="preserve"> — the rules architectures must conform to. The </w:t>
      </w:r>
      <w:r>
        <w:rPr>
          <w:b/>
          <w:bCs/>
        </w:rPr>
        <w:t xml:space="preserve">Reference Library holds patterns</w:t>
      </w:r>
      <w:r>
        <w:t xml:space="preserve"> — the proven designs architects can choose from. The SIB tells you </w:t>
      </w:r>
      <w:r>
        <w:rPr>
          <w:i/>
          <w:iCs/>
        </w:rPr>
        <w:t xml:space="preserve">what to use</w:t>
      </w:r>
      <w:r>
        <w:t xml:space="preserve">; the Reference Library tells you </w:t>
      </w:r>
      <w:r>
        <w:rPr>
          <w:i/>
          <w:iCs/>
        </w:rPr>
        <w:t xml:space="preserve">how to design</w:t>
      </w:r>
      <w:r>
        <w:t xml:space="preserve">.</w:t>
      </w:r>
    </w:p>
    <w:p>
      <w:pPr>
        <w:pStyle w:val="Heading2"/>
        <w:spacing w:after="160" w:before="280"/>
      </w:pPr>
      <w:r>
        <w:rPr>
          <w:b/>
          <w:bCs/>
          <w:color w:val="2E75B6"/>
        </w:rPr>
        <w:t xml:space="preserve">8.2 The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SIB</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Reference Library</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Holds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Standards (rules)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Patterns, templates, guidelines, viewpoints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Question answered</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must we use?</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How should we design?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Nature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Prescriptive (must / should / not)</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Advisory (here is a proven approach)</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Compliance treatment</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Conformance is enforced; deviation requires dispensation</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Use is encouraged; not following requires no dispensation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Lifecycle states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Mandatory / Recommended / Emerging / Deprecated</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Generally not formally lifecycle-managed; updated as practice evolves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Typical content</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TLS 1.3 mandatory; Sybase ASE banned; OpenAPI 3.x mandatory</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Three-tier web pattern; CQRS pattern; ADD template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Output of governance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Compliance Review against SIB → conformance level</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Reference Library used; not directly assessed for conformance</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Authority</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Board (decisions are enforced rules)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function (curated good practice)</w:t>
            </w:r>
          </w:p>
        </w:tc>
      </w:tr>
    </w:tbl>
    <w:p>
      <w:pPr>
        <w:pStyle w:val="Heading2"/>
        <w:spacing w:after="160" w:before="280"/>
      </w:pPr>
      <w:r>
        <w:rPr>
          <w:b/>
          <w:bCs/>
          <w:color w:val="2E75B6"/>
        </w:rPr>
        <w:t xml:space="preserve">8.3 The Practical Difference</w:t>
      </w:r>
    </w:p>
    <w:p>
      <w:pPr>
        <w:spacing w:after="120" w:line="300"/>
        <w:jc w:val="both"/>
      </w:pPr>
      <w:r>
        <w:t xml:space="preserve">Imagine an architect designing a new customer-facing service. They reach into the Repository for two different kinds of reference:</w:t>
      </w:r>
    </w:p>
    <w:p>
      <w:pPr>
        <w:pStyle w:val="Heading3"/>
        <w:spacing w:after="120" w:before="220"/>
      </w:pPr>
      <w:r>
        <w:rPr>
          <w:b/>
          <w:bCs/>
          <w:color w:val="404040"/>
        </w:rPr>
        <w:t xml:space="preserve">Reaching Into the SIB</w:t>
      </w:r>
    </w:p>
    <w:p>
      <w:pPr>
        <w:spacing w:after="120" w:line="300"/>
        <w:jc w:val="both"/>
      </w:pPr>
      <w:r>
        <w:t xml:space="preserve">"What standards must this service conform to?" The SIB tells them: TLS 1.3 for transport (Mandatory); OpenAPI 3.x for API specification (Mandatory); ISO 8601 for date-times (Mandatory); the corporate IDP for authentication (Recommended); JSON-LD for linked data (Emerging — pilot only). These are rules. The service must conform to the Mandatory entries; it should conform to the Recommended ones; it may pilot the Emerging ones.</w:t>
      </w:r>
    </w:p>
    <w:p>
      <w:pPr>
        <w:pStyle w:val="Heading3"/>
        <w:spacing w:after="120" w:before="220"/>
      </w:pPr>
      <w:r>
        <w:rPr>
          <w:b/>
          <w:bCs/>
          <w:color w:val="404040"/>
        </w:rPr>
        <w:t xml:space="preserve">Reaching Into the Reference Library</w:t>
      </w:r>
    </w:p>
    <w:p>
      <w:pPr>
        <w:spacing w:after="120" w:line="300"/>
        <w:jc w:val="both"/>
      </w:pPr>
      <w:r>
        <w:t xml:space="preserve">"How should this service be structured?" The Reference Library offers: a customer-facing-service guideline document (narrative advice on UX, security posture, data-handling); a template Architecture Definition Document; the three-tier web pattern; the API gateway pattern; the BFF (backend-for-frontend) pattern; the Application Communication viewpoint. These are options and templates. The architect chooses what fits; nothing requires them to use any particular pattern.</w:t>
      </w:r>
    </w:p>
    <w:p>
      <w:pPr>
        <w:spacing w:after="120" w:line="300"/>
        <w:jc w:val="both"/>
      </w:pPr>
      <w:r>
        <w:t xml:space="preserve">The architect uses both kinds of reference, but they are doing different things. SIB content shapes what is acceptable; Reference Library content shapes what is well-designed. The two together produce a service that is both conformant (passes Compliance Review) and well-architected (built on proven patterns rather than from scratch).</w:t>
      </w:r>
    </w:p>
    <w:p>
      <w:pPr>
        <w:pStyle w:val="Heading2"/>
        <w:spacing w:after="160" w:before="280"/>
      </w:pPr>
      <w:r>
        <w:rPr>
          <w:b/>
          <w:bCs/>
          <w:color w:val="2E75B6"/>
        </w:rPr>
        <w:t xml:space="preserve">8.4 Why the Distinction Matters</w:t>
      </w:r>
    </w:p>
    <w:p>
      <w:pPr>
        <w:spacing w:after="120" w:line="300"/>
        <w:jc w:val="both"/>
      </w:pPr>
      <w:r>
        <w:t xml:space="preserve">Three concrete reasons the distinction is enforced rather than collapsed:</w:t>
      </w:r>
    </w:p>
    <w:p>
      <w:pPr>
        <w:pStyle w:val="ListParagraph"/>
        <w:numPr>
          <w:ilvl w:val="0"/>
          <w:numId w:val="3"/>
        </w:numPr>
        <w:spacing w:after="80" w:line="280"/>
      </w:pPr>
      <w:r>
        <w:t xml:space="preserve">Different governance treatments. SIB content is enforced through Compliance Reviews; deviation requires formal dispensation. Reference Library content is encouraged but not enforced; not following a pattern is a choice, not a violation. Treating them the same way produces either tyranny (everything is mandatory) or anarchy (nothing is).</w:t>
      </w:r>
    </w:p>
    <w:p>
      <w:pPr>
        <w:pStyle w:val="ListParagraph"/>
        <w:numPr>
          <w:ilvl w:val="0"/>
          <w:numId w:val="3"/>
        </w:numPr>
        <w:spacing w:after="80" w:line="280"/>
      </w:pPr>
      <w:r>
        <w:t xml:space="preserve">Different update cadences. SIB content changes through formal governance — adding a new Mandatory standard or moving a Recommended one to Mandatory is a Board decision with enterprise-wide implications. Reference Library content evolves continuously as practice matures, viewpoints are added, patterns are catalogued. Mixing the two means either Reference Library content becomes too rigid or SIB content drifts without authority.</w:t>
      </w:r>
    </w:p>
    <w:p>
      <w:pPr>
        <w:pStyle w:val="ListParagraph"/>
        <w:numPr>
          <w:ilvl w:val="0"/>
          <w:numId w:val="3"/>
        </w:numPr>
        <w:spacing w:after="80" w:line="280"/>
      </w:pPr>
      <w:r>
        <w:t xml:space="preserve">Different sources of authority. SIB content rests on Architecture Board decisions; deviating challenges a governance decision. Reference Library content rests on practitioner experience; not following it merely means the architect has chosen a different approach. Confusing the sources produces the wrong escalation paths when issues arise.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Common SIB-vs-Reference-Library Confusions</w:t>
            </w:r>
          </w:p>
          <w:p>
            <w:pPr>
              <w:spacing w:after="60" w:line="280"/>
              <w:jc w:val="both"/>
            </w:pPr>
            <w:r>
              <w:t xml:space="preserve">Confusion 1: Treating a popular pattern as a standard. "Everyone uses CQRS, so it's mandatory." No — patterns sit in the Reference Library; they are advisory. If the enterprise wants to mandate CQRS, the Architecture Board must add a corresponding entry to the SIB ("command and query responsibilities must be separated for systems above a stated complexity threshold"). Patterns become standards only by formal governance act.</w:t>
            </w:r>
          </w:p>
          <w:p>
            <w:pPr>
              <w:spacing w:after="60" w:line="280"/>
              <w:jc w:val="both"/>
            </w:pPr>
            <w:r>
              <w:t xml:space="preserve">Confusion 2: Treating a standard as a pattern. "TLS 1.3 is just a recommendation." No — if the SIB lists TLS 1.3 as Mandatory, it is enforceable through Compliance Review and deviation requires dispensation. The lifecycle state in the SIB is what makes it a standard rather than a pattern.</w:t>
            </w:r>
          </w:p>
          <w:p>
            <w:pPr>
              <w:spacing w:after="60" w:line="280"/>
              <w:jc w:val="both"/>
            </w:pPr>
            <w:r>
              <w:t xml:space="preserve">Confusion 3: Storing patterns in the SIB or standards in the Reference Library. The wrong placement breaks the governance treatment: standards in the Reference Library are not enforced; patterns in the SIB are tyrannically applied. Each class holds the right kind of content.</w:t>
            </w:r>
          </w:p>
          <w:p>
            <w:pPr>
              <w:spacing w:after="60" w:line="280"/>
              <w:jc w:val="both"/>
            </w:pPr>
            <w:r>
              <w:t xml:space="preserve">Confusion 4: "They overlap so much we can merge them." The overlap is at the level of content kind (both are reusable references) but not at the level of governance treatment (one prescriptive, one advisory). Merging loses the distinction between what must be done and what is suggested. The exam tests whether you recognise the distinction; merging breaks the answer.</w:t>
            </w:r>
          </w:p>
        </w:tc>
      </w:tr>
    </w:tbl>
    <w:p>
      <w:pPr>
        <w:pStyle w:val="Heading2"/>
        <w:spacing w:after="160" w:before="280"/>
      </w:pPr>
      <w:r>
        <w:rPr>
          <w:b/>
          <w:bCs/>
          <w:color w:val="2E75B6"/>
        </w:rPr>
        <w:t xml:space="preserve">8.5 The SIB-vs-Reference-Library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Tell SIB Content from Reference Library Content</w:t>
            </w:r>
          </w:p>
          <w:p>
            <w:pPr>
              <w:spacing w:after="60" w:line="280"/>
              <w:jc w:val="both"/>
            </w:pPr>
            <w:r>
              <w:t xml:space="preserve">Ask: "is conformance enforced through Compliance Review?" If yes — the content is in the SIB (a standard). If no — the content is in the Reference Library (a pattern, template, guideline, or viewpoint). The single test is whether deviation requires formal dispensation; if it does, the content is a standard; if not, it is reference material.</w:t>
            </w:r>
          </w:p>
        </w:tc>
      </w:tr>
    </w:tbl>
    <w:p>
      <w:r>
        <w:br w:type="page"/>
      </w:r>
    </w:p>
    <w:p>
      <w:pPr>
        <w:pStyle w:val="Heading1"/>
        <w:spacing w:after="200" w:before="360"/>
      </w:pPr>
      <w:r>
        <w:rPr>
          <w:b/>
          <w:bCs/>
          <w:color w:val="1F4E78"/>
        </w:rPr>
        <w:t xml:space="preserve">9. Summary and Review</w:t>
      </w:r>
    </w:p>
    <w:p>
      <w:pPr>
        <w:pStyle w:val="Heading2"/>
        <w:spacing w:after="160" w:before="280"/>
      </w:pPr>
      <w:r>
        <w:rPr>
          <w:b/>
          <w:bCs/>
          <w:color w:val="2E75B6"/>
        </w:rPr>
        <w:t xml:space="preserve">9.1 The Big Picture</w:t>
      </w:r>
    </w:p>
    <w:p>
      <w:pPr>
        <w:spacing w:after="120" w:line="300"/>
        <w:jc w:val="both"/>
      </w:pPr>
      <w:r>
        <w:t xml:space="preserve">The Architecture Repository is TOGAF's structured store of all architecture content. It is organised into six classes — Metamodel, Capability, Landscape, SIB, Reference Library, Governance Log (mnemonic: "My Careful Librarian Stores Reference Guides"). The Metamodel holds the schema. The Capability class holds records of the architecture practice itself. The Landscape holds the actual architectures across three levels (Strategic, Segment, Capability). The SIB holds standards in four lifecycle states (Mandatory, Recommended, Emerging, Deprecated). The Reference Library holds patterns, templates, guidelines, and viewpoints. The Governance Log holds the audit trail of architecture decisions, reviews, dispensations, contracts, waivers, and change requests. The most-tested distinction within the Repository is SIB versus Reference Library: SIB holds standards (what to use, enforced through Compliance Reviews); Reference Library holds patterns (how to design, advisory).</w:t>
      </w:r>
    </w:p>
    <w:p>
      <w:pPr>
        <w:pStyle w:val="Heading2"/>
        <w:spacing w:after="160" w:before="280"/>
      </w:pPr>
      <w:r>
        <w:rPr>
          <w:b/>
          <w:bCs/>
          <w:color w:val="2E75B6"/>
        </w:rPr>
        <w:t xml:space="preserve">9.2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Six classes (mnemonic)</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Metamodel, Capability, Landscape, SIB, Reference Library, Governance Log. "My Careful Librarian Stores Reference Guides".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Metamodel</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Schema: entity types, attributes, relationships. Configured in Preliminary Phase. Everything else depends on it.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Records about the architecture practice itself: roles, skills, tools, governance bodies, processes.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Landscape — three levels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(whole enterprise, 5+ years), Segment (BU/programme, 1–3 years), Capability (single capability, weeks-quarter).</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Landscape — temporal states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Baseline / Target / Transition at every level.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SIB — purpose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Standards: rules architectures must conform to. Enforced through Compliance Reviews.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SIB — four lifecycle states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Mandatory (required), Recommended (preferred), Emerging (pilot), Deprecated (phasing out).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Reference Library — purpose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Patterns: proven designs architects can use. Advisory, not enforced.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Reference Library — four categories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Guidelines (narrative advice), Templates (structured forms), Patterns (reusable designs), Viewpoints (view templates).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Governance Log — six categories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Decisions, Compliance Review Outcomes, Dispensations, Architecture Contracts, Waivers, Change Requests.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Governance Log — purpose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Audit trail. Defensibility, traceability, continuity across personnel.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SIB vs Reference Library</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SIB = standards (what to use, enforced). Reference Library = patterns (how to design, advisory). Test: is conformance enforced through Compliance Review?</w:t>
            </w:r>
          </w:p>
        </w:tc>
      </w:tr>
    </w:tbl>
    <w:p>
      <w:pPr>
        <w:pStyle w:val="Heading2"/>
        <w:spacing w:after="160" w:before="280"/>
      </w:pPr>
      <w:r>
        <w:rPr>
          <w:b/>
          <w:bCs/>
          <w:color w:val="2E75B6"/>
        </w:rPr>
        <w:t xml:space="preserve">9.3 Self-Test Questions</w:t>
      </w:r>
    </w:p>
    <w:p>
      <w:pPr>
        <w:pStyle w:val="ListParagraph"/>
        <w:numPr>
          <w:ilvl w:val="0"/>
          <w:numId w:val="3"/>
        </w:numPr>
        <w:spacing w:after="80" w:line="280"/>
      </w:pPr>
      <w:r>
        <w:t xml:space="preserve">Name the six classes of the Architecture Repository in order. Use the mnemonic if helpful.</w:t>
      </w:r>
    </w:p>
    <w:p>
      <w:pPr>
        <w:pStyle w:val="ListParagraph"/>
        <w:numPr>
          <w:ilvl w:val="0"/>
          <w:numId w:val="3"/>
        </w:numPr>
        <w:spacing w:after="80" w:line="280"/>
      </w:pPr>
      <w:r>
        <w:t xml:space="preserve">Why does the Metamodel come first? What depends on it?</w:t>
      </w:r>
    </w:p>
    <w:p>
      <w:pPr>
        <w:pStyle w:val="ListParagraph"/>
        <w:numPr>
          <w:ilvl w:val="0"/>
          <w:numId w:val="3"/>
        </w:numPr>
        <w:spacing w:after="80" w:line="280"/>
      </w:pPr>
      <w:r>
        <w:t xml:space="preserve">Name the three levels of the Architecture Landscape, with their typical scope and time horizon.</w:t>
      </w:r>
    </w:p>
    <w:p>
      <w:pPr>
        <w:pStyle w:val="ListParagraph"/>
        <w:numPr>
          <w:ilvl w:val="0"/>
          <w:numId w:val="3"/>
        </w:numPr>
        <w:spacing w:after="80" w:line="280"/>
      </w:pPr>
      <w:r>
        <w:t xml:space="preserve">List the four lifecycle states of standards in the SIB and define each.</w:t>
      </w:r>
    </w:p>
    <w:p>
      <w:pPr>
        <w:pStyle w:val="ListParagraph"/>
        <w:numPr>
          <w:ilvl w:val="0"/>
          <w:numId w:val="3"/>
        </w:numPr>
        <w:spacing w:after="80" w:line="280"/>
      </w:pPr>
      <w:r>
        <w:t xml:space="preserve">Name the four categories of content in the Reference Library.</w:t>
      </w:r>
    </w:p>
    <w:p>
      <w:pPr>
        <w:pStyle w:val="ListParagraph"/>
        <w:numPr>
          <w:ilvl w:val="0"/>
          <w:numId w:val="3"/>
        </w:numPr>
        <w:spacing w:after="80" w:line="280"/>
      </w:pPr>
      <w:r>
        <w:t xml:space="preserve">Distinguish a Guideline from a Pattern in the Reference Library.</w:t>
      </w:r>
    </w:p>
    <w:p>
      <w:pPr>
        <w:pStyle w:val="ListParagraph"/>
        <w:numPr>
          <w:ilvl w:val="0"/>
          <w:numId w:val="3"/>
        </w:numPr>
        <w:spacing w:after="80" w:line="280"/>
      </w:pPr>
      <w:r>
        <w:t xml:space="preserve">Name the six categories of records in the Governance Log.</w:t>
      </w:r>
    </w:p>
    <w:p>
      <w:pPr>
        <w:pStyle w:val="ListParagraph"/>
        <w:numPr>
          <w:ilvl w:val="0"/>
          <w:numId w:val="3"/>
        </w:numPr>
        <w:spacing w:after="80" w:line="280"/>
      </w:pPr>
      <w:r>
        <w:t xml:space="preserve">Distinguish a dispensation from a waiver.</w:t>
      </w:r>
    </w:p>
    <w:p>
      <w:pPr>
        <w:pStyle w:val="ListParagraph"/>
        <w:numPr>
          <w:ilvl w:val="0"/>
          <w:numId w:val="3"/>
        </w:numPr>
        <w:spacing w:after="80" w:line="280"/>
      </w:pPr>
      <w:r>
        <w:t xml:space="preserve">State the one-sentence distinction between the SIB and the Reference Library.</w:t>
      </w:r>
    </w:p>
    <w:p>
      <w:pPr>
        <w:pStyle w:val="ListParagraph"/>
        <w:numPr>
          <w:ilvl w:val="0"/>
          <w:numId w:val="3"/>
        </w:numPr>
        <w:spacing w:after="80" w:line="280"/>
      </w:pPr>
      <w:r>
        <w:t xml:space="preserve">If you encounter a piece of content and need to decide which Repository class it belongs in, what test would you apply for SIB vs Reference Library?</w:t>
      </w:r>
    </w:p>
    <w:p>
      <w:pPr>
        <w:pStyle w:val="Heading2"/>
        <w:spacing w:after="160" w:before="280"/>
      </w:pPr>
      <w:r>
        <w:rPr>
          <w:b/>
          <w:bCs/>
          <w:color w:val="2E75B6"/>
        </w:rPr>
        <w:t xml:space="preserve">9.4 Closing Note</w:t>
      </w:r>
    </w:p>
    <w:p>
      <w:pPr>
        <w:spacing w:after="120" w:line="300"/>
        <w:jc w:val="both"/>
      </w:pPr>
      <w:r>
        <w:t xml:space="preserve">Module 11 has covered the structure of the Repository — the storage half of the Repository-and-Continuum pair. The next and final module on TOGAF's core components turns to the Architecture Capability Framework: the people, roles, skills, processes, and governance bodies that operate the practice. Once the Capability Framework is in place, all five core components — ADM, Content Framework, Continuum, Repository, Capability Framework — are fully covered. The remaining modules of the syllabus then turn to specific techniques (business scenarios, gap analysis, capability-based planning, risk management, security and Agile integration) and to certification preparation. Make sure you can recite the six classes, the three Landscape levels, the four SIB lifecycle states, the four Reference Library categories, the six Governance Log categories, and the SIB-vs-Reference-Library test from memory before moving on.</w:t>
      </w:r>
    </w:p>
    <w:p>
      <w:pPr>
        <w:spacing w:after="120"/>
      </w:pPr>
      <w:r>
        <w:t xml:space="preserve"/>
      </w:r>
    </w:p>
    <w:p>
      <w:pPr>
        <w:spacing w:before="400"/>
        <w:jc w:val="center"/>
      </w:pPr>
      <w:r>
        <w:rPr>
          <w:i/>
          <w:iCs/>
          <w:color w:val="808080"/>
        </w:rPr>
        <w:t xml:space="preserve">— End of Module 11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11: Architecture Repository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11 Study Guide</dc:title>
  <dc:creator>Claude</dc:creator>
  <dc:description>Comprehensive study guide for the Architecture Repository</dc:description>
  <cp:lastModifiedBy>Un-named</cp:lastModifiedBy>
  <cp:revision>1</cp:revision>
  <dcterms:created xsi:type="dcterms:W3CDTF">2026-05-02T16:04:20.417Z</dcterms:created>
  <dcterms:modified xsi:type="dcterms:W3CDTF">2026-05-02T16:04:20.435Z</dcterms:modified>
</cp:coreProperties>
</file>

<file path=docProps/custom.xml><?xml version="1.0" encoding="utf-8"?>
<Properties xmlns="http://schemas.openxmlformats.org/officeDocument/2006/custom-properties" xmlns:vt="http://schemas.openxmlformats.org/officeDocument/2006/docPropsVTypes"/>
</file>