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12: Architecture Capability Framework</w:t>
      </w:r>
    </w:p>
    <w:p>
      <w:pPr>
        <w:spacing w:after="200"/>
        <w:jc w:val="center"/>
      </w:pPr>
      <w:r>
        <w:rPr>
          <w:color w:val="595959"/>
          <w:sz w:val="28"/>
          <w:szCs w:val="28"/>
        </w:rPr>
        <w:t xml:space="preserve">How to Run an Enterprise Architecture Practice</w:t>
      </w:r>
    </w:p>
    <w:p>
      <w:pPr>
        <w:spacing w:after="200"/>
        <w:jc w:val="center"/>
      </w:pPr>
      <w:r>
        <w:rPr>
          <w:color w:val="808080"/>
          <w:sz w:val="22"/>
          <w:szCs w:val="22"/>
        </w:rPr>
        <w:t xml:space="preserve">Architecture Board · Operating Models · Roles · ADRs · Metrics · Funding</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12</w:t>
      </w:r>
    </w:p>
    <w:p>
      <w:pPr>
        <w:spacing w:after="120" w:line="300"/>
        <w:jc w:val="both"/>
      </w:pPr>
      <w:r>
        <w:t xml:space="preserve">Modules 4 through 11 covered four of TOGAF's five core components: the Architecture Development Method (the activities), the Architecture Content Framework (the outputs), the Enterprise Continuum (the classification), and the Architecture Repository (the storage). Module 12 closes the loop with the fifth core component: the Architecture Capability Framework. Where everything before this module described the substance of architecture work, the Capability Framework describes the practice that does the work — its people, its governance bodies, its operating model, its decision records, its metrics, and its funding.</w:t>
      </w:r>
    </w:p>
    <w:p>
      <w:pPr>
        <w:spacing w:after="120" w:line="300"/>
        <w:jc w:val="both"/>
      </w:pPr>
      <w:r>
        <w:t xml:space="preserve">If the ADM answers what to do and the Content Framework answers what to produce, the Capability Framework answers how to run an Enterprise Architecture practice. It is the most pragmatic of the five core components — the one most directly concerned with making architecture happen inside a real organisation, with real people, real budgets, real politics, and real resistance to governance.</w:t>
      </w:r>
    </w:p>
    <w:p>
      <w:pPr>
        <w:spacing w:after="120" w:line="300"/>
        <w:jc w:val="both"/>
      </w:pPr>
      <w:r>
        <w:t xml:space="preserve">Seven points anchor the exam-relevant content of this module. First, the Capability Framework's purpose statement: it answers the HOW of running EA, complementing the ADM's WHAT. Second, the Architecture Board has decision authority — not merely advisory; this distinction is exam-tested. Third, the three operating models for the architecture function (Centralised, Federated, Hybrid Hub-and-Spoke) — with Hybrid as the recommended default for most large enterprises. Fourth, the standard architecture roles, in their proper hierarchy. Fifth, Architecture Decision Records (ADRs) and their four-section standard structure. Sixth, the distinction between vanity and outcome metrics for assessing EA value. Seventh, the four funding models — with capability-based and platform funding as modern alternatives to traditional project-based funding.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This module is more practitioner-focused than its predecessors. The earlier modules described the substance of architecture; this one describes the operating reality of running an architecture function. Every section answers a real management question that architecture leaders face: who chairs the Board? Should we centralise or federate? Which architects do we hire? How do we record decisions defensibly? How do we measure our value? How do we fund our work? Read it as guidance rather than as theory.</w:t>
            </w:r>
          </w:p>
        </w:tc>
      </w:tr>
    </w:tbl>
    <w:p>
      <w:r>
        <w:br w:type="page"/>
      </w:r>
    </w:p>
    <w:p>
      <w:pPr>
        <w:pStyle w:val="Heading1"/>
        <w:spacing w:after="200" w:before="360"/>
      </w:pPr>
      <w:r>
        <w:rPr>
          <w:b/>
          <w:bCs/>
          <w:color w:val="1F4E78"/>
        </w:rPr>
        <w:t xml:space="preserve">1. The Capability Framework Answers HOW to Run EA</w:t>
      </w:r>
    </w:p>
    <w:p>
      <w:pPr>
        <w:spacing w:after="120" w:line="300"/>
        <w:jc w:val="both"/>
      </w:pPr>
      <w:r>
        <w:t xml:space="preserve">The Architecture Capability Framework is the TOGAF component concerned with the practice of architecture: the people who do the work, the governance bodies that oversee them, the processes by which they operate, the tools they use, the skills they develop, and the funding model that sustains them. It complements the ADM, which describes the work itself.</w:t>
      </w:r>
    </w:p>
    <w:p>
      <w:pPr>
        <w:pStyle w:val="Heading2"/>
        <w:spacing w:after="160" w:before="280"/>
      </w:pPr>
      <w:r>
        <w:rPr>
          <w:b/>
          <w:bCs/>
          <w:color w:val="2E75B6"/>
        </w:rPr>
        <w:t xml:space="preserve">1.1 Capability Framework vs ADM — The Pairing</w:t>
      </w:r>
    </w:p>
    <w:p>
      <w:pPr>
        <w:spacing w:after="120" w:line="300"/>
        <w:jc w:val="both"/>
      </w:pPr>
      <w:r>
        <w:t xml:space="preserve">The </w:t>
      </w:r>
      <w:r>
        <w:rPr>
          <w:b/>
          <w:bCs/>
        </w:rPr>
        <w:t xml:space="preserve">ADM tells you WHAT to do</w:t>
      </w:r>
      <w:r>
        <w:t xml:space="preserve">: the phases, the activities, the deliverables, the iterations. The </w:t>
      </w:r>
      <w:r>
        <w:rPr>
          <w:b/>
          <w:bCs/>
        </w:rPr>
        <w:t xml:space="preserve">Capability Framework tells you HOW to run the practice that does the doing</w:t>
      </w:r>
      <w:r>
        <w:t xml:space="preserve">: the architects, the Architecture Board, the operating model, the decision records, the metrics, the funding. Both are needed; neither substitutes for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Capability Framework: </w:t>
            </w:r>
            <w:r>
              <w:t xml:space="preserve">TOGAF's fifth core component, describing how to establish and operate an architecture practice. Covers the Architecture Board, governance processes, organisation models, roles and skills, decision records, value measurement, and funding. Complements the ADM (which describes the architecture work) and is what makes that work executable in a real enterprise.</w:t>
            </w:r>
          </w:p>
        </w:tc>
      </w:tr>
    </w:tbl>
    <w:p>
      <w:pPr>
        <w:pStyle w:val="Heading2"/>
        <w:spacing w:after="160" w:before="280"/>
      </w:pPr>
      <w:r>
        <w:rPr>
          <w:b/>
          <w:bCs/>
          <w:color w:val="2E75B6"/>
        </w:rPr>
        <w:t xml:space="preserve">1.2 What the Capability Framework Covers</w:t>
      </w:r>
    </w:p>
    <w:p>
      <w:pPr>
        <w:spacing w:after="120" w:line="300"/>
        <w:jc w:val="both"/>
      </w:pPr>
      <w:r>
        <w:t xml:space="preserve">The Capability Framework addresses six broad areas, each treated in subsequent sections of this module:</w:t>
      </w:r>
    </w:p>
    <w:p>
      <w:pPr>
        <w:pStyle w:val="ListParagraph"/>
        <w:numPr>
          <w:ilvl w:val="0"/>
          <w:numId w:val="2"/>
        </w:numPr>
        <w:spacing w:after="80" w:line="280"/>
      </w:pPr>
      <w:r>
        <w:t xml:space="preserve">Governance bodies — principally the Architecture Board (Section 2).</w:t>
      </w:r>
    </w:p>
    <w:p>
      <w:pPr>
        <w:pStyle w:val="ListParagraph"/>
        <w:numPr>
          <w:ilvl w:val="0"/>
          <w:numId w:val="2"/>
        </w:numPr>
        <w:spacing w:after="80" w:line="280"/>
      </w:pPr>
      <w:r>
        <w:t xml:space="preserve">Operating model — how the architecture function is organised (Section 3).</w:t>
      </w:r>
    </w:p>
    <w:p>
      <w:pPr>
        <w:pStyle w:val="ListParagraph"/>
        <w:numPr>
          <w:ilvl w:val="0"/>
          <w:numId w:val="2"/>
        </w:numPr>
        <w:spacing w:after="80" w:line="280"/>
      </w:pPr>
      <w:r>
        <w:t xml:space="preserve">Roles and skills — what architects exist and what they are accountable for (Section 4).</w:t>
      </w:r>
    </w:p>
    <w:p>
      <w:pPr>
        <w:pStyle w:val="ListParagraph"/>
        <w:numPr>
          <w:ilvl w:val="0"/>
          <w:numId w:val="2"/>
        </w:numPr>
        <w:spacing w:after="80" w:line="280"/>
      </w:pPr>
      <w:r>
        <w:t xml:space="preserve">Decision records — how architectural decisions are captured (Section 5).</w:t>
      </w:r>
    </w:p>
    <w:p>
      <w:pPr>
        <w:pStyle w:val="ListParagraph"/>
        <w:numPr>
          <w:ilvl w:val="0"/>
          <w:numId w:val="2"/>
        </w:numPr>
        <w:spacing w:after="80" w:line="280"/>
      </w:pPr>
      <w:r>
        <w:t xml:space="preserve">Value measurement — how the architecture function demonstrates its impact (Section 6).</w:t>
      </w:r>
    </w:p>
    <w:p>
      <w:pPr>
        <w:pStyle w:val="ListParagraph"/>
        <w:numPr>
          <w:ilvl w:val="0"/>
          <w:numId w:val="2"/>
        </w:numPr>
        <w:spacing w:after="80" w:line="280"/>
      </w:pPr>
      <w:r>
        <w:t xml:space="preserve">Funding model — how architecture work is financed (Section 7).</w:t>
      </w:r>
    </w:p>
    <w:p>
      <w:pPr>
        <w:spacing w:after="120" w:line="300"/>
        <w:jc w:val="both"/>
      </w:pPr>
      <w:r>
        <w:t xml:space="preserve">Together these six concerns make architecture executable. An ADM with no Capability Framework is a method on paper that no one runs. A Capability Framework with no ADM is governance theatre with nothing concrete to govern. The two together produce a functioning practice.</w:t>
      </w:r>
    </w:p>
    <w:p>
      <w:pPr>
        <w:pStyle w:val="Heading2"/>
        <w:spacing w:after="160" w:before="280"/>
      </w:pPr>
      <w:r>
        <w:rPr>
          <w:b/>
          <w:bCs/>
          <w:color w:val="2E75B6"/>
        </w:rPr>
        <w:t xml:space="preserve">1.3 The ADM / Capability Framework Pairing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ADM</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Capability Framework</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Question answered</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do we do?</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HOW do we run the practice that does it?</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Subject matter</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activities and deliverables</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function and operations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Outputs</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Architectures, roadmaps, plans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Operating model, governance bodies, decisions, metrics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Established when</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Throughout cycle (Phases A–H)</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Preliminary Phase; revised on major change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Without it</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 architecture work happens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work happens but without governance, accountability, or funding</w:t>
            </w:r>
          </w:p>
        </w:tc>
      </w:tr>
    </w:tbl>
    <w:p>
      <w:r>
        <w:br w:type="page"/>
      </w:r>
    </w:p>
    <w:p>
      <w:pPr>
        <w:pStyle w:val="Heading1"/>
        <w:spacing w:after="200" w:before="360"/>
      </w:pPr>
      <w:r>
        <w:rPr>
          <w:b/>
          <w:bCs/>
          <w:color w:val="1F4E78"/>
        </w:rPr>
        <w:t xml:space="preserve">2. The Architecture Board</w:t>
      </w:r>
    </w:p>
    <w:p>
      <w:pPr>
        <w:spacing w:after="120" w:line="300"/>
        <w:jc w:val="both"/>
      </w:pPr>
      <w:r>
        <w:t xml:space="preserve">The Architecture Board is the principal governance body of the architecture function. It is the standing forum that takes architectural decisions, approves deliverables, conducts compliance reviews, issues dispensations, and arbitrates disputes. Without an Architecture Board, the architecture function has no decision-making authority distinct from the line management of the people who happen to staff it; with the Board, architectural authority is institutionalised.</w:t>
      </w:r>
    </w:p>
    <w:p>
      <w:pPr>
        <w:pStyle w:val="Heading2"/>
        <w:spacing w:after="160" w:before="280"/>
      </w:pPr>
      <w:r>
        <w:rPr>
          <w:b/>
          <w:bCs/>
          <w:color w:val="2E75B6"/>
        </w:rPr>
        <w:t xml:space="preserve">2.1 What the Architecture Board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Board: </w:t>
            </w:r>
            <w:r>
              <w:t xml:space="preserve">The cross-organisational standing body that takes architectural decisions, approves deliverables, conducts Compliance Reviews, issues dispensations and waivers, and arbitrates architectural disputes. It has decision authority — not merely advisory authority. Its existence and its authority distinguish a governed architecture practice from an ungoverned one.</w:t>
            </w:r>
          </w:p>
        </w:tc>
      </w:tr>
    </w:tbl>
    <w:p>
      <w:pPr>
        <w:pStyle w:val="Heading2"/>
        <w:spacing w:after="160" w:before="280"/>
      </w:pPr>
      <w:r>
        <w:rPr>
          <w:b/>
          <w:bCs/>
          <w:color w:val="2E75B6"/>
        </w:rPr>
        <w:t xml:space="preserve">2.2 Composition</w:t>
      </w:r>
    </w:p>
    <w:p>
      <w:pPr>
        <w:spacing w:after="120" w:line="300"/>
        <w:jc w:val="both"/>
      </w:pPr>
      <w:r>
        <w:t xml:space="preserve">Architecture Board composition varies by enterprise but follows a consistent pattern. Typical members include:</w:t>
      </w:r>
    </w:p>
    <w:p>
      <w:pPr>
        <w:pStyle w:val="ListParagraph"/>
        <w:numPr>
          <w:ilvl w:val="0"/>
          <w:numId w:val="2"/>
        </w:numPr>
        <w:spacing w:after="80" w:line="280"/>
      </w:pPr>
      <w:r>
        <w:t xml:space="preserve">Chair — typically the Chief Architect or, in smaller enterprises, the CIO or CTO.</w:t>
      </w:r>
    </w:p>
    <w:p>
      <w:pPr>
        <w:pStyle w:val="ListParagraph"/>
        <w:numPr>
          <w:ilvl w:val="0"/>
          <w:numId w:val="2"/>
        </w:numPr>
        <w:spacing w:after="80" w:line="280"/>
      </w:pPr>
      <w:r>
        <w:t xml:space="preserve">Senior Enterprise Architects — covering the principal architecture domains (Business, Data, Application, Technology).</w:t>
      </w:r>
    </w:p>
    <w:p>
      <w:pPr>
        <w:pStyle w:val="ListParagraph"/>
        <w:numPr>
          <w:ilvl w:val="0"/>
          <w:numId w:val="2"/>
        </w:numPr>
        <w:spacing w:after="80" w:line="280"/>
      </w:pPr>
      <w:r>
        <w:t xml:space="preserve">Representatives from major business units — to ensure that architectural decisions reflect business reality.</w:t>
      </w:r>
    </w:p>
    <w:p>
      <w:pPr>
        <w:pStyle w:val="ListParagraph"/>
        <w:numPr>
          <w:ilvl w:val="0"/>
          <w:numId w:val="2"/>
        </w:numPr>
        <w:spacing w:after="80" w:line="280"/>
      </w:pPr>
      <w:r>
        <w:t xml:space="preserve">Representatives from key cross-cutting functions — Security (CISO or delegate), Risk, Compliance, Operations.</w:t>
      </w:r>
    </w:p>
    <w:p>
      <w:pPr>
        <w:pStyle w:val="ListParagraph"/>
        <w:numPr>
          <w:ilvl w:val="0"/>
          <w:numId w:val="2"/>
        </w:numPr>
        <w:spacing w:after="80" w:line="280"/>
      </w:pPr>
      <w:r>
        <w:t xml:space="preserve">Domain Architects from areas with significant in-flight work — rotating membership reflecting current engagements.</w:t>
      </w:r>
    </w:p>
    <w:p>
      <w:pPr>
        <w:pStyle w:val="ListParagraph"/>
        <w:numPr>
          <w:ilvl w:val="0"/>
          <w:numId w:val="2"/>
        </w:numPr>
        <w:spacing w:after="80" w:line="280"/>
      </w:pPr>
      <w:r>
        <w:t xml:space="preserve">Optional: external advisors for specialised topics (e.g., regulatory specialists during a major regulatory cycle).</w:t>
      </w:r>
    </w:p>
    <w:p>
      <w:pPr>
        <w:spacing w:after="120" w:line="300"/>
        <w:jc w:val="both"/>
      </w:pPr>
      <w:r>
        <w:t xml:space="preserve">Composition typically ranges from six to twelve voting members. Smaller is faster but risks under-representation; larger is more inclusive but harder to converge. Most enterprises settle on around eight.</w:t>
      </w:r>
    </w:p>
    <w:p>
      <w:pPr>
        <w:pStyle w:val="Heading2"/>
        <w:spacing w:after="160" w:before="280"/>
      </w:pPr>
      <w:r>
        <w:rPr>
          <w:b/>
          <w:bCs/>
          <w:color w:val="2E75B6"/>
        </w:rPr>
        <w:t xml:space="preserve">2.3 Charter and Decision Authority</w:t>
      </w:r>
    </w:p>
    <w:p>
      <w:pPr>
        <w:spacing w:after="120" w:line="300"/>
        <w:jc w:val="both"/>
      </w:pPr>
      <w:r>
        <w:t xml:space="preserve">The Architecture Board has a written charter — a document, signed by the executive that established it (typically the CIO or CEO), that defines its remit and authority. The most exam-relevant point is that the Board has </w:t>
      </w:r>
      <w:r>
        <w:rPr>
          <w:b/>
          <w:bCs/>
        </w:rPr>
        <w:t xml:space="preserve">decision authority, NOT merely advisory authority</w:t>
      </w:r>
      <w:r>
        <w:t xml:space="preserve">. Its decisions are binding within their defined remit. Confusing this is a classic mistake — many newcomers assume the Board "advises" the CIO; in TOGAF terms, the Board </w:t>
      </w:r>
      <w:r>
        <w:rPr>
          <w:i/>
          <w:iCs/>
        </w:rPr>
        <w:t xml:space="preserve">decides</w:t>
      </w:r>
      <w:r>
        <w:t xml:space="preserve"> (within the remit set by its charter) and its decisions are recorded in the Governance Log as binding architectural rulings.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Common Misreading: "The Board Is Advisory"</w:t>
            </w:r>
          </w:p>
          <w:p>
            <w:pPr>
              <w:spacing w:after="60" w:line="280"/>
              <w:jc w:val="both"/>
            </w:pPr>
            <w:r>
              <w:t xml:space="preserve">An exam question may phrase the Architecture Board's role as "advisory" or "recommends decisions to the CIO." This is incorrect. The Board has DECISION AUTHORITY within its charter. It approves deliverables; it issues dispensations; it determines compliance outcomes; it adjudicates disputes. The CIO may sit on the Board (often chairing it), but the Board's decisions are not advisory inputs to the CIO — they are the architectural decisions of the enterprise.</w:t>
            </w:r>
          </w:p>
          <w:p>
            <w:pPr>
              <w:spacing w:after="60" w:line="280"/>
              <w:jc w:val="both"/>
            </w:pPr>
            <w:r>
              <w:t xml:space="preserve">The Board's authority does not extend everywhere. It cannot override executive committee decisions on strategy, override regulatory requirements, or set policies outside the architectural remit. Within architecture, however, it decides.</w:t>
            </w:r>
          </w:p>
        </w:tc>
      </w:tr>
    </w:tbl>
    <w:p>
      <w:pPr>
        <w:pStyle w:val="Heading3"/>
        <w:spacing w:after="120" w:before="220"/>
      </w:pPr>
      <w:r>
        <w:rPr>
          <w:b/>
          <w:bCs/>
          <w:color w:val="404040"/>
        </w:rPr>
        <w:t xml:space="preserve">Typical Board Charter Contents</w:t>
      </w:r>
    </w:p>
    <w:p>
      <w:pPr>
        <w:pStyle w:val="ListParagraph"/>
        <w:numPr>
          <w:ilvl w:val="0"/>
          <w:numId w:val="2"/>
        </w:numPr>
        <w:spacing w:after="80" w:line="280"/>
      </w:pPr>
      <w:r>
        <w:t xml:space="preserve">Mission statement — why the Board exists, what it is for.</w:t>
      </w:r>
    </w:p>
    <w:p>
      <w:pPr>
        <w:pStyle w:val="ListParagraph"/>
        <w:numPr>
          <w:ilvl w:val="0"/>
          <w:numId w:val="2"/>
        </w:numPr>
        <w:spacing w:after="80" w:line="280"/>
      </w:pPr>
      <w:r>
        <w:t xml:space="preserve">Decision authority — what kinds of decisions the Board takes (and what it does not, e.g., procurement decisions remain with procurement).</w:t>
      </w:r>
    </w:p>
    <w:p>
      <w:pPr>
        <w:pStyle w:val="ListParagraph"/>
        <w:numPr>
          <w:ilvl w:val="0"/>
          <w:numId w:val="2"/>
        </w:numPr>
        <w:spacing w:after="80" w:line="280"/>
      </w:pPr>
      <w:r>
        <w:t xml:space="preserve">Composition — who sits on the Board, with what voting rights, for what term.</w:t>
      </w:r>
    </w:p>
    <w:p>
      <w:pPr>
        <w:pStyle w:val="ListParagraph"/>
        <w:numPr>
          <w:ilvl w:val="0"/>
          <w:numId w:val="2"/>
        </w:numPr>
        <w:spacing w:after="80" w:line="280"/>
      </w:pPr>
      <w:r>
        <w:t xml:space="preserve">Cadence — how often the Board meets (typically monthly for active practices, quarterly for steady-state; with extraordinary meetings as needed).</w:t>
      </w:r>
    </w:p>
    <w:p>
      <w:pPr>
        <w:pStyle w:val="ListParagraph"/>
        <w:numPr>
          <w:ilvl w:val="0"/>
          <w:numId w:val="2"/>
        </w:numPr>
        <w:spacing w:after="80" w:line="280"/>
      </w:pPr>
      <w:r>
        <w:t xml:space="preserve">Quorum and voting — how many members must be present, how decisions are made (consensus, majority, weighted).</w:t>
      </w:r>
    </w:p>
    <w:p>
      <w:pPr>
        <w:pStyle w:val="ListParagraph"/>
        <w:numPr>
          <w:ilvl w:val="0"/>
          <w:numId w:val="2"/>
        </w:numPr>
        <w:spacing w:after="80" w:line="280"/>
      </w:pPr>
      <w:r>
        <w:t xml:space="preserve">Escalation paths — what the Board escalates to executive committee; what is escalated to the Board from delegated authorities.</w:t>
      </w:r>
    </w:p>
    <w:p>
      <w:pPr>
        <w:pStyle w:val="ListParagraph"/>
        <w:numPr>
          <w:ilvl w:val="0"/>
          <w:numId w:val="2"/>
        </w:numPr>
        <w:spacing w:after="80" w:line="280"/>
      </w:pPr>
      <w:r>
        <w:t xml:space="preserve">Sub-committees — Compliance Review panels, technical working groups, dispensation review panels operating under Board delegation.</w:t>
      </w:r>
    </w:p>
    <w:p>
      <w:pPr>
        <w:pStyle w:val="ListParagraph"/>
        <w:numPr>
          <w:ilvl w:val="0"/>
          <w:numId w:val="2"/>
        </w:numPr>
        <w:spacing w:after="80" w:line="280"/>
      </w:pPr>
      <w:r>
        <w:t xml:space="preserve">Relationship to the architecture function — how the Board relates to the architects who staff it day-to-day.</w:t>
      </w:r>
    </w:p>
    <w:p>
      <w:pPr>
        <w:pStyle w:val="Heading2"/>
        <w:spacing w:after="160" w:before="280"/>
      </w:pPr>
      <w:r>
        <w:rPr>
          <w:b/>
          <w:bCs/>
          <w:color w:val="2E75B6"/>
        </w:rPr>
        <w:t xml:space="preserve">2.4 What the Architecture Board Does</w:t>
      </w:r>
    </w:p>
    <w:p>
      <w:pPr>
        <w:spacing w:after="120" w:line="300"/>
        <w:jc w:val="both"/>
      </w:pPr>
      <w:r>
        <w:t xml:space="preserve">Beyond the high-level decision authority, the Board has a defined set of recurring activities:</w:t>
      </w:r>
    </w:p>
    <w:p>
      <w:pPr>
        <w:pStyle w:val="ListParagraph"/>
        <w:numPr>
          <w:ilvl w:val="0"/>
          <w:numId w:val="2"/>
        </w:numPr>
        <w:spacing w:after="80" w:line="280"/>
      </w:pPr>
      <w:r>
        <w:t xml:space="preserve">Approves significant architecture deliverables — the Architecture Definition Document, the Architecture Roadmap, the Implementation and Migration Plan.</w:t>
      </w:r>
    </w:p>
    <w:p>
      <w:pPr>
        <w:pStyle w:val="ListParagraph"/>
        <w:numPr>
          <w:ilvl w:val="0"/>
          <w:numId w:val="2"/>
        </w:numPr>
        <w:spacing w:after="80" w:line="280"/>
      </w:pPr>
      <w:r>
        <w:t xml:space="preserve">Approves the Tailored Architecture Framework, principles, and governance model produced in the Preliminary Phase.</w:t>
      </w:r>
    </w:p>
    <w:p>
      <w:pPr>
        <w:pStyle w:val="ListParagraph"/>
        <w:numPr>
          <w:ilvl w:val="0"/>
          <w:numId w:val="2"/>
        </w:numPr>
        <w:spacing w:after="80" w:line="280"/>
      </w:pPr>
      <w:r>
        <w:t xml:space="preserve">Conducts (or oversees Compliance Review panels conducting) Architecture Compliance Reviews and approves their outcomes.</w:t>
      </w:r>
    </w:p>
    <w:p>
      <w:pPr>
        <w:pStyle w:val="ListParagraph"/>
        <w:numPr>
          <w:ilvl w:val="0"/>
          <w:numId w:val="2"/>
        </w:numPr>
        <w:spacing w:after="80" w:line="280"/>
      </w:pPr>
      <w:r>
        <w:t xml:space="preserve">Issues, refuses, or revokes dispensations — formal time-bounded permissions for projects to deviate from the architecture.</w:t>
      </w:r>
    </w:p>
    <w:p>
      <w:pPr>
        <w:pStyle w:val="ListParagraph"/>
        <w:numPr>
          <w:ilvl w:val="0"/>
          <w:numId w:val="2"/>
        </w:numPr>
        <w:spacing w:after="80" w:line="280"/>
      </w:pPr>
      <w:r>
        <w:t xml:space="preserve">Issues, refuses, or revokes waivers — exemptions from process or rule.</w:t>
      </w:r>
    </w:p>
    <w:p>
      <w:pPr>
        <w:pStyle w:val="ListParagraph"/>
        <w:numPr>
          <w:ilvl w:val="0"/>
          <w:numId w:val="2"/>
        </w:numPr>
        <w:spacing w:after="80" w:line="280"/>
      </w:pPr>
      <w:r>
        <w:t xml:space="preserve">Updates entries in the Standards Information Base — adding, modifying, or retiring standards, with their lifecycle states.</w:t>
      </w:r>
    </w:p>
    <w:p>
      <w:pPr>
        <w:pStyle w:val="ListParagraph"/>
        <w:numPr>
          <w:ilvl w:val="0"/>
          <w:numId w:val="2"/>
        </w:numPr>
        <w:spacing w:after="80" w:line="280"/>
      </w:pPr>
      <w:r>
        <w:t xml:space="preserve">Arbitrates architectural disputes — between business units, between architecture and delivery, between competing strategic interpretations.</w:t>
      </w:r>
    </w:p>
    <w:p>
      <w:pPr>
        <w:pStyle w:val="ListParagraph"/>
        <w:numPr>
          <w:ilvl w:val="0"/>
          <w:numId w:val="2"/>
        </w:numPr>
        <w:spacing w:after="80" w:line="280"/>
      </w:pPr>
      <w:r>
        <w:t xml:space="preserve">Triggers new ADM cycles when Phase H classifies a change as Re-architecting (covered in Module 8).</w:t>
      </w:r>
    </w:p>
    <w:p>
      <w:pPr>
        <w:pStyle w:val="ListParagraph"/>
        <w:numPr>
          <w:ilvl w:val="0"/>
          <w:numId w:val="2"/>
        </w:numPr>
        <w:spacing w:after="80" w:line="280"/>
      </w:pPr>
      <w:r>
        <w:t xml:space="preserve">Reports the architecture function's outcomes upward to executive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An Architecture Board Meeting Agenda</w:t>
            </w:r>
          </w:p>
          <w:p>
            <w:pPr>
              <w:spacing w:after="60" w:line="280"/>
              <w:jc w:val="both"/>
            </w:pPr>
            <w:r>
              <w:t xml:space="preserve">Acme Bank Architecture Board — monthly meeting, 15 March 2025.</w:t>
            </w:r>
          </w:p>
          <w:p>
            <w:pPr>
              <w:spacing w:after="60" w:line="280"/>
              <w:jc w:val="both"/>
            </w:pPr>
            <w:r>
              <w:t xml:space="preserve">1. Approval of February minutes and outstanding actions.</w:t>
            </w:r>
          </w:p>
          <w:p>
            <w:pPr>
              <w:spacing w:after="60" w:line="280"/>
              <w:jc w:val="both"/>
            </w:pPr>
            <w:r>
              <w:t xml:space="preserve">2. Review of the Digital Onboarding ADD v3.0 — recommended for approval by the Compliance panel; Board to ratify.</w:t>
            </w:r>
          </w:p>
          <w:p>
            <w:pPr>
              <w:spacing w:after="60" w:line="280"/>
              <w:jc w:val="both"/>
            </w:pPr>
            <w:r>
              <w:t xml:space="preserve">3. Dispensation request: Customer Analytics Tool (Sybase ASE component) — review of justification and remediation plan; decision.</w:t>
            </w:r>
          </w:p>
          <w:p>
            <w:pPr>
              <w:spacing w:after="60" w:line="280"/>
              <w:jc w:val="both"/>
            </w:pPr>
            <w:r>
              <w:t xml:space="preserve">4. Compliance Review outcomes from the past month — five reviews completed; two Conformant, two Compliant (with remediation), one Non-Conformant escalated.</w:t>
            </w:r>
          </w:p>
          <w:p>
            <w:pPr>
              <w:spacing w:after="60" w:line="280"/>
              <w:jc w:val="both"/>
            </w:pPr>
            <w:r>
              <w:t xml:space="preserve">5. Standards Information Base update: TLS 1.2 moved from Mandatory to Recommended; TLS 1.3 mandated; vote.</w:t>
            </w:r>
          </w:p>
          <w:p>
            <w:pPr>
              <w:spacing w:after="60" w:line="280"/>
              <w:jc w:val="both"/>
            </w:pPr>
            <w:r>
              <w:t xml:space="preserve">6. Phase H change request: EU AI Act regulatory change — classification recommendation (Re-architecting) for Board confirmation; new RfAW to be drafted.</w:t>
            </w:r>
          </w:p>
          <w:p>
            <w:pPr>
              <w:spacing w:after="60" w:line="280"/>
              <w:jc w:val="both"/>
            </w:pPr>
            <w:r>
              <w:t xml:space="preserve">7. Quarterly metrics report — outcome metrics across the architecture function.</w:t>
            </w:r>
          </w:p>
          <w:p>
            <w:pPr>
              <w:spacing w:after="60" w:line="280"/>
              <w:jc w:val="both"/>
            </w:pPr>
            <w:r>
              <w:t xml:space="preserve">8. Any other business; next meeting 12 April.</w:t>
            </w:r>
          </w:p>
          <w:p>
            <w:pPr>
              <w:spacing w:after="60" w:line="280"/>
              <w:jc w:val="both"/>
            </w:pPr>
            <w:r>
              <w:t xml:space="preserve">All eight items are decisions or oversight matters within the Board's charter. Each will produce a Governance Log entry. None is purely advisory.</w:t>
            </w:r>
          </w:p>
        </w:tc>
      </w:tr>
    </w:tbl>
    <w:p>
      <w:r>
        <w:br w:type="page"/>
      </w:r>
    </w:p>
    <w:p>
      <w:pPr>
        <w:pStyle w:val="Heading1"/>
        <w:spacing w:after="200" w:before="360"/>
      </w:pPr>
      <w:r>
        <w:rPr>
          <w:b/>
          <w:bCs/>
          <w:color w:val="1F4E78"/>
        </w:rPr>
        <w:t xml:space="preserve">3. Organisation Models — Centralised, Federated, Hybrid (Hub &amp; Spoke)</w:t>
      </w:r>
    </w:p>
    <w:p>
      <w:pPr>
        <w:spacing w:after="120" w:line="300"/>
        <w:jc w:val="both"/>
      </w:pPr>
      <w:r>
        <w:t xml:space="preserve">Once the Architecture Board exists, the question becomes how to organise the architects who staff the function day-to-day. Three operating models recur across enterprises. The exam tests them by name and asks which is recommended in which situation. The third — Hybrid Hub-and-Spoke — is the recommended default for most large enterprises and is the syllabus-flagged model to remember.</w:t>
      </w:r>
    </w:p>
    <w:p>
      <w:pPr>
        <w:pStyle w:val="Heading2"/>
        <w:spacing w:after="160" w:before="280"/>
      </w:pPr>
      <w:r>
        <w:rPr>
          <w:b/>
          <w:bCs/>
          <w:color w:val="2E75B6"/>
        </w:rPr>
        <w:t xml:space="preserve">3.1 Model 1: Centralised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Centralised Architecture Model: </w:t>
            </w:r>
            <w:r>
              <w:t xml:space="preserve">An operating model in which all architects report to a single central architecture function, typically led by a Chief Architect reporting to the CIO or CTO. Architects are deployed to engagements from this central pool. Suited to smaller enterprises or to enterprises seeking strong consistency at the cost of local responsiveness.</w:t>
            </w:r>
          </w:p>
        </w:tc>
      </w:tr>
    </w:tbl>
    <w:p>
      <w:pPr>
        <w:pStyle w:val="Heading3"/>
        <w:spacing w:after="120" w:before="220"/>
      </w:pPr>
      <w:r>
        <w:rPr>
          <w:b/>
          <w:bCs/>
          <w:color w:val="404040"/>
        </w:rPr>
        <w:t xml:space="preserve">How It Works</w:t>
      </w:r>
    </w:p>
    <w:p>
      <w:pPr>
        <w:spacing w:after="120" w:line="300"/>
        <w:jc w:val="both"/>
      </w:pPr>
      <w:r>
        <w:t xml:space="preserve">All architects sit in one organisational unit. There is one set of standards, one operating model, one set of practices, one Architecture Board. Architects are assigned to engagements based on need; when an engagement ends, the architect returns to the central pool. Business units consume architecture services rather than owning architects of their own.</w:t>
      </w:r>
    </w:p>
    <w:p>
      <w:pPr>
        <w:pStyle w:val="Heading3"/>
        <w:spacing w:after="120" w:before="220"/>
      </w:pPr>
      <w:r>
        <w:rPr>
          <w:b/>
          <w:bCs/>
          <w:color w:val="404040"/>
        </w:rPr>
        <w:t xml:space="preserve">Strengths</w:t>
      </w:r>
    </w:p>
    <w:p>
      <w:pPr>
        <w:pStyle w:val="ListParagraph"/>
        <w:numPr>
          <w:ilvl w:val="0"/>
          <w:numId w:val="2"/>
        </w:numPr>
        <w:spacing w:after="80" w:line="280"/>
      </w:pPr>
      <w:r>
        <w:t xml:space="preserve">Strong consistency — one set of practices, easily enforced.</w:t>
      </w:r>
    </w:p>
    <w:p>
      <w:pPr>
        <w:pStyle w:val="ListParagraph"/>
        <w:numPr>
          <w:ilvl w:val="0"/>
          <w:numId w:val="2"/>
        </w:numPr>
        <w:spacing w:after="80" w:line="280"/>
      </w:pPr>
      <w:r>
        <w:t xml:space="preserve">Clear career paths and skills development.</w:t>
      </w:r>
    </w:p>
    <w:p>
      <w:pPr>
        <w:pStyle w:val="ListParagraph"/>
        <w:numPr>
          <w:ilvl w:val="0"/>
          <w:numId w:val="2"/>
        </w:numPr>
        <w:spacing w:after="80" w:line="280"/>
      </w:pPr>
      <w:r>
        <w:t xml:space="preserve">Efficient at small or moderate scale.</w:t>
      </w:r>
    </w:p>
    <w:p>
      <w:pPr>
        <w:pStyle w:val="ListParagraph"/>
        <w:numPr>
          <w:ilvl w:val="0"/>
          <w:numId w:val="2"/>
        </w:numPr>
        <w:spacing w:after="80" w:line="280"/>
      </w:pPr>
      <w:r>
        <w:t xml:space="preserve">Strong central authority for governance.</w:t>
      </w:r>
    </w:p>
    <w:p>
      <w:pPr>
        <w:pStyle w:val="ListParagraph"/>
        <w:numPr>
          <w:ilvl w:val="0"/>
          <w:numId w:val="2"/>
        </w:numPr>
        <w:spacing w:after="80" w:line="280"/>
      </w:pPr>
      <w:r>
        <w:t xml:space="preserve">Easy to maintain a coherent enterprise-wide view.</w:t>
      </w:r>
    </w:p>
    <w:p>
      <w:pPr>
        <w:pStyle w:val="Heading3"/>
        <w:spacing w:after="120" w:before="220"/>
      </w:pPr>
      <w:r>
        <w:rPr>
          <w:b/>
          <w:bCs/>
          <w:color w:val="404040"/>
        </w:rPr>
        <w:t xml:space="preserve">Weaknesses</w:t>
      </w:r>
    </w:p>
    <w:p>
      <w:pPr>
        <w:pStyle w:val="ListParagraph"/>
        <w:numPr>
          <w:ilvl w:val="0"/>
          <w:numId w:val="2"/>
        </w:numPr>
        <w:spacing w:after="80" w:line="280"/>
      </w:pPr>
      <w:r>
        <w:t xml:space="preserve">Slow responsiveness to local business needs — every engagement queues for central capacity.</w:t>
      </w:r>
    </w:p>
    <w:p>
      <w:pPr>
        <w:pStyle w:val="ListParagraph"/>
        <w:numPr>
          <w:ilvl w:val="0"/>
          <w:numId w:val="2"/>
        </w:numPr>
        <w:spacing w:after="80" w:line="280"/>
      </w:pPr>
      <w:r>
        <w:t xml:space="preserve">Risk of disconnection from business reality — central architects may lack deep business-unit context.</w:t>
      </w:r>
    </w:p>
    <w:p>
      <w:pPr>
        <w:pStyle w:val="ListParagraph"/>
        <w:numPr>
          <w:ilvl w:val="0"/>
          <w:numId w:val="2"/>
        </w:numPr>
        <w:spacing w:after="80" w:line="280"/>
      </w:pPr>
      <w:r>
        <w:t xml:space="preserve">Bottleneck risk — at scale, the central function becomes a constraint.</w:t>
      </w:r>
    </w:p>
    <w:p>
      <w:pPr>
        <w:pStyle w:val="ListParagraph"/>
        <w:numPr>
          <w:ilvl w:val="0"/>
          <w:numId w:val="2"/>
        </w:numPr>
        <w:spacing w:after="80" w:line="280"/>
      </w:pPr>
      <w:r>
        <w:t xml:space="preserve">Resistance from business units who feel architecture is imposed from outside.</w:t>
      </w:r>
    </w:p>
    <w:p>
      <w:pPr>
        <w:pStyle w:val="ListParagraph"/>
        <w:numPr>
          <w:ilvl w:val="0"/>
          <w:numId w:val="2"/>
        </w:numPr>
        <w:spacing w:after="80" w:line="280"/>
      </w:pPr>
      <w:r>
        <w:t xml:space="preserve">Single point of failure — if the central function loses capability, no fallback exists.</w:t>
      </w:r>
    </w:p>
    <w:p>
      <w:pPr>
        <w:pStyle w:val="Heading2"/>
        <w:spacing w:after="160" w:before="280"/>
      </w:pPr>
      <w:r>
        <w:rPr>
          <w:b/>
          <w:bCs/>
          <w:color w:val="2E75B6"/>
        </w:rPr>
        <w:t xml:space="preserve">3.2 Model 2: Federated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Federated Architecture Model: </w:t>
            </w:r>
            <w:r>
              <w:t xml:space="preserve">An operating model in which architects are distributed across business units, each reporting locally, with a small central body (often only a Chief Architect and a small staff) coordinating across them. Suited to enterprises with strong autonomous business units or significant geographic distribution; sacrifices consistency for local responsiveness.</w:t>
            </w:r>
          </w:p>
        </w:tc>
      </w:tr>
    </w:tbl>
    <w:p>
      <w:pPr>
        <w:pStyle w:val="Heading3"/>
        <w:spacing w:after="120" w:before="220"/>
      </w:pPr>
      <w:r>
        <w:rPr>
          <w:b/>
          <w:bCs/>
          <w:color w:val="404040"/>
        </w:rPr>
        <w:t xml:space="preserve">How It Works</w:t>
      </w:r>
    </w:p>
    <w:p>
      <w:pPr>
        <w:spacing w:after="120" w:line="300"/>
        <w:jc w:val="both"/>
      </w:pPr>
      <w:r>
        <w:t xml:space="preserve">Each business unit has its own architecture team, reporting to local leadership. A small enterprise architecture office at the centre — typically just a Chief Architect with a small team — sets minimal cross-cutting standards, runs the enterprise Architecture Board, and coordinates between unit-level functions. Most architectural decisions happen locally; only the largest cross-cutting matters reach the centre.</w:t>
      </w:r>
    </w:p>
    <w:p>
      <w:pPr>
        <w:pStyle w:val="Heading3"/>
        <w:spacing w:after="120" w:before="220"/>
      </w:pPr>
      <w:r>
        <w:rPr>
          <w:b/>
          <w:bCs/>
          <w:color w:val="404040"/>
        </w:rPr>
        <w:t xml:space="preserve">Strengths</w:t>
      </w:r>
    </w:p>
    <w:p>
      <w:pPr>
        <w:pStyle w:val="ListParagraph"/>
        <w:numPr>
          <w:ilvl w:val="0"/>
          <w:numId w:val="2"/>
        </w:numPr>
        <w:spacing w:after="80" w:line="280"/>
      </w:pPr>
      <w:r>
        <w:t xml:space="preserve">Highly responsive to local business needs — architects sit with the business they serve.</w:t>
      </w:r>
    </w:p>
    <w:p>
      <w:pPr>
        <w:pStyle w:val="ListParagraph"/>
        <w:numPr>
          <w:ilvl w:val="0"/>
          <w:numId w:val="2"/>
        </w:numPr>
        <w:spacing w:after="80" w:line="280"/>
      </w:pPr>
      <w:r>
        <w:t xml:space="preserve">Strong contextual understanding.</w:t>
      </w:r>
    </w:p>
    <w:p>
      <w:pPr>
        <w:pStyle w:val="ListParagraph"/>
        <w:numPr>
          <w:ilvl w:val="0"/>
          <w:numId w:val="2"/>
        </w:numPr>
        <w:spacing w:after="80" w:line="280"/>
      </w:pPr>
      <w:r>
        <w:t xml:space="preserve">Scales well across large or geographically distributed enterprises.</w:t>
      </w:r>
    </w:p>
    <w:p>
      <w:pPr>
        <w:pStyle w:val="ListParagraph"/>
        <w:numPr>
          <w:ilvl w:val="0"/>
          <w:numId w:val="2"/>
        </w:numPr>
        <w:spacing w:after="80" w:line="280"/>
      </w:pPr>
      <w:r>
        <w:t xml:space="preserve">Resilient — failure in one unit's function does not affect others.</w:t>
      </w:r>
    </w:p>
    <w:p>
      <w:pPr>
        <w:pStyle w:val="ListParagraph"/>
        <w:numPr>
          <w:ilvl w:val="0"/>
          <w:numId w:val="2"/>
        </w:numPr>
        <w:spacing w:after="80" w:line="280"/>
      </w:pPr>
      <w:r>
        <w:t xml:space="preserve">Embraces autonomy — fits enterprises with strong unit-level cultures.</w:t>
      </w:r>
    </w:p>
    <w:p>
      <w:pPr>
        <w:pStyle w:val="Heading3"/>
        <w:spacing w:after="120" w:before="220"/>
      </w:pPr>
      <w:r>
        <w:rPr>
          <w:b/>
          <w:bCs/>
          <w:color w:val="404040"/>
        </w:rPr>
        <w:t xml:space="preserve">Weaknesses</w:t>
      </w:r>
    </w:p>
    <w:p>
      <w:pPr>
        <w:pStyle w:val="ListParagraph"/>
        <w:numPr>
          <w:ilvl w:val="0"/>
          <w:numId w:val="2"/>
        </w:numPr>
        <w:spacing w:after="80" w:line="280"/>
      </w:pPr>
      <w:r>
        <w:t xml:space="preserve">Inconsistency — different units develop different practices, vocabularies, and standards.</w:t>
      </w:r>
    </w:p>
    <w:p>
      <w:pPr>
        <w:pStyle w:val="ListParagraph"/>
        <w:numPr>
          <w:ilvl w:val="0"/>
          <w:numId w:val="2"/>
        </w:numPr>
        <w:spacing w:after="80" w:line="280"/>
      </w:pPr>
      <w:r>
        <w:t xml:space="preserve">Weak enterprise-wide view — cross-cutting concerns are under-served.</w:t>
      </w:r>
    </w:p>
    <w:p>
      <w:pPr>
        <w:pStyle w:val="ListParagraph"/>
        <w:numPr>
          <w:ilvl w:val="0"/>
          <w:numId w:val="2"/>
        </w:numPr>
        <w:spacing w:after="80" w:line="280"/>
      </w:pPr>
      <w:r>
        <w:t xml:space="preserve">Duplication — every unit redoes work that could have been shared.</w:t>
      </w:r>
    </w:p>
    <w:p>
      <w:pPr>
        <w:pStyle w:val="ListParagraph"/>
        <w:numPr>
          <w:ilvl w:val="0"/>
          <w:numId w:val="2"/>
        </w:numPr>
        <w:spacing w:after="80" w:line="280"/>
      </w:pPr>
      <w:r>
        <w:t xml:space="preserve">Weaker governance — central authority is limited.</w:t>
      </w:r>
    </w:p>
    <w:p>
      <w:pPr>
        <w:pStyle w:val="ListParagraph"/>
        <w:numPr>
          <w:ilvl w:val="0"/>
          <w:numId w:val="2"/>
        </w:numPr>
        <w:spacing w:after="80" w:line="280"/>
      </w:pPr>
      <w:r>
        <w:t xml:space="preserve">Risk of architectural fragmentation accumulating into Module 1's six failure patterns.</w:t>
      </w:r>
    </w:p>
    <w:p>
      <w:pPr>
        <w:pStyle w:val="Heading2"/>
        <w:spacing w:after="160" w:before="280"/>
      </w:pPr>
      <w:r>
        <w:rPr>
          <w:b/>
          <w:bCs/>
          <w:color w:val="2E75B6"/>
        </w:rPr>
        <w:t xml:space="preserve">3.3 Model 3: Hybrid (Hub &amp; Spoke) —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Hybrid (Hub-and-Spoke) Architecture Model: </w:t>
            </w:r>
            <w:r>
              <w:t xml:space="preserve">An operating model combining a strong central enterprise architecture function (the Hub) with embedded architects in business units or domains (the Spokes). The Hub sets enterprise standards, runs the Architecture Board, and owns cross-cutting concerns; the Spokes provide local responsiveness and business-context expertise. The recommended default for most large enterprises because it balances consistency with responsiveness.</w:t>
            </w:r>
          </w:p>
        </w:tc>
      </w:tr>
    </w:tbl>
    <w:p>
      <w:pPr>
        <w:pStyle w:val="Heading3"/>
        <w:spacing w:after="120" w:before="220"/>
      </w:pPr>
      <w:r>
        <w:rPr>
          <w:b/>
          <w:bCs/>
          <w:color w:val="404040"/>
        </w:rPr>
        <w:t xml:space="preserve">How It Works</w:t>
      </w:r>
    </w:p>
    <w:p>
      <w:pPr>
        <w:spacing w:after="120" w:line="300"/>
        <w:jc w:val="both"/>
      </w:pPr>
      <w:r>
        <w:t xml:space="preserve">The Hub is a substantial enterprise architecture team — typically 5–20 architects depending on enterprise size — that owns enterprise standards, the Architecture Board, the Repository, the Tailored Framework, the principles, and cross-cutting concerns. The Spokes are architects embedded in business units or domains, reporting locally for day-to-day work but with a dotted line into the central Chief Architect for architectural matters. Local Spokes follow Hub standards; Hub provides services and oversight to Spokes; both contribute to the Architecture Board.</w:t>
      </w:r>
    </w:p>
    <w:p>
      <w:pPr>
        <w:pStyle w:val="Heading3"/>
        <w:spacing w:after="120" w:before="220"/>
      </w:pPr>
      <w:r>
        <w:rPr>
          <w:b/>
          <w:bCs/>
          <w:color w:val="404040"/>
        </w:rPr>
        <w:t xml:space="preserve">Strengths</w:t>
      </w:r>
    </w:p>
    <w:p>
      <w:pPr>
        <w:pStyle w:val="ListParagraph"/>
        <w:numPr>
          <w:ilvl w:val="0"/>
          <w:numId w:val="2"/>
        </w:numPr>
        <w:spacing w:after="80" w:line="280"/>
      </w:pPr>
      <w:r>
        <w:t xml:space="preserve">Balances consistency (from the Hub) with responsiveness (from the Spokes).</w:t>
      </w:r>
    </w:p>
    <w:p>
      <w:pPr>
        <w:pStyle w:val="ListParagraph"/>
        <w:numPr>
          <w:ilvl w:val="0"/>
          <w:numId w:val="2"/>
        </w:numPr>
        <w:spacing w:after="80" w:line="280"/>
      </w:pPr>
      <w:r>
        <w:t xml:space="preserve">Strong enterprise-wide view maintained at the Hub.</w:t>
      </w:r>
    </w:p>
    <w:p>
      <w:pPr>
        <w:pStyle w:val="ListParagraph"/>
        <w:numPr>
          <w:ilvl w:val="0"/>
          <w:numId w:val="2"/>
        </w:numPr>
        <w:spacing w:after="80" w:line="280"/>
      </w:pPr>
      <w:r>
        <w:t xml:space="preserve">Strong local context maintained at the Spokes.</w:t>
      </w:r>
    </w:p>
    <w:p>
      <w:pPr>
        <w:pStyle w:val="ListParagraph"/>
        <w:numPr>
          <w:ilvl w:val="0"/>
          <w:numId w:val="2"/>
        </w:numPr>
        <w:spacing w:after="80" w:line="280"/>
      </w:pPr>
      <w:r>
        <w:t xml:space="preserve">Scales — the Hub grows linearly with cross-cutting work; the Spokes grow with business-unit work.</w:t>
      </w:r>
    </w:p>
    <w:p>
      <w:pPr>
        <w:pStyle w:val="ListParagraph"/>
        <w:numPr>
          <w:ilvl w:val="0"/>
          <w:numId w:val="2"/>
        </w:numPr>
        <w:spacing w:after="80" w:line="280"/>
      </w:pPr>
      <w:r>
        <w:t xml:space="preserve">Clear governance — the Hub's authority is institutional, not personal.</w:t>
      </w:r>
    </w:p>
    <w:p>
      <w:pPr>
        <w:pStyle w:val="ListParagraph"/>
        <w:numPr>
          <w:ilvl w:val="0"/>
          <w:numId w:val="2"/>
        </w:numPr>
        <w:spacing w:after="80" w:line="280"/>
      </w:pPr>
      <w:r>
        <w:t xml:space="preserve">Career paths span Hub and Spoke — architects can rotate between.</w:t>
      </w:r>
    </w:p>
    <w:p>
      <w:pPr>
        <w:pStyle w:val="Heading3"/>
        <w:spacing w:after="120" w:before="220"/>
      </w:pPr>
      <w:r>
        <w:rPr>
          <w:b/>
          <w:bCs/>
          <w:color w:val="404040"/>
        </w:rPr>
        <w:t xml:space="preserve">Weaknesses (and Why It's Still Recommended)</w:t>
      </w:r>
    </w:p>
    <w:p>
      <w:pPr>
        <w:pStyle w:val="ListParagraph"/>
        <w:numPr>
          <w:ilvl w:val="0"/>
          <w:numId w:val="2"/>
        </w:numPr>
        <w:spacing w:after="80" w:line="280"/>
      </w:pPr>
      <w:r>
        <w:t xml:space="preserve">More complex to operate — two reporting lines for each Spoke architect requires careful management.</w:t>
      </w:r>
    </w:p>
    <w:p>
      <w:pPr>
        <w:pStyle w:val="ListParagraph"/>
        <w:numPr>
          <w:ilvl w:val="0"/>
          <w:numId w:val="2"/>
        </w:numPr>
        <w:spacing w:after="80" w:line="280"/>
      </w:pPr>
      <w:r>
        <w:t xml:space="preserve">Risk of dotted-line authority being ignored — Hub influence depends on Hub credibility.</w:t>
      </w:r>
    </w:p>
    <w:p>
      <w:pPr>
        <w:pStyle w:val="ListParagraph"/>
        <w:numPr>
          <w:ilvl w:val="0"/>
          <w:numId w:val="2"/>
        </w:numPr>
        <w:spacing w:after="80" w:line="280"/>
      </w:pPr>
      <w:r>
        <w:t xml:space="preserve">Coordination overhead — Hub-Spoke meetings, joint forums, cross-architecture synchronisation.</w:t>
      </w:r>
    </w:p>
    <w:p>
      <w:pPr>
        <w:pStyle w:val="ListParagraph"/>
        <w:numPr>
          <w:ilvl w:val="0"/>
          <w:numId w:val="2"/>
        </w:numPr>
        <w:spacing w:after="80" w:line="280"/>
      </w:pPr>
      <w:r>
        <w:t xml:space="preserve">Yet despite these costs, Hybrid is the recommended default because the alternatives have worse failure modes at scale: pure Centralised becomes a bottleneck; pure Federated produces fragmentation. Hybrid trades some operating complexity for substantially better outcomes.</w:t>
      </w:r>
    </w:p>
    <w:p>
      <w:pPr>
        <w:pStyle w:val="Heading2"/>
        <w:spacing w:after="160" w:before="280"/>
      </w:pPr>
      <w:r>
        <w:rPr>
          <w:b/>
          <w:bCs/>
          <w:color w:val="2E75B6"/>
        </w:rPr>
        <w:t xml:space="preserve">3.4 The Three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8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Centralised</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Federated</w:t>
            </w:r>
          </w:p>
        </w:tc>
        <w:tc>
          <w:tcPr>
            <w:tcW w:type="dxa" w:w="2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Hybrid (Hub &amp; Spoke)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Reporting</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All architects to one centre</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Architects to local business units</w:t>
            </w:r>
          </w:p>
        </w:tc>
        <w:tc>
          <w:tcPr>
            <w:tcW w:type="dxa" w:w="2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Hub to centre; Spokes locally with dotted line to centre</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Consistency</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Strong</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Weak</w:t>
            </w:r>
          </w:p>
        </w:tc>
        <w:tc>
          <w:tcPr>
            <w:tcW w:type="dxa" w:w="2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Strong (from Hub)</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Local responsiveness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Weak</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Strong</w:t>
            </w:r>
          </w:p>
        </w:tc>
        <w:tc>
          <w:tcPr>
            <w:tcW w:type="dxa" w:w="2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Strong (from Spokes)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Scale</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Bottleneck risk above moderate size</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Scales well; loses coherence</w:t>
            </w:r>
          </w:p>
        </w:tc>
        <w:tc>
          <w:tcPr>
            <w:tcW w:type="dxa" w:w="2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Scales; maintains coherence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Best fit</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Smaller enterprises; high-conformance environments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Highly autonomous units; geographic distribution</w:t>
            </w:r>
          </w:p>
        </w:tc>
        <w:tc>
          <w:tcPr>
            <w:tcW w:type="dxa" w:w="2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Most large enterprises (recommended default)</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Governance authority</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Strong central</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Weak central</w:t>
            </w:r>
          </w:p>
        </w:tc>
        <w:tc>
          <w:tcPr>
            <w:tcW w:type="dxa" w:w="2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Strong central with local execution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Why Hybrid Is the Recommended Default</w:t>
            </w:r>
          </w:p>
          <w:p>
            <w:pPr>
              <w:spacing w:after="60" w:line="280"/>
              <w:jc w:val="both"/>
            </w:pPr>
            <w:r>
              <w:t xml:space="preserve">Centralised models bottleneck at scale; Federated models fragment. Hybrid combines the consistency of Centralised with the responsiveness of Federated by deliberately separating cross-cutting concerns (Hub) from business-unit-specific concerns (Spokes), with clear authority over each. Most large enterprises end up at Hybrid not by initial design but after discovering that the alternatives fail. Adopting Hybrid deliberately from the outset avoids the painful detour.</w:t>
            </w:r>
          </w:p>
        </w:tc>
      </w:tr>
    </w:tbl>
    <w:p>
      <w:r>
        <w:br w:type="page"/>
      </w:r>
    </w:p>
    <w:p>
      <w:pPr>
        <w:pStyle w:val="Heading1"/>
        <w:spacing w:after="200" w:before="360"/>
      </w:pPr>
      <w:r>
        <w:rPr>
          <w:b/>
          <w:bCs/>
          <w:color w:val="1F4E78"/>
        </w:rPr>
        <w:t xml:space="preserve">4. Architecture Roles</w:t>
      </w:r>
    </w:p>
    <w:p>
      <w:pPr>
        <w:spacing w:after="120" w:line="300"/>
        <w:jc w:val="both"/>
      </w:pPr>
      <w:r>
        <w:t xml:space="preserve">The architecture function is staffed by architects in defined roles, with defined accountability and skill expectations. The standard role structure scales from small enterprises (where one person may wear multiple role hats) to global enterprises (where each role is staffed by a team). Knowing the standard roles, what each does, and how they relate is part of the foundation for any architecture leader.</w:t>
      </w:r>
    </w:p>
    <w:p>
      <w:pPr>
        <w:pStyle w:val="Heading2"/>
        <w:spacing w:after="160" w:before="280"/>
      </w:pPr>
      <w:r>
        <w:rPr>
          <w:b/>
          <w:bCs/>
          <w:color w:val="2E75B6"/>
        </w:rPr>
        <w:t xml:space="preserve">4.1 The Standard Role Hierarchy</w:t>
      </w:r>
    </w:p>
    <w:p>
      <w:pPr>
        <w:spacing w:after="120" w:line="300"/>
        <w:jc w:val="both"/>
      </w:pPr>
      <w:r>
        <w:t xml:space="preserve">From the most senior to the most specific:</w:t>
      </w:r>
    </w:p>
    <w:p>
      <w:pPr>
        <w:pStyle w:val="Heading3"/>
        <w:spacing w:after="120" w:before="220"/>
      </w:pPr>
      <w:r>
        <w:rPr>
          <w:b/>
          <w:bCs/>
          <w:color w:val="404040"/>
        </w:rPr>
        <w:t xml:space="preserve">Chief Architect</w:t>
      </w:r>
    </w:p>
    <w:p>
      <w:pPr>
        <w:spacing w:after="120" w:line="300"/>
        <w:jc w:val="both"/>
      </w:pPr>
      <w:r>
        <w:t xml:space="preserve">The most senior architecture role in the enterprise. Typically reports to the CIO or CTO. Owns the architecture function as a whole, the Tailored Architecture Framework, the principles, the Architecture Board (often as chair), and the relationship to executive leadership. Accountable for the value the architecture function delivers to the enterprise. In small enterprises this role is sometimes filled by the CIO directly; in large enterprises it is a full-time role with a substantial team.</w:t>
      </w:r>
    </w:p>
    <w:p>
      <w:pPr>
        <w:pStyle w:val="Heading3"/>
        <w:spacing w:after="120" w:before="220"/>
      </w:pPr>
      <w:r>
        <w:rPr>
          <w:b/>
          <w:bCs/>
          <w:color w:val="404040"/>
        </w:rPr>
        <w:t xml:space="preserve">Enterprise Architect</w:t>
      </w:r>
    </w:p>
    <w:p>
      <w:pPr>
        <w:spacing w:after="120" w:line="300"/>
        <w:jc w:val="both"/>
      </w:pPr>
      <w:r>
        <w:t xml:space="preserve">Senior architects with cross-cutting, enterprise-wide remit. They shape the enterprise architecture across business units, take strategic architecture decisions, and own the most important architectural deliverables (the Architecture Definition Document at enterprise level, the enterprise Architecture Vision). They are the principal authors of the enterprise's architecture and the principal interlocutors for executive stakeholders. Typically 3–10 in a large enterprise.</w:t>
      </w:r>
    </w:p>
    <w:p>
      <w:pPr>
        <w:pStyle w:val="Heading3"/>
        <w:spacing w:after="120" w:before="220"/>
      </w:pPr>
      <w:r>
        <w:rPr>
          <w:b/>
          <w:bCs/>
          <w:color w:val="404040"/>
        </w:rPr>
        <w:t xml:space="preserve">Domain Architect</w:t>
      </w:r>
    </w:p>
    <w:p>
      <w:pPr>
        <w:spacing w:after="120" w:line="300"/>
        <w:jc w:val="both"/>
      </w:pPr>
      <w:r>
        <w:t xml:space="preserve">Architects with deep specialism in a specific domain — Business Architecture, Data Architecture, Application Architecture, Technology Architecture, Security Architecture, or a business domain (Retail, Wealth, Risk, etc.). They lead architecture work within their domain, contribute domain-specific input to enterprise architectures, and own the domain-specific Reference Library content. Each large enterprise typically has 5–20 Domain Architects across its various domains.</w:t>
      </w:r>
    </w:p>
    <w:p>
      <w:pPr>
        <w:pStyle w:val="Heading3"/>
        <w:spacing w:after="120" w:before="220"/>
      </w:pPr>
      <w:r>
        <w:rPr>
          <w:b/>
          <w:bCs/>
          <w:color w:val="404040"/>
        </w:rPr>
        <w:t xml:space="preserve">Solution Architect</w:t>
      </w:r>
    </w:p>
    <w:p>
      <w:pPr>
        <w:spacing w:after="120" w:line="300"/>
        <w:jc w:val="both"/>
      </w:pPr>
      <w:r>
        <w:t xml:space="preserve">Architects who lead the architecture for specific solutions, programmes, or projects — typically at the Capability or Segment level rather than enterprise level. They produce solution designs, API contracts, and detailed deployment specifications. They are the architects most directly engaged with delivery teams in Phase G. Solution Architects are typically the largest single architect group in a large enterprise — dozens to hundreds, depending on programme volume.</w:t>
      </w:r>
    </w:p>
    <w:p>
      <w:pPr>
        <w:pStyle w:val="Heading3"/>
        <w:spacing w:after="120" w:before="220"/>
      </w:pPr>
      <w:r>
        <w:rPr>
          <w:b/>
          <w:bCs/>
          <w:color w:val="404040"/>
        </w:rPr>
        <w:t xml:space="preserve">Other Specialised Architects</w:t>
      </w:r>
    </w:p>
    <w:p>
      <w:pPr>
        <w:spacing w:after="120" w:line="300"/>
        <w:jc w:val="both"/>
      </w:pPr>
      <w:r>
        <w:t xml:space="preserve">Many enterprises also have specialised roles: Integration Architect (cross-system integration), Cloud Architect (cloud-specific design), Security Architect (security-domain specialism, often reporting jointly to Architecture and Security functions), Data Architect (data-specific specialism), Industry Architect (regulatory and industry-specific specialism in highly-regulated environments). These are typically variations of Domain Architect with finer-grained specialism.</w:t>
      </w:r>
    </w:p>
    <w:p>
      <w:pPr>
        <w:pStyle w:val="Heading2"/>
        <w:spacing w:after="160" w:before="280"/>
      </w:pPr>
      <w:r>
        <w:rPr>
          <w:b/>
          <w:bCs/>
          <w:color w:val="2E75B6"/>
        </w:rPr>
        <w:t xml:space="preserve">4.2 Roles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200"/>
        <w:gridCol w:w="30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Role</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Scope</w:t>
            </w:r>
          </w:p>
        </w:tc>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Reports To</w:t>
            </w:r>
          </w:p>
        </w:tc>
        <w:tc>
          <w:tcPr>
            <w:tcW w:type="dxa" w:w="30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Owns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Chief Architect</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Whole architecture function</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CIO / CTO</w:t>
            </w:r>
          </w:p>
        </w:tc>
        <w:tc>
          <w:tcPr>
            <w:tcW w:type="dxa" w:w="3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Function, Board, framework, principles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Enterprise Architect</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Enterprise-wide, cross-domain</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Chief Architect</w:t>
            </w:r>
          </w:p>
        </w:tc>
        <w:tc>
          <w:tcPr>
            <w:tcW w:type="dxa" w:w="30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Strategic and cross-cutting architectures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Domain Architect</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One domain (Business / Data / App / Tech / Security or business vertical)</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Chief Architect or senior EA</w:t>
            </w:r>
          </w:p>
        </w:tc>
        <w:tc>
          <w:tcPr>
            <w:tcW w:type="dxa" w:w="3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Domain-specific architecture and Reference Library content</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Solution Architect</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One solution / programme / capability</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Domain Architect or programme lead</w:t>
            </w:r>
          </w:p>
        </w:tc>
        <w:tc>
          <w:tcPr>
            <w:tcW w:type="dxa" w:w="30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Solution design, API contracts, deployment specs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Specialised Architect (Integration / Cloud / etc.)</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Specific cross-cutting concern</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Chief Architect or relevant Domain Architect</w:t>
            </w:r>
          </w:p>
        </w:tc>
        <w:tc>
          <w:tcPr>
            <w:tcW w:type="dxa" w:w="3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Specialism-specific designs and standards</w:t>
            </w:r>
          </w:p>
        </w:tc>
      </w:tr>
    </w:tbl>
    <w:p>
      <w:pPr>
        <w:pStyle w:val="Heading2"/>
        <w:spacing w:after="160" w:before="280"/>
      </w:pPr>
      <w:r>
        <w:rPr>
          <w:b/>
          <w:bCs/>
          <w:color w:val="2E75B6"/>
        </w:rPr>
        <w:t xml:space="preserve">4.3 Skills and Career Paths</w:t>
      </w:r>
    </w:p>
    <w:p>
      <w:pPr>
        <w:spacing w:after="120" w:line="300"/>
        <w:jc w:val="both"/>
      </w:pPr>
      <w:r>
        <w:t xml:space="preserve">The TOGAF Architecture Skills Framework defines proficiency levels for each role and supports HR processes. The standard proficiency scale is typically:</w:t>
      </w:r>
    </w:p>
    <w:p>
      <w:pPr>
        <w:pStyle w:val="ListParagraph"/>
        <w:numPr>
          <w:ilvl w:val="0"/>
          <w:numId w:val="2"/>
        </w:numPr>
        <w:spacing w:after="80" w:line="280"/>
      </w:pPr>
      <w:r>
        <w:t xml:space="preserve">Level 1 — Awareness. Knows the topic exists; can read material on it.</w:t>
      </w:r>
    </w:p>
    <w:p>
      <w:pPr>
        <w:pStyle w:val="ListParagraph"/>
        <w:numPr>
          <w:ilvl w:val="0"/>
          <w:numId w:val="2"/>
        </w:numPr>
        <w:spacing w:after="80" w:line="280"/>
      </w:pPr>
      <w:r>
        <w:t xml:space="preserve">Level 2 — Application. Can apply the topic in supervised work.</w:t>
      </w:r>
    </w:p>
    <w:p>
      <w:pPr>
        <w:pStyle w:val="ListParagraph"/>
        <w:numPr>
          <w:ilvl w:val="0"/>
          <w:numId w:val="2"/>
        </w:numPr>
        <w:spacing w:after="80" w:line="280"/>
      </w:pPr>
      <w:r>
        <w:t xml:space="preserve">Level 3 — Practice. Can lead application of the topic independently.</w:t>
      </w:r>
    </w:p>
    <w:p>
      <w:pPr>
        <w:pStyle w:val="ListParagraph"/>
        <w:numPr>
          <w:ilvl w:val="0"/>
          <w:numId w:val="2"/>
        </w:numPr>
        <w:spacing w:after="80" w:line="280"/>
      </w:pPr>
      <w:r>
        <w:t xml:space="preserve">Level 4 — Expert. Can shape practice in the topic; recognised authority.</w:t>
      </w:r>
    </w:p>
    <w:p>
      <w:pPr>
        <w:spacing w:after="120" w:line="300"/>
        <w:jc w:val="both"/>
      </w:pPr>
      <w:r>
        <w:t xml:space="preserve">Different roles require different proficiency profiles across the architecture skill categories. A Solution Architect typically needs Level 3+ in technical architecture skills and Level 2 in strategic architecture; a Chief Architect typically needs Level 3+ in all categories. Proficiency profiles inform hiring, development plans, certification expectations (TOGAF Foundation for entry-level architects; TOGAF Practitioner for senior roles), and rotation planning.</w:t>
      </w:r>
    </w:p>
    <w:p>
      <w:r>
        <w:br w:type="page"/>
      </w:r>
    </w:p>
    <w:p>
      <w:pPr>
        <w:pStyle w:val="Heading1"/>
        <w:spacing w:after="200" w:before="360"/>
      </w:pPr>
      <w:r>
        <w:rPr>
          <w:b/>
          <w:bCs/>
          <w:color w:val="1F4E78"/>
        </w:rPr>
        <w:t xml:space="preserve">5. Architecture Decision Records (ADRs)</w:t>
      </w:r>
    </w:p>
    <w:p>
      <w:pPr>
        <w:spacing w:after="120" w:line="300"/>
        <w:jc w:val="both"/>
      </w:pPr>
      <w:r>
        <w:t xml:space="preserve">Every architectural decision the function takes — about platforms, patterns, technology choices, integration approaches, principles applied — should be recorded. The standard format for doing so is the Architecture Decision Record, abbreviated ADR. ADRs are short, structured documents that capture why a decision was made, with enough context that a future reader (often years later, after personnel have rotated) can understand the rationale and decide whether the decision still applies.</w:t>
      </w:r>
    </w:p>
    <w:p>
      <w:pPr>
        <w:pStyle w:val="Heading2"/>
        <w:spacing w:after="160" w:before="280"/>
      </w:pPr>
      <w:r>
        <w:rPr>
          <w:b/>
          <w:bCs/>
          <w:color w:val="2E75B6"/>
        </w:rPr>
        <w:t xml:space="preserve">5.1 What an ADR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Decision Record (ADR): </w:t>
            </w:r>
            <w:r>
              <w:t xml:space="preserve">A structured, short document recording an architectural decision, its context, rationale, and consequences. Standardly contains four sections: Context, Decision, Rationale, and Consequences. Stored in the Governance Log section of the Architecture Repository. The principal mechanism by which architectural decisions become defensible, traceable, and revisable over time.</w:t>
            </w:r>
          </w:p>
        </w:tc>
      </w:tr>
    </w:tbl>
    <w:p>
      <w:pPr>
        <w:pStyle w:val="Heading2"/>
        <w:spacing w:after="160" w:before="280"/>
      </w:pPr>
      <w:r>
        <w:rPr>
          <w:b/>
          <w:bCs/>
          <w:color w:val="2E75B6"/>
        </w:rPr>
        <w:t xml:space="preserve">5.2 The Four Standard Sections</w:t>
      </w:r>
    </w:p>
    <w:p>
      <w:pPr>
        <w:spacing w:after="120" w:line="300"/>
        <w:jc w:val="both"/>
      </w:pPr>
      <w:r>
        <w:t xml:space="preserve">Every ADR has four sections. The format is exam-tested directly: memorise the section names and what each contains.</w:t>
      </w:r>
    </w:p>
    <w:p>
      <w:pPr>
        <w:pStyle w:val="Heading3"/>
        <w:spacing w:after="120" w:before="220"/>
      </w:pPr>
      <w:r>
        <w:rPr>
          <w:b/>
          <w:bCs/>
          <w:color w:val="404040"/>
        </w:rPr>
        <w:t xml:space="preserve">Section 1: Context</w:t>
      </w:r>
    </w:p>
    <w:p>
      <w:pPr>
        <w:spacing w:after="120" w:line="300"/>
        <w:jc w:val="both"/>
      </w:pPr>
      <w:r>
        <w:t xml:space="preserve">The situation in which the decision was made. What problem prompted it; what constraints were in place; what alternatives were considered; what stakeholders were involved. The Context section is what allows a future reader to understand why the question was being asked at all. A common pattern: "At the time of this decision, the enterprise was facing X; the available options were A, B, and C; the constraints were Y and Z."</w:t>
      </w:r>
    </w:p>
    <w:p>
      <w:pPr>
        <w:pStyle w:val="Heading3"/>
        <w:spacing w:after="120" w:before="220"/>
      </w:pPr>
      <w:r>
        <w:rPr>
          <w:b/>
          <w:bCs/>
          <w:color w:val="404040"/>
        </w:rPr>
        <w:t xml:space="preserve">Section 2: Decision</w:t>
      </w:r>
    </w:p>
    <w:p>
      <w:pPr>
        <w:spacing w:after="120" w:line="300"/>
        <w:jc w:val="both"/>
      </w:pPr>
      <w:r>
        <w:t xml:space="preserve">What was actually decided. Stated as a clear, declarative sentence or short paragraph. Avoids ambiguity, hedging, or partial commitment. "We will adopt PostgreSQL as the strategic relational database platform." "We will mandate API-first integration for all new services." "We will retire all instances of Sybase ASE within 18 months." The decision is the substantive content of the ADR.</w:t>
      </w:r>
    </w:p>
    <w:p>
      <w:pPr>
        <w:pStyle w:val="Heading3"/>
        <w:spacing w:after="120" w:before="220"/>
      </w:pPr>
      <w:r>
        <w:rPr>
          <w:b/>
          <w:bCs/>
          <w:color w:val="404040"/>
        </w:rPr>
        <w:t xml:space="preserve">Section 3: Rationale</w:t>
      </w:r>
    </w:p>
    <w:p>
      <w:pPr>
        <w:spacing w:after="120" w:line="300"/>
        <w:jc w:val="both"/>
      </w:pPr>
      <w:r>
        <w:t xml:space="preserve">Why this decision was made — not why it is the correct decision in the abstract, but why it was the right answer to this question in this context. Captures the reasoning that the decision-makers actually applied. Includes the criteria considered, how the alternatives were assessed, and why the chosen option was selected. The Rationale is the most important section for future reviewers: it tells them what would have to change for the decision to be reconsidered.</w:t>
      </w:r>
    </w:p>
    <w:p>
      <w:pPr>
        <w:pStyle w:val="Heading3"/>
        <w:spacing w:after="120" w:before="220"/>
      </w:pPr>
      <w:r>
        <w:rPr>
          <w:b/>
          <w:bCs/>
          <w:color w:val="404040"/>
        </w:rPr>
        <w:t xml:space="preserve">Section 4: Consequences</w:t>
      </w:r>
    </w:p>
    <w:p>
      <w:pPr>
        <w:spacing w:after="120" w:line="300"/>
        <w:jc w:val="both"/>
      </w:pPr>
      <w:r>
        <w:t xml:space="preserve">The implications of the decision — both positive and negative. What it commits the enterprise to; what it precludes; what dependencies it creates; what costs and benefits flow from it; what risks it carries. A complete Consequences section names both the benefits the decision is intended to produce AND the costs it imposes. Decisions with only positive consequences listed are usually under-documented; real architectural decisions trade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ADR Standard Structure: </w:t>
            </w:r>
            <w:r>
              <w:t xml:space="preserve">Four sections: (1) Context — situation and constraints; (2) Decision — what was decided; (3) Rationale — why this decision was made; (4) Consequences — implications, both positive and negative. Used industry-wide; the form was popularised by Michael Nygard's 2011 article and has become a de facto standard.</w:t>
            </w:r>
          </w:p>
        </w:tc>
      </w:tr>
    </w:tbl>
    <w:p>
      <w:pPr>
        <w:pStyle w:val="Heading2"/>
        <w:spacing w:after="160" w:before="280"/>
      </w:pPr>
      <w:r>
        <w:rPr>
          <w:b/>
          <w:bCs/>
          <w:color w:val="2E75B6"/>
        </w:rPr>
        <w:t xml:space="preserve">5.3 ADR Properties — Beyond the Four Sections</w:t>
      </w:r>
    </w:p>
    <w:p>
      <w:pPr>
        <w:spacing w:after="120" w:line="300"/>
        <w:jc w:val="both"/>
      </w:pPr>
      <w:r>
        <w:t xml:space="preserve">Beyond the four sections, ADRs typically carry metadata that allows them to be managed over time:</w:t>
      </w:r>
    </w:p>
    <w:p>
      <w:pPr>
        <w:pStyle w:val="ListParagraph"/>
        <w:numPr>
          <w:ilvl w:val="0"/>
          <w:numId w:val="2"/>
        </w:numPr>
        <w:spacing w:after="80" w:line="280"/>
      </w:pPr>
      <w:r>
        <w:t xml:space="preserve">Identifier — usually ADR-NNNN, allowing direct citation.</w:t>
      </w:r>
    </w:p>
    <w:p>
      <w:pPr>
        <w:pStyle w:val="ListParagraph"/>
        <w:numPr>
          <w:ilvl w:val="0"/>
          <w:numId w:val="2"/>
        </w:numPr>
        <w:spacing w:after="80" w:line="280"/>
      </w:pPr>
      <w:r>
        <w:t xml:space="preserve">Title — short and descriptive.</w:t>
      </w:r>
    </w:p>
    <w:p>
      <w:pPr>
        <w:pStyle w:val="ListParagraph"/>
        <w:numPr>
          <w:ilvl w:val="0"/>
          <w:numId w:val="2"/>
        </w:numPr>
        <w:spacing w:after="80" w:line="280"/>
      </w:pPr>
      <w:r>
        <w:t xml:space="preserve">Status — Proposed, Accepted, Superseded, Deprecated, Rejected. (Decisions can be revised; ADRs are not deleted but marked superseded or deprecated.)</w:t>
      </w:r>
    </w:p>
    <w:p>
      <w:pPr>
        <w:pStyle w:val="ListParagraph"/>
        <w:numPr>
          <w:ilvl w:val="0"/>
          <w:numId w:val="2"/>
        </w:numPr>
        <w:spacing w:after="80" w:line="280"/>
      </w:pPr>
      <w:r>
        <w:t xml:space="preserve">Date — when accepted.</w:t>
      </w:r>
    </w:p>
    <w:p>
      <w:pPr>
        <w:pStyle w:val="ListParagraph"/>
        <w:numPr>
          <w:ilvl w:val="0"/>
          <w:numId w:val="2"/>
        </w:numPr>
        <w:spacing w:after="80" w:line="280"/>
      </w:pPr>
      <w:r>
        <w:t xml:space="preserve">Authors — who proposed and approved.</w:t>
      </w:r>
    </w:p>
    <w:p>
      <w:pPr>
        <w:pStyle w:val="ListParagraph"/>
        <w:numPr>
          <w:ilvl w:val="0"/>
          <w:numId w:val="2"/>
        </w:numPr>
        <w:spacing w:after="80" w:line="280"/>
      </w:pPr>
      <w:r>
        <w:t xml:space="preserve">Supersedes / Superseded-by — links to related ADRs (when an ADR replaces an earlier one, both reference each other).</w:t>
      </w:r>
    </w:p>
    <w:p>
      <w:pPr>
        <w:pStyle w:val="Heading2"/>
        <w:spacing w:after="160" w:before="280"/>
      </w:pPr>
      <w:r>
        <w:rPr>
          <w:b/>
          <w:bCs/>
          <w:color w:val="2E75B6"/>
        </w:rPr>
        <w:t xml:space="preserve">5.4 A Worked 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ADR-0042: Adoption of PostgreSQL as Strategic Relational Database</w:t>
            </w:r>
          </w:p>
          <w:p>
            <w:pPr>
              <w:spacing w:after="60" w:line="280"/>
              <w:jc w:val="both"/>
            </w:pPr>
            <w:r>
              <w:t xml:space="preserve">Status: Accepted. Date: 12 March 2025. Authors: A. Patel (Chief Architect), R. Singh (Data Domain Architect). Approved by: Architecture Board.</w:t>
            </w:r>
          </w:p>
          <w:p>
            <w:pPr>
              <w:spacing w:after="60" w:line="280"/>
              <w:jc w:val="both"/>
            </w:pPr>
            <w:r>
              <w:t xml:space="preserve">Context: The enterprise currently operates 47 applications using a mix of relational databases: 23 on Oracle Enterprise Edition (TIME=Migrate, identified in Module 6 example), 12 on Microsoft SQL Server, 8 on PostgreSQL, and 4 on Sybase ASE (TIME=Eliminate). Annual licensing cost for Oracle EE is £8.4m. The 2024 strategy mandates a 30% reduction in software licensing spend over three years. The architecture function has been asked to recommend a strategic relational database platform.</w:t>
            </w:r>
          </w:p>
          <w:p>
            <w:pPr>
              <w:spacing w:after="60" w:line="280"/>
              <w:jc w:val="both"/>
            </w:pPr>
            <w:r>
              <w:t xml:space="preserve">Options considered: (a) consolidate on Oracle EE — lowest migration cost but highest ongoing cost, no licensing savings; (b) consolidate on SQL Server — moderate migration cost, moderate licensing cost, vendor lock-in concern; (c) consolidate on PostgreSQL — moderate-to-high migration cost, near-zero licensing cost (open source with optional commercial support), no vendor lock-in; (d) hybrid Oracle for transaction-critical / PostgreSQL for general — preserves Oracle for the most demanding cases but doubles operational complexity.</w:t>
            </w:r>
          </w:p>
          <w:p>
            <w:pPr>
              <w:spacing w:after="60" w:line="280"/>
              <w:jc w:val="both"/>
            </w:pPr>
            <w:r>
              <w:t xml:space="preserve">Decision: We will adopt PostgreSQL (currently version 15, with planned migration to 16 in Q4) as the strategic relational database platform. New applications will default to PostgreSQL. Existing Oracle EE instances will migrate to PostgreSQL over the three-year window 2025–2027 unless a specific case for retention is approved by exception. SQL Server will be Tolerated for vendor-mandated cases. Sybase ASE remains TIME=Eliminate (urgent retirement).</w:t>
            </w:r>
          </w:p>
          <w:p>
            <w:pPr>
              <w:spacing w:after="60" w:line="280"/>
              <w:jc w:val="both"/>
            </w:pPr>
            <w:r>
              <w:t xml:space="preserve">Rationale: PostgreSQL offers (1) substantial licensing savings — projected £6.2m annually from 2027; (2) modern feature set (logical replication, JSONB, partitioning, extensions) sufficient for &gt;95% of identified use cases; (3) strong open-source community and commercial support availability (EnterpriseDB, AWS RDS, Azure Database); (4) avoidance of vendor lock-in. The migration cost — estimated £3.6m over three years — is recovered within 7 months of completion. Hybrid (option d) was rejected because operational complexity costs would offset most savings. SQL Server consolidation (option b) was rejected because licensing reduction was insufficient relative to migration cost.</w:t>
            </w:r>
          </w:p>
          <w:p>
            <w:pPr>
              <w:spacing w:after="60" w:line="280"/>
              <w:jc w:val="both"/>
            </w:pPr>
            <w:r>
              <w:t xml:space="preserve">Consequences: Positive — projected £6.2m annual savings from 2027; reduced vendor concentration risk; expanded skills market; alignment with cloud-native deployment patterns. Negative — substantial migration programme over three years (£3.6m); skills development required across DBA and DevOps teams (£500k training budget); some advanced Oracle features (e.g., RAC in current configuration) require architectural redesign rather than direct migration; risk of unforeseen application-level dependencies surfacing during migration. Risks documented in RR-2025-014. Migration sequenced in WP-021 through WP-038.</w:t>
            </w:r>
          </w:p>
          <w:p>
            <w:pPr>
              <w:spacing w:after="60" w:line="280"/>
              <w:jc w:val="both"/>
            </w:pPr>
            <w:r>
              <w:t xml:space="preserve">All four sections present. Future reviewers (years from now) can determine: (a) why the decision was made (the rationale and context); (b) what was committed to (the decision); (c) what consequences should be tracked (the consequences). If circumstances change — e.g., PostgreSQL becomes commercially encumbered, or Oracle introduces dramatic price reductions — the rationale tells reviewers what would need to change for the decision to be revised.</w:t>
            </w:r>
          </w:p>
        </w:tc>
      </w:tr>
    </w:tbl>
    <w:p>
      <w:pPr>
        <w:pStyle w:val="Heading2"/>
        <w:spacing w:after="160" w:before="280"/>
      </w:pPr>
      <w:r>
        <w:rPr>
          <w:b/>
          <w:bCs/>
          <w:color w:val="2E75B6"/>
        </w:rPr>
        <w:t xml:space="preserve">5.5 Why ADRs Matter</w:t>
      </w:r>
    </w:p>
    <w:p>
      <w:pPr>
        <w:spacing w:after="120" w:line="300"/>
        <w:jc w:val="both"/>
      </w:pPr>
      <w:r>
        <w:t xml:space="preserve">Three reasons ADRs are central to the Capability Framework:</w:t>
      </w:r>
    </w:p>
    <w:p>
      <w:pPr>
        <w:pStyle w:val="ListParagraph"/>
        <w:numPr>
          <w:ilvl w:val="0"/>
          <w:numId w:val="3"/>
        </w:numPr>
        <w:spacing w:after="80" w:line="280"/>
      </w:pPr>
      <w:r>
        <w:t xml:space="preserve">Defensibility. Architectural decisions are challenged years later, often after the original decision-makers have rotated or left. ADRs preserve the rationale; without them, every old decision becomes a controversy with no factual basis for resolution.</w:t>
      </w:r>
    </w:p>
    <w:p>
      <w:pPr>
        <w:pStyle w:val="ListParagraph"/>
        <w:numPr>
          <w:ilvl w:val="0"/>
          <w:numId w:val="3"/>
        </w:numPr>
        <w:spacing w:after="80" w:line="280"/>
      </w:pPr>
      <w:r>
        <w:t xml:space="preserve">Traceability. ADRs link to one another (supersedes / superseded-by) and to the architectural elements they govern. This linkage allows architectural state to be traced to its decision history — what decision authorised this technology choice; what decision committed to this pattern.</w:t>
      </w:r>
    </w:p>
    <w:p>
      <w:pPr>
        <w:pStyle w:val="ListParagraph"/>
        <w:numPr>
          <w:ilvl w:val="0"/>
          <w:numId w:val="3"/>
        </w:numPr>
        <w:spacing w:after="80" w:line="280"/>
      </w:pPr>
      <w:r>
        <w:t xml:space="preserve">Continuity across personnel. Architecture functions experience rotation. New architects joining the practice can read the ADR collection to understand why the architecture is as it is — substantially faster than reverse-engineering rationale from the artefacts. ADRs are the institutional memory of the architecture function.</w:t>
      </w:r>
    </w:p>
    <w:p>
      <w:r>
        <w:br w:type="page"/>
      </w:r>
    </w:p>
    <w:p>
      <w:pPr>
        <w:pStyle w:val="Heading1"/>
        <w:spacing w:after="200" w:before="360"/>
      </w:pPr>
      <w:r>
        <w:rPr>
          <w:b/>
          <w:bCs/>
          <w:color w:val="1F4E78"/>
        </w:rPr>
        <w:t xml:space="preserve">6. Measuring EA Value — Vanity Metrics vs Outcome Metrics</w:t>
      </w:r>
    </w:p>
    <w:p>
      <w:pPr>
        <w:spacing w:after="120" w:line="300"/>
        <w:jc w:val="both"/>
      </w:pPr>
      <w:r>
        <w:t xml:space="preserve">The architecture function must demonstrate its value to the enterprise. Without measurement, the function looks expensive (architects are senior and costly) without visible return; with the wrong measurement, the function looks busy but irrelevant. The distinction between vanity metrics (impressive-looking but not informative) and outcome metrics (genuinely demonstrating value) is the most-tested point in this section of the syllabus.</w:t>
      </w:r>
    </w:p>
    <w:p>
      <w:pPr>
        <w:pStyle w:val="Heading2"/>
        <w:spacing w:after="160" w:before="280"/>
      </w:pPr>
      <w:r>
        <w:rPr>
          <w:b/>
          <w:bCs/>
          <w:color w:val="2E75B6"/>
        </w:rPr>
        <w:t xml:space="preserve">6.1 Vanity Metrics — 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Vanity Metrics: </w:t>
            </w:r>
            <w:r>
              <w:t xml:space="preserve">Metrics that measure activity volume rather than value delivered. They make the architecture function look busy and productive but do not demonstrate that the function is achieving anything that matters to the enterprise. Common in early-stage architecture practices and in practices facing pressure to justify their existence; reliably misleading.</w:t>
            </w:r>
          </w:p>
        </w:tc>
      </w:tr>
    </w:tbl>
    <w:p>
      <w:pPr>
        <w:pStyle w:val="Heading3"/>
        <w:spacing w:after="120" w:before="220"/>
      </w:pPr>
      <w:r>
        <w:rPr>
          <w:b/>
          <w:bCs/>
          <w:color w:val="404040"/>
        </w:rPr>
        <w:t xml:space="preserve">Examples of Vanity Metrics</w:t>
      </w:r>
    </w:p>
    <w:p>
      <w:pPr>
        <w:pStyle w:val="ListParagraph"/>
        <w:numPr>
          <w:ilvl w:val="0"/>
          <w:numId w:val="2"/>
        </w:numPr>
        <w:spacing w:after="80" w:line="280"/>
      </w:pPr>
      <w:r>
        <w:t xml:space="preserve">Number of architecture artefacts produced — "we produced 47 deliverables this quarter."</w:t>
      </w:r>
    </w:p>
    <w:p>
      <w:pPr>
        <w:pStyle w:val="ListParagraph"/>
        <w:numPr>
          <w:ilvl w:val="0"/>
          <w:numId w:val="2"/>
        </w:numPr>
        <w:spacing w:after="80" w:line="280"/>
      </w:pPr>
      <w:r>
        <w:t xml:space="preserve">Number of compliance reviews conducted — "we reviewed 38 projects."</w:t>
      </w:r>
    </w:p>
    <w:p>
      <w:pPr>
        <w:pStyle w:val="ListParagraph"/>
        <w:numPr>
          <w:ilvl w:val="0"/>
          <w:numId w:val="2"/>
        </w:numPr>
        <w:spacing w:after="80" w:line="280"/>
      </w:pPr>
      <w:r>
        <w:t xml:space="preserve">Number of pages of Architecture Definition Document — "the ADD is now 247 pages."</w:t>
      </w:r>
    </w:p>
    <w:p>
      <w:pPr>
        <w:pStyle w:val="ListParagraph"/>
        <w:numPr>
          <w:ilvl w:val="0"/>
          <w:numId w:val="2"/>
        </w:numPr>
        <w:spacing w:after="80" w:line="280"/>
      </w:pPr>
      <w:r>
        <w:t xml:space="preserve">Number of architects employed — "we have grown from 8 to 14."</w:t>
      </w:r>
    </w:p>
    <w:p>
      <w:pPr>
        <w:pStyle w:val="ListParagraph"/>
        <w:numPr>
          <w:ilvl w:val="0"/>
          <w:numId w:val="2"/>
        </w:numPr>
        <w:spacing w:after="80" w:line="280"/>
      </w:pPr>
      <w:r>
        <w:t xml:space="preserve">Number of meetings attended — "the architecture team participated in 132 meetings."</w:t>
      </w:r>
    </w:p>
    <w:p>
      <w:pPr>
        <w:pStyle w:val="ListParagraph"/>
        <w:numPr>
          <w:ilvl w:val="0"/>
          <w:numId w:val="2"/>
        </w:numPr>
        <w:spacing w:after="80" w:line="280"/>
      </w:pPr>
      <w:r>
        <w:t xml:space="preserve">Number of architectural patterns in the Reference Library — "we now have 60 patterns."</w:t>
      </w:r>
    </w:p>
    <w:p>
      <w:pPr>
        <w:pStyle w:val="Heading3"/>
        <w:spacing w:after="120" w:before="220"/>
      </w:pPr>
      <w:r>
        <w:rPr>
          <w:b/>
          <w:bCs/>
          <w:color w:val="404040"/>
        </w:rPr>
        <w:t xml:space="preserve">Why These Are Vanity</w:t>
      </w:r>
    </w:p>
    <w:p>
      <w:pPr>
        <w:spacing w:after="120" w:line="300"/>
        <w:jc w:val="both"/>
      </w:pPr>
      <w:r>
        <w:t xml:space="preserve">Each metric measures effort or output volume rather than impact. Producing 47 deliverables is impressive only if those deliverables changed something that mattered; without that connection, 47 is no better than 4 — and may be worse, as document overproduction is itself a sign of practice in trouble. The trap of vanity metrics is that they are easy to count and easy to grow, which makes them appealing for reporting; they are also reliably uncorrelated with value.</w:t>
      </w:r>
    </w:p>
    <w:p>
      <w:pPr>
        <w:pStyle w:val="Heading2"/>
        <w:spacing w:after="160" w:before="280"/>
      </w:pPr>
      <w:r>
        <w:rPr>
          <w:b/>
          <w:bCs/>
          <w:color w:val="2E75B6"/>
        </w:rPr>
        <w:t xml:space="preserve">6.2 Outcome Metrics — What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Outcome Metrics: </w:t>
            </w:r>
            <w:r>
              <w:t xml:space="preserve">Metrics that measure the enterprise outcomes the architecture function actually produces — costs reduced, capabilities improved, risks averted, time-to-market shortened, deliveries succeeded. Outcome metrics tie architecture work to business value and survive challenge from sceptical executives.</w:t>
            </w:r>
          </w:p>
        </w:tc>
      </w:tr>
    </w:tbl>
    <w:p>
      <w:pPr>
        <w:pStyle w:val="Heading3"/>
        <w:spacing w:after="120" w:before="220"/>
      </w:pPr>
      <w:r>
        <w:rPr>
          <w:b/>
          <w:bCs/>
          <w:color w:val="404040"/>
        </w:rPr>
        <w:t xml:space="preserve">Examples of Outcome Metrics</w:t>
      </w:r>
    </w:p>
    <w:p>
      <w:pPr>
        <w:pStyle w:val="ListParagraph"/>
        <w:numPr>
          <w:ilvl w:val="0"/>
          <w:numId w:val="2"/>
        </w:numPr>
        <w:spacing w:after="80" w:line="280"/>
      </w:pPr>
      <w:r>
        <w:t xml:space="preserve">Cost savings attributed to architecture decisions — "PostgreSQL adoption (ADR-0042) projected £6.2m annual saving from 2027."</w:t>
      </w:r>
    </w:p>
    <w:p>
      <w:pPr>
        <w:pStyle w:val="ListParagraph"/>
        <w:numPr>
          <w:ilvl w:val="0"/>
          <w:numId w:val="2"/>
        </w:numPr>
        <w:spacing w:after="80" w:line="280"/>
      </w:pPr>
      <w:r>
        <w:t xml:space="preserve">Reduction in application portfolio redundancy — "60 applications consolidated to 32 over 24 months; 6 Rs Retire and Repurchase decisions delivered."</w:t>
      </w:r>
    </w:p>
    <w:p>
      <w:pPr>
        <w:pStyle w:val="ListParagraph"/>
        <w:numPr>
          <w:ilvl w:val="0"/>
          <w:numId w:val="2"/>
        </w:numPr>
        <w:spacing w:after="80" w:line="280"/>
      </w:pPr>
      <w:r>
        <w:t xml:space="preserve">Reduction in technology debt — "TIME=Migrate inventory reduced from 47 to 12 over 18 months; £4.1m annual licensing eliminated."</w:t>
      </w:r>
    </w:p>
    <w:p>
      <w:pPr>
        <w:pStyle w:val="ListParagraph"/>
        <w:numPr>
          <w:ilvl w:val="0"/>
          <w:numId w:val="2"/>
        </w:numPr>
        <w:spacing w:after="80" w:line="280"/>
      </w:pPr>
      <w:r>
        <w:t xml:space="preserve">Compliance Review pass rate — "82% of projects reach Conformant on first review (up from 56% three years ago)."</w:t>
      </w:r>
    </w:p>
    <w:p>
      <w:pPr>
        <w:pStyle w:val="ListParagraph"/>
        <w:numPr>
          <w:ilvl w:val="0"/>
          <w:numId w:val="2"/>
        </w:numPr>
        <w:spacing w:after="80" w:line="280"/>
      </w:pPr>
      <w:r>
        <w:t xml:space="preserve">Reuse of patterns — "Industry-level fraud detection ABB reused in 4 separate engagements; estimated £1.8m design saving."</w:t>
      </w:r>
    </w:p>
    <w:p>
      <w:pPr>
        <w:pStyle w:val="ListParagraph"/>
        <w:numPr>
          <w:ilvl w:val="0"/>
          <w:numId w:val="2"/>
        </w:numPr>
        <w:spacing w:after="80" w:line="280"/>
      </w:pPr>
      <w:r>
        <w:t xml:space="preserve">Reduction in delivery rework attributable to architectural review — "projects that have completed Architecture Compliance Review at solution-design stage have a 70% lower rate of late-stage rework."</w:t>
      </w:r>
    </w:p>
    <w:p>
      <w:pPr>
        <w:pStyle w:val="ListParagraph"/>
        <w:numPr>
          <w:ilvl w:val="0"/>
          <w:numId w:val="2"/>
        </w:numPr>
        <w:spacing w:after="80" w:line="280"/>
      </w:pPr>
      <w:r>
        <w:t xml:space="preserve">Time to make a defensible architecture decision — "median time from RfAW to SoAW signature: 4 weeks (down from 11)."</w:t>
      </w:r>
    </w:p>
    <w:p>
      <w:pPr>
        <w:pStyle w:val="ListParagraph"/>
        <w:numPr>
          <w:ilvl w:val="0"/>
          <w:numId w:val="2"/>
        </w:numPr>
        <w:spacing w:after="80" w:line="280"/>
      </w:pPr>
      <w:r>
        <w:t xml:space="preserve">Number of architectural decisions that have been formally challenged and upheld — a proxy for decision quality and defensibility.</w:t>
      </w:r>
    </w:p>
    <w:p>
      <w:pPr>
        <w:pStyle w:val="ListParagraph"/>
        <w:numPr>
          <w:ilvl w:val="0"/>
          <w:numId w:val="2"/>
        </w:numPr>
        <w:spacing w:after="80" w:line="280"/>
      </w:pPr>
      <w:r>
        <w:t xml:space="preserve">Strategic capability uplift — "3 strategic capabilities moved from maturity 2 to maturity 4 in the past year through architecture-led work."</w:t>
      </w:r>
    </w:p>
    <w:p>
      <w:pPr>
        <w:pStyle w:val="Heading3"/>
        <w:spacing w:after="120" w:before="220"/>
      </w:pPr>
      <w:r>
        <w:rPr>
          <w:b/>
          <w:bCs/>
          <w:color w:val="404040"/>
        </w:rPr>
        <w:t xml:space="preserve">Why These Are Outcome Metrics</w:t>
      </w:r>
    </w:p>
    <w:p>
      <w:pPr>
        <w:spacing w:after="120" w:line="300"/>
        <w:jc w:val="both"/>
      </w:pPr>
      <w:r>
        <w:t xml:space="preserve">Each metric ties back to a business outcome the enterprise cares about: money saved, capabilities improved, deliveries succeeded, risk reduced. Outcome metrics survive a sceptical executive's question "so what?" because the answer is concrete and consequential. Outcome metrics are harder to measure than vanity metrics (require attribution, baseline data, and defensible counterfactuals) but they are what allows the architecture function to defend its budget.</w:t>
      </w:r>
    </w:p>
    <w:p>
      <w:pPr>
        <w:pStyle w:val="Heading2"/>
        <w:spacing w:after="160" w:before="280"/>
      </w:pPr>
      <w:r>
        <w:rPr>
          <w:b/>
          <w:bCs/>
          <w:color w:val="2E75B6"/>
        </w:rPr>
        <w:t xml:space="preserve">6.3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Vanity Metrics</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Outcome Metrics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Measures</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Activity volume</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Value delivered</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Easy to count?</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Yes</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Often hard</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Tied to business?</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Yes — explicitly</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Survives "so what?"</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Yes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Easy to grow?</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Yes — produce more activity</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No — must produce more value</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Useful for budget defence</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Misleading; eventually counterproductive</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Effective; the basis for ongoing investment</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Examples</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Documents produced, reviews conducted, architects hired</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Cost saved, debt reduced, capability uplifted, delivery accelerated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Why Vanity Metrics Are Worse Than No Metrics</w:t>
            </w:r>
          </w:p>
          <w:p>
            <w:pPr>
              <w:spacing w:after="60" w:line="280"/>
              <w:jc w:val="both"/>
            </w:pPr>
            <w:r>
              <w:t xml:space="preserve">Vanity metrics are not merely uninformative — they are actively harmful. They condition the architecture function to optimise for the metric rather than for value. A function rewarded on "deliverables produced" produces more deliverables — even when fewer would be better. A function rewarded on "reviews conducted" conducts more reviews — even when triage would serve the enterprise more. Over time, the function becomes good at the metric and disconnected from the outcomes the metric was meant to track.</w:t>
            </w:r>
          </w:p>
          <w:p>
            <w:pPr>
              <w:spacing w:after="60" w:line="280"/>
              <w:jc w:val="both"/>
            </w:pPr>
            <w:r>
              <w:t xml:space="preserve">The cure is to switch deliberately to outcome metrics, accepting that they are harder to measure but recognising that the alternative — busyness without impact — is unsustainable.</w:t>
            </w:r>
          </w:p>
        </w:tc>
      </w:tr>
    </w:tbl>
    <w:p>
      <w:r>
        <w:br w:type="page"/>
      </w:r>
    </w:p>
    <w:p>
      <w:pPr>
        <w:pStyle w:val="Heading1"/>
        <w:spacing w:after="200" w:before="360"/>
      </w:pPr>
      <w:r>
        <w:rPr>
          <w:b/>
          <w:bCs/>
          <w:color w:val="1F4E78"/>
        </w:rPr>
        <w:t xml:space="preserve">7. Funding Models</w:t>
      </w:r>
    </w:p>
    <w:p>
      <w:pPr>
        <w:spacing w:after="120" w:line="300"/>
        <w:jc w:val="both"/>
      </w:pPr>
      <w:r>
        <w:t xml:space="preserve">How the architecture function is funded shapes everything about how it operates: which engagements it can take on, how stable its capacity is, how its incentives align with the enterprise. Four funding models are commonly seen in practice. The exam asks which suits which situation, with capability-based and platform funding flagged as the modern preferred approaches over older project-based models.</w:t>
      </w:r>
    </w:p>
    <w:p>
      <w:pPr>
        <w:pStyle w:val="Heading2"/>
        <w:spacing w:after="160" w:before="280"/>
      </w:pPr>
      <w:r>
        <w:rPr>
          <w:b/>
          <w:bCs/>
          <w:color w:val="2E75B6"/>
        </w:rPr>
        <w:t xml:space="preserve">7.1 Model 1: Project-Based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Project-Based Funding: </w:t>
            </w:r>
            <w:r>
              <w:t xml:space="preserve">Architecture work is funded as part of each project's budget. When a project is approved, a portion of its budget covers the architecture services it will need; when no projects are running, no architecture funding exists. The traditional default, but increasingly seen as inadequate for modern architecture practices.</w:t>
            </w:r>
          </w:p>
        </w:tc>
      </w:tr>
    </w:tbl>
    <w:p>
      <w:pPr>
        <w:pStyle w:val="Heading3"/>
        <w:spacing w:after="120" w:before="220"/>
      </w:pPr>
      <w:r>
        <w:rPr>
          <w:b/>
          <w:bCs/>
          <w:color w:val="404040"/>
        </w:rPr>
        <w:t xml:space="preserve">How It Works</w:t>
      </w:r>
    </w:p>
    <w:p>
      <w:pPr>
        <w:spacing w:after="120" w:line="300"/>
        <w:jc w:val="both"/>
      </w:pPr>
      <w:r>
        <w:t xml:space="preserve">Each project that requests architecture work pays for that work from its own budget. The architecture function operates as a service organisation funded transactionally by its consumers. Architects' time is charged to projects; when projects end, architects must be assigned to new projects or stand idle.</w:t>
      </w:r>
    </w:p>
    <w:p>
      <w:pPr>
        <w:pStyle w:val="Heading3"/>
        <w:spacing w:after="120" w:before="220"/>
      </w:pPr>
      <w:r>
        <w:rPr>
          <w:b/>
          <w:bCs/>
          <w:color w:val="404040"/>
        </w:rPr>
        <w:t xml:space="preserve">Strengths</w:t>
      </w:r>
    </w:p>
    <w:p>
      <w:pPr>
        <w:pStyle w:val="ListParagraph"/>
        <w:numPr>
          <w:ilvl w:val="0"/>
          <w:numId w:val="2"/>
        </w:numPr>
        <w:spacing w:after="80" w:line="280"/>
      </w:pPr>
      <w:r>
        <w:t xml:space="preserve">Direct accountability — projects pay for what they get.</w:t>
      </w:r>
    </w:p>
    <w:p>
      <w:pPr>
        <w:pStyle w:val="ListParagraph"/>
        <w:numPr>
          <w:ilvl w:val="0"/>
          <w:numId w:val="2"/>
        </w:numPr>
        <w:spacing w:after="80" w:line="280"/>
      </w:pPr>
      <w:r>
        <w:t xml:space="preserve">Easy to justify — every architect's time is funded by a specific project.</w:t>
      </w:r>
    </w:p>
    <w:p>
      <w:pPr>
        <w:pStyle w:val="ListParagraph"/>
        <w:numPr>
          <w:ilvl w:val="0"/>
          <w:numId w:val="2"/>
        </w:numPr>
        <w:spacing w:after="80" w:line="280"/>
      </w:pPr>
      <w:r>
        <w:t xml:space="preserve">Scales naturally with project volume.</w:t>
      </w:r>
    </w:p>
    <w:p>
      <w:pPr>
        <w:pStyle w:val="Heading3"/>
        <w:spacing w:after="120" w:before="220"/>
      </w:pPr>
      <w:r>
        <w:rPr>
          <w:b/>
          <w:bCs/>
          <w:color w:val="404040"/>
        </w:rPr>
        <w:t xml:space="preserve">Weaknesses</w:t>
      </w:r>
    </w:p>
    <w:p>
      <w:pPr>
        <w:pStyle w:val="ListParagraph"/>
        <w:numPr>
          <w:ilvl w:val="0"/>
          <w:numId w:val="2"/>
        </w:numPr>
        <w:spacing w:after="80" w:line="280"/>
      </w:pPr>
      <w:r>
        <w:t xml:space="preserve">No funding for cross-cutting work — the Tailored Framework, principles, Repository maintenance, Reference Library, all are projects' externalities and so are systematically under-funded.</w:t>
      </w:r>
    </w:p>
    <w:p>
      <w:pPr>
        <w:pStyle w:val="ListParagraph"/>
        <w:numPr>
          <w:ilvl w:val="0"/>
          <w:numId w:val="2"/>
        </w:numPr>
        <w:spacing w:after="80" w:line="280"/>
      </w:pPr>
      <w:r>
        <w:t xml:space="preserve">Architects spend significant time selling their services to projects rather than doing architecture.</w:t>
      </w:r>
    </w:p>
    <w:p>
      <w:pPr>
        <w:pStyle w:val="ListParagraph"/>
        <w:numPr>
          <w:ilvl w:val="0"/>
          <w:numId w:val="2"/>
        </w:numPr>
        <w:spacing w:after="80" w:line="280"/>
      </w:pPr>
      <w:r>
        <w:t xml:space="preserve">Volatility — funding rises and falls with project volume, making capacity planning difficult.</w:t>
      </w:r>
    </w:p>
    <w:p>
      <w:pPr>
        <w:pStyle w:val="ListParagraph"/>
        <w:numPr>
          <w:ilvl w:val="0"/>
          <w:numId w:val="2"/>
        </w:numPr>
        <w:spacing w:after="80" w:line="280"/>
      </w:pPr>
      <w:r>
        <w:t xml:space="preserve">Projects often skip architecture engagement to save money — undermining governance.</w:t>
      </w:r>
    </w:p>
    <w:p>
      <w:pPr>
        <w:pStyle w:val="ListParagraph"/>
        <w:numPr>
          <w:ilvl w:val="0"/>
          <w:numId w:val="2"/>
        </w:numPr>
        <w:spacing w:after="80" w:line="280"/>
      </w:pPr>
      <w:r>
        <w:t xml:space="preserve">No funding for Phase H continuous monitoring — by definition not project-funded.</w:t>
      </w:r>
    </w:p>
    <w:p>
      <w:pPr>
        <w:pStyle w:val="Heading2"/>
        <w:spacing w:after="160" w:before="280"/>
      </w:pPr>
      <w:r>
        <w:rPr>
          <w:b/>
          <w:bCs/>
          <w:color w:val="2E75B6"/>
        </w:rPr>
        <w:t xml:space="preserve">7.2 Model 2: Centralised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Centralised Funding: </w:t>
            </w:r>
            <w:r>
              <w:t xml:space="preserve">Architecture work is funded as a corporate cost, with the architecture function receiving a fixed annual budget from central sources (typically the CIO's office). Projects do not pay directly for architecture services; the function operates as a corporate function rather than a chargeback service.</w:t>
            </w:r>
          </w:p>
        </w:tc>
      </w:tr>
    </w:tbl>
    <w:p>
      <w:pPr>
        <w:pStyle w:val="Heading3"/>
        <w:spacing w:after="120" w:before="220"/>
      </w:pPr>
      <w:r>
        <w:rPr>
          <w:b/>
          <w:bCs/>
          <w:color w:val="404040"/>
        </w:rPr>
        <w:t xml:space="preserve">How It Works</w:t>
      </w:r>
    </w:p>
    <w:p>
      <w:pPr>
        <w:spacing w:after="120" w:line="300"/>
        <w:jc w:val="both"/>
      </w:pPr>
      <w:r>
        <w:t xml:space="preserve">The architecture function has a budget set annually as part of corporate IT planning. The function operates within this budget, allocating its capacity to engagements based on enterprise priority rather than project willingness to pay. Cross-cutting work is funded directly; projects consume architecture services without internal recharge.</w:t>
      </w:r>
    </w:p>
    <w:p>
      <w:pPr>
        <w:pStyle w:val="Heading3"/>
        <w:spacing w:after="120" w:before="220"/>
      </w:pPr>
      <w:r>
        <w:rPr>
          <w:b/>
          <w:bCs/>
          <w:color w:val="404040"/>
        </w:rPr>
        <w:t xml:space="preserve">Strengths</w:t>
      </w:r>
    </w:p>
    <w:p>
      <w:pPr>
        <w:pStyle w:val="ListParagraph"/>
        <w:numPr>
          <w:ilvl w:val="0"/>
          <w:numId w:val="2"/>
        </w:numPr>
        <w:spacing w:after="80" w:line="280"/>
      </w:pPr>
      <w:r>
        <w:t xml:space="preserve">Funds cross-cutting work — Repository, principles, Framework, Reference Library all have a budget owner.</w:t>
      </w:r>
    </w:p>
    <w:p>
      <w:pPr>
        <w:pStyle w:val="ListParagraph"/>
        <w:numPr>
          <w:ilvl w:val="0"/>
          <w:numId w:val="2"/>
        </w:numPr>
        <w:spacing w:after="80" w:line="280"/>
      </w:pPr>
      <w:r>
        <w:t xml:space="preserve">Stable capacity — the function can plan and develop skills.</w:t>
      </w:r>
    </w:p>
    <w:p>
      <w:pPr>
        <w:pStyle w:val="ListParagraph"/>
        <w:numPr>
          <w:ilvl w:val="0"/>
          <w:numId w:val="2"/>
        </w:numPr>
        <w:spacing w:after="80" w:line="280"/>
      </w:pPr>
      <w:r>
        <w:t xml:space="preserve">No selling overhead — architects spend time on architecture, not on funding negotiation.</w:t>
      </w:r>
    </w:p>
    <w:p>
      <w:pPr>
        <w:pStyle w:val="ListParagraph"/>
        <w:numPr>
          <w:ilvl w:val="0"/>
          <w:numId w:val="2"/>
        </w:numPr>
        <w:spacing w:after="80" w:line="280"/>
      </w:pPr>
      <w:r>
        <w:t xml:space="preserve">Phase H continuous activity is funded.</w:t>
      </w:r>
    </w:p>
    <w:p>
      <w:pPr>
        <w:pStyle w:val="Heading3"/>
        <w:spacing w:after="120" w:before="220"/>
      </w:pPr>
      <w:r>
        <w:rPr>
          <w:b/>
          <w:bCs/>
          <w:color w:val="404040"/>
        </w:rPr>
        <w:t xml:space="preserve">Weaknesses</w:t>
      </w:r>
    </w:p>
    <w:p>
      <w:pPr>
        <w:pStyle w:val="ListParagraph"/>
        <w:numPr>
          <w:ilvl w:val="0"/>
          <w:numId w:val="2"/>
        </w:numPr>
        <w:spacing w:after="80" w:line="280"/>
      </w:pPr>
      <w:r>
        <w:t xml:space="preserve">Weak accountability to consumers — projects don't pay so don't always value the service.</w:t>
      </w:r>
    </w:p>
    <w:p>
      <w:pPr>
        <w:pStyle w:val="ListParagraph"/>
        <w:numPr>
          <w:ilvl w:val="0"/>
          <w:numId w:val="2"/>
        </w:numPr>
        <w:spacing w:after="80" w:line="280"/>
      </w:pPr>
      <w:r>
        <w:t xml:space="preserve">Vulnerable to budget cuts during cost reduction cycles.</w:t>
      </w:r>
    </w:p>
    <w:p>
      <w:pPr>
        <w:pStyle w:val="ListParagraph"/>
        <w:numPr>
          <w:ilvl w:val="0"/>
          <w:numId w:val="2"/>
        </w:numPr>
        <w:spacing w:after="80" w:line="280"/>
      </w:pPr>
      <w:r>
        <w:t xml:space="preserve">Risk of disconnect between architecture priorities and business reality.</w:t>
      </w:r>
    </w:p>
    <w:p>
      <w:pPr>
        <w:pStyle w:val="ListParagraph"/>
        <w:numPr>
          <w:ilvl w:val="0"/>
          <w:numId w:val="2"/>
        </w:numPr>
        <w:spacing w:after="80" w:line="280"/>
      </w:pPr>
      <w:r>
        <w:t xml:space="preserve">The function may be perceived as a corporate overhead rather than a service.</w:t>
      </w:r>
    </w:p>
    <w:p>
      <w:pPr>
        <w:pStyle w:val="Heading2"/>
        <w:spacing w:after="160" w:before="280"/>
      </w:pPr>
      <w:r>
        <w:rPr>
          <w:b/>
          <w:bCs/>
          <w:color w:val="2E75B6"/>
        </w:rPr>
        <w:t xml:space="preserve">7.3 Model 3: Capability-Based Funding (Modern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Capability-Based Funding: </w:t>
            </w:r>
            <w:r>
              <w:t xml:space="preserve">Architecture work is funded by the business capabilities it serves. Each strategic capability has a budget that includes its architecture investment; architects working on a capability are funded from that capability's allocation. Aligns architecture spend with capability outcomes; is the modern preferred approach for capability-driven enterprises.</w:t>
            </w:r>
          </w:p>
        </w:tc>
      </w:tr>
    </w:tbl>
    <w:p>
      <w:pPr>
        <w:pStyle w:val="Heading3"/>
        <w:spacing w:after="120" w:before="220"/>
      </w:pPr>
      <w:r>
        <w:rPr>
          <w:b/>
          <w:bCs/>
          <w:color w:val="404040"/>
        </w:rPr>
        <w:t xml:space="preserve">How It Works</w:t>
      </w:r>
    </w:p>
    <w:p>
      <w:pPr>
        <w:spacing w:after="120" w:line="300"/>
        <w:jc w:val="both"/>
      </w:pPr>
      <w:r>
        <w:t xml:space="preserve">The enterprise budgets at capability level (Customer Onboarding, Payments, Risk Management, etc.) rather than at project level. Each capability's budget includes its architecture investment — covering the architects working on the capability's evolution. Cross-cutting architecture work is funded by enterprise capabilities (e.g., "Architecture Practice" as a capability in its own right). This aligns architecture spend with the outcomes it supports.</w:t>
      </w:r>
    </w:p>
    <w:p>
      <w:pPr>
        <w:pStyle w:val="Heading3"/>
        <w:spacing w:after="120" w:before="220"/>
      </w:pPr>
      <w:r>
        <w:rPr>
          <w:b/>
          <w:bCs/>
          <w:color w:val="404040"/>
        </w:rPr>
        <w:t xml:space="preserve">Strengths</w:t>
      </w:r>
    </w:p>
    <w:p>
      <w:pPr>
        <w:pStyle w:val="ListParagraph"/>
        <w:numPr>
          <w:ilvl w:val="0"/>
          <w:numId w:val="2"/>
        </w:numPr>
        <w:spacing w:after="80" w:line="280"/>
      </w:pPr>
      <w:r>
        <w:t xml:space="preserve">Aligns architecture investment with capability outcomes.</w:t>
      </w:r>
    </w:p>
    <w:p>
      <w:pPr>
        <w:pStyle w:val="ListParagraph"/>
        <w:numPr>
          <w:ilvl w:val="0"/>
          <w:numId w:val="2"/>
        </w:numPr>
        <w:spacing w:after="80" w:line="280"/>
      </w:pPr>
      <w:r>
        <w:t xml:space="preserve">Funds cross-cutting work via dedicated capability allocations.</w:t>
      </w:r>
    </w:p>
    <w:p>
      <w:pPr>
        <w:pStyle w:val="ListParagraph"/>
        <w:numPr>
          <w:ilvl w:val="0"/>
          <w:numId w:val="2"/>
        </w:numPr>
        <w:spacing w:after="80" w:line="280"/>
      </w:pPr>
      <w:r>
        <w:t xml:space="preserve">Encourages long-term thinking — capabilities are durable; projects are transient.</w:t>
      </w:r>
    </w:p>
    <w:p>
      <w:pPr>
        <w:pStyle w:val="ListParagraph"/>
        <w:numPr>
          <w:ilvl w:val="0"/>
          <w:numId w:val="2"/>
        </w:numPr>
        <w:spacing w:after="80" w:line="280"/>
      </w:pPr>
      <w:r>
        <w:t xml:space="preserve">Supports the architecture levels well: Strategic at enterprise capability portfolio level; Segment at major capability level; Capability architecture at fine-grained capability level.</w:t>
      </w:r>
    </w:p>
    <w:p>
      <w:pPr>
        <w:pStyle w:val="ListParagraph"/>
        <w:numPr>
          <w:ilvl w:val="0"/>
          <w:numId w:val="2"/>
        </w:numPr>
        <w:spacing w:after="80" w:line="280"/>
      </w:pPr>
      <w:r>
        <w:t xml:space="preserve">Survives reorganisations — capability funding is more stable than project funding.</w:t>
      </w:r>
    </w:p>
    <w:p>
      <w:pPr>
        <w:pStyle w:val="Heading3"/>
        <w:spacing w:after="120" w:before="220"/>
      </w:pPr>
      <w:r>
        <w:rPr>
          <w:b/>
          <w:bCs/>
          <w:color w:val="404040"/>
        </w:rPr>
        <w:t xml:space="preserve">Weaknesses</w:t>
      </w:r>
    </w:p>
    <w:p>
      <w:pPr>
        <w:pStyle w:val="ListParagraph"/>
        <w:numPr>
          <w:ilvl w:val="0"/>
          <w:numId w:val="2"/>
        </w:numPr>
        <w:spacing w:after="80" w:line="280"/>
      </w:pPr>
      <w:r>
        <w:t xml:space="preserve">Requires the enterprise to actually budget at capability level — many do not, defaulting to project budgets that capability-based architecture cannot reach.</w:t>
      </w:r>
    </w:p>
    <w:p>
      <w:pPr>
        <w:pStyle w:val="ListParagraph"/>
        <w:numPr>
          <w:ilvl w:val="0"/>
          <w:numId w:val="2"/>
        </w:numPr>
        <w:spacing w:after="80" w:line="280"/>
      </w:pPr>
      <w:r>
        <w:t xml:space="preserve">More complex than project-based; requires capability accounting maturity.</w:t>
      </w:r>
    </w:p>
    <w:p>
      <w:pPr>
        <w:pStyle w:val="ListParagraph"/>
        <w:numPr>
          <w:ilvl w:val="0"/>
          <w:numId w:val="2"/>
        </w:numPr>
        <w:spacing w:after="80" w:line="280"/>
      </w:pPr>
      <w:r>
        <w:t xml:space="preserve">Risk of budget allocations becoming static and disconnecting from current need.</w:t>
      </w:r>
    </w:p>
    <w:p>
      <w:pPr>
        <w:pStyle w:val="Heading2"/>
        <w:spacing w:after="160" w:before="280"/>
      </w:pPr>
      <w:r>
        <w:rPr>
          <w:b/>
          <w:bCs/>
          <w:color w:val="2E75B6"/>
        </w:rPr>
        <w:t xml:space="preserve">7.4 Model 4: Platform Funding (Modern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Platform Funding: </w:t>
            </w:r>
            <w:r>
              <w:t xml:space="preserve">Architecture work — particularly for cross-cutting platforms (the API gateway, the cloud landing zone, the data platform, the identity platform, the integration platform) — is funded as part of the platform's own budget. Architects responsible for evolving each platform are funded by that platform's allocation. Aligns architecture spend with platform outcomes; particularly suited to enterprises operating significant shared platforms.</w:t>
            </w:r>
          </w:p>
        </w:tc>
      </w:tr>
    </w:tbl>
    <w:p>
      <w:pPr>
        <w:pStyle w:val="Heading3"/>
        <w:spacing w:after="120" w:before="220"/>
      </w:pPr>
      <w:r>
        <w:rPr>
          <w:b/>
          <w:bCs/>
          <w:color w:val="404040"/>
        </w:rPr>
        <w:t xml:space="preserve">How It Works</w:t>
      </w:r>
    </w:p>
    <w:p>
      <w:pPr>
        <w:spacing w:after="120" w:line="300"/>
        <w:jc w:val="both"/>
      </w:pPr>
      <w:r>
        <w:t xml:space="preserve">Each major shared platform (often 5–15 in a large enterprise) has its own budget covering operations, development, and evolution. The architecture work for evolving each platform is funded from that platform's budget. Architects who own platforms (typically in the Hub of a Hybrid model) are funded directly by their platforms; project-side architects (in the Spokes) are funded as before. The platform pays for its own evolution and amortises the architecture investment across all consumers.</w:t>
      </w:r>
    </w:p>
    <w:p>
      <w:pPr>
        <w:pStyle w:val="Heading3"/>
        <w:spacing w:after="120" w:before="220"/>
      </w:pPr>
      <w:r>
        <w:rPr>
          <w:b/>
          <w:bCs/>
          <w:color w:val="404040"/>
        </w:rPr>
        <w:t xml:space="preserve">Strengths</w:t>
      </w:r>
    </w:p>
    <w:p>
      <w:pPr>
        <w:pStyle w:val="ListParagraph"/>
        <w:numPr>
          <w:ilvl w:val="0"/>
          <w:numId w:val="2"/>
        </w:numPr>
        <w:spacing w:after="80" w:line="280"/>
      </w:pPr>
      <w:r>
        <w:t xml:space="preserve">Aligns architecture investment with platform outcomes.</w:t>
      </w:r>
    </w:p>
    <w:p>
      <w:pPr>
        <w:pStyle w:val="ListParagraph"/>
        <w:numPr>
          <w:ilvl w:val="0"/>
          <w:numId w:val="2"/>
        </w:numPr>
        <w:spacing w:after="80" w:line="280"/>
      </w:pPr>
      <w:r>
        <w:t xml:space="preserve">Funds long-term evolution rather than short-term project consumption.</w:t>
      </w:r>
    </w:p>
    <w:p>
      <w:pPr>
        <w:pStyle w:val="ListParagraph"/>
        <w:numPr>
          <w:ilvl w:val="0"/>
          <w:numId w:val="2"/>
        </w:numPr>
        <w:spacing w:after="80" w:line="280"/>
      </w:pPr>
      <w:r>
        <w:t xml:space="preserve">Encourages platform-thinking — platforms have owners, budgets, and roadmaps.</w:t>
      </w:r>
    </w:p>
    <w:p>
      <w:pPr>
        <w:pStyle w:val="ListParagraph"/>
        <w:numPr>
          <w:ilvl w:val="0"/>
          <w:numId w:val="2"/>
        </w:numPr>
        <w:spacing w:after="80" w:line="280"/>
      </w:pPr>
      <w:r>
        <w:t xml:space="preserve">Particularly suited to capability-and-platform combinations: capability funding for capability-specific architects; platform funding for platform architects.</w:t>
      </w:r>
    </w:p>
    <w:p>
      <w:pPr>
        <w:pStyle w:val="ListParagraph"/>
        <w:numPr>
          <w:ilvl w:val="0"/>
          <w:numId w:val="2"/>
        </w:numPr>
        <w:spacing w:after="80" w:line="280"/>
      </w:pPr>
      <w:r>
        <w:t xml:space="preserve">Visibility — the cost of operating each platform, including its architecture, is visible.</w:t>
      </w:r>
    </w:p>
    <w:p>
      <w:pPr>
        <w:pStyle w:val="Heading3"/>
        <w:spacing w:after="120" w:before="220"/>
      </w:pPr>
      <w:r>
        <w:rPr>
          <w:b/>
          <w:bCs/>
          <w:color w:val="404040"/>
        </w:rPr>
        <w:t xml:space="preserve">Weaknesses</w:t>
      </w:r>
    </w:p>
    <w:p>
      <w:pPr>
        <w:pStyle w:val="ListParagraph"/>
        <w:numPr>
          <w:ilvl w:val="0"/>
          <w:numId w:val="2"/>
        </w:numPr>
        <w:spacing w:after="80" w:line="280"/>
      </w:pPr>
      <w:r>
        <w:t xml:space="preserve">Requires the enterprise to operate platforms with explicit budgets — many do not, treating shared technology as undifferentiated overhead.</w:t>
      </w:r>
    </w:p>
    <w:p>
      <w:pPr>
        <w:pStyle w:val="ListParagraph"/>
        <w:numPr>
          <w:ilvl w:val="0"/>
          <w:numId w:val="2"/>
        </w:numPr>
        <w:spacing w:after="80" w:line="280"/>
      </w:pPr>
      <w:r>
        <w:t xml:space="preserve">Risk of platform empire-building — platform owners advocate for their platform's budget at the expense of consumer interests.</w:t>
      </w:r>
    </w:p>
    <w:p>
      <w:pPr>
        <w:pStyle w:val="ListParagraph"/>
        <w:numPr>
          <w:ilvl w:val="0"/>
          <w:numId w:val="2"/>
        </w:numPr>
        <w:spacing w:after="80" w:line="280"/>
      </w:pPr>
      <w:r>
        <w:t xml:space="preserve">Requires careful boundary-setting — what is platform funding versus what is capability funding.</w:t>
      </w:r>
    </w:p>
    <w:p>
      <w:pPr>
        <w:pStyle w:val="Heading2"/>
        <w:spacing w:after="160" w:before="280"/>
      </w:pPr>
      <w:r>
        <w:rPr>
          <w:b/>
          <w:bCs/>
          <w:color w:val="2E75B6"/>
        </w:rPr>
        <w:t xml:space="preserve">7.5 The Four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700"/>
        <w:gridCol w:w="2260"/>
      </w:tblGrid>
      <w:tr>
        <w:trPr>
          <w:tblHeader/>
        </w:trPr>
        <w:tc>
          <w:tcPr>
            <w:tcW w:type="dxa" w:w="2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Model</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How Funded</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Best For</w:t>
            </w:r>
          </w:p>
        </w:tc>
        <w:tc>
          <w:tcPr>
            <w:tcW w:type="dxa" w:w="2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Limitation</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Project-based</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Per-project allocation</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Small enterprises; transactional cultures</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Cross-cutting and Phase H work systematically under-funded</w:t>
            </w:r>
          </w:p>
        </w:tc>
      </w:tr>
      <w:tr>
        <w:tc>
          <w:tcPr>
            <w:tcW w:type="dxa" w:w="2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Centralised</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Annual corporate budget</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Centralised operating models; high-conformance environments</w:t>
            </w:r>
          </w:p>
        </w:tc>
        <w:tc>
          <w:tcPr>
            <w:tcW w:type="dxa" w:w="2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Vulnerable to cost cuts; weak project accountability</w:t>
            </w:r>
          </w:p>
        </w:tc>
      </w:tr>
      <w:tr>
        <w:tc>
          <w:tcPr>
            <w:tcW w:type="dxa" w:w="2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Capability-based (modern)</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By the capabilities it serves</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Capability-driven enterprises; mature budgeting</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Requires capability-level budgeting maturity</w:t>
            </w:r>
          </w:p>
        </w:tc>
      </w:tr>
      <w:tr>
        <w:tc>
          <w:tcPr>
            <w:tcW w:type="dxa" w:w="2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Platform funding (modern)</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By the platforms it evolves</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Enterprises with significant shared platforms</w:t>
            </w:r>
          </w:p>
        </w:tc>
        <w:tc>
          <w:tcPr>
            <w:tcW w:type="dxa" w:w="2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Requires explicit platform ownership and budgeting</w:t>
            </w:r>
          </w:p>
        </w:tc>
      </w:tr>
    </w:tbl>
    <w:p>
      <w:pPr>
        <w:pStyle w:val="Heading2"/>
        <w:spacing w:after="160" w:before="280"/>
      </w:pPr>
      <w:r>
        <w:rPr>
          <w:b/>
          <w:bCs/>
          <w:color w:val="2E75B6"/>
        </w:rPr>
        <w:t xml:space="preserve">7.6 Why Capability-Based and Platform Funding Are Modern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The Direction of Travel</w:t>
            </w:r>
          </w:p>
          <w:p>
            <w:pPr>
              <w:spacing w:after="60" w:line="280"/>
              <w:jc w:val="both"/>
            </w:pPr>
            <w:r>
              <w:t xml:space="preserve">The two traditional models (project-based and centralised) each have a fatal flaw: project-based starves cross-cutting work; centralised invites budget cuts during cost reduction. Capability-based and platform funding combine the strengths of both — they tie architecture investment to specific outcomes (capabilities, platforms) while still funding the cross-cutting work that projects ignore. Modern enterprises adopting capability- and platform-thinking find that funding architecture along the same lines is the natural extension. Most large enterprises today operate a hybrid: capability funding for capability-specific architecture; platform funding for platform-specific architecture; some residual centralised funding for the Hub's enterprise-wide work; project-based funding only for one-off engagements that don't fit a capability or platform.</w:t>
            </w:r>
          </w:p>
        </w:tc>
      </w:tr>
    </w:tbl>
    <w:p>
      <w:r>
        <w:br w:type="page"/>
      </w:r>
    </w:p>
    <w:p>
      <w:pPr>
        <w:pStyle w:val="Heading1"/>
        <w:spacing w:after="200" w:before="360"/>
      </w:pPr>
      <w:r>
        <w:rPr>
          <w:b/>
          <w:bCs/>
          <w:color w:val="1F4E78"/>
        </w:rPr>
        <w:t xml:space="preserve">8. Summary and Review</w:t>
      </w:r>
    </w:p>
    <w:p>
      <w:pPr>
        <w:pStyle w:val="Heading2"/>
        <w:spacing w:after="160" w:before="280"/>
      </w:pPr>
      <w:r>
        <w:rPr>
          <w:b/>
          <w:bCs/>
          <w:color w:val="2E75B6"/>
        </w:rPr>
        <w:t xml:space="preserve">8.1 The Big Picture</w:t>
      </w:r>
    </w:p>
    <w:p>
      <w:pPr>
        <w:spacing w:after="120" w:line="300"/>
        <w:jc w:val="both"/>
      </w:pPr>
      <w:r>
        <w:t xml:space="preserve">The Architecture Capability Framework is the fifth core component of TOGAF and the one that makes architecture executable. It answers HOW to run an Enterprise Architecture practice, complementing the ADM's WHAT. It establishes the Architecture Board (a body with decision authority, not merely advisory) with a defined charter and composition. It sets the operating model for the function — Centralised, Federated, or Hybrid Hub-and-Spoke (the recommended default for most large enterprises). It defines the architect roles from Chief Architect through Enterprise Architect, Domain Architect, Solution Architect, and specialised roles. It captures architectural decisions in Architecture Decision Records (ADRs) with their four-section structure: Context, Decision, Rationale, Consequences. It measures the function's value using outcome metrics (cost saved, capability uplifted, delivery accelerated) rather than vanity metrics (deliverables produced, reviews conducted). It funds the function through one or more of four models — Project-based, Centralised, Capability-based, or Platform funding — with capability-based and platform funding being the modern preferred approaches.</w:t>
      </w:r>
    </w:p>
    <w:p>
      <w:pPr>
        <w:pStyle w:val="Heading2"/>
        <w:spacing w:after="160" w:before="280"/>
      </w:pPr>
      <w:r>
        <w:rPr>
          <w:b/>
          <w:bCs/>
          <w:color w:val="2E75B6"/>
        </w:rPr>
        <w:t xml:space="preserve">8.2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 Framework purpose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Answers HOW to run EA. Complements ADM, which answers WHAT to do.</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Board</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Standing governance body with DECISION AUTHORITY, not merely advisory. Approves deliverables, conducts Compliance Reviews, issues dispensations and waivers, updates SIB, arbitrates disputes.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Centralised Model</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All architects to one centre. Strong consistency, weak local responsiveness. Best for smaller enterprises.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Federated Model</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Architects in business units; small central body. Strong local fit, weak consistency. Best for highly autonomous units.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Hybrid (Hub &amp; Spoke)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RECOMMENDED DEFAULT. Strong central Hub + embedded Spokes. Balances consistency and responsiveness. Best for most large enterprises.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Roles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Chief Architect → Enterprise Architect → Domain Architect → Solution Architect → Specialised Architects (Integration, Cloud, Security, etc.)</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Skills proficiency</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Awareness → Application → Practice → Expert (4 levels). Different roles need different proficiency profiles.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ADR — four sections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Context (situation), Decision (what was decided), Rationale (why), Consequences (implications, positive AND negative).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ADR purpose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Defensibility, traceability, continuity across personnel.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Vanity metrics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Activity volume — deliverables produced, reviews conducted, architects hired. AVOID. Easy to grow, uncorrelated with value.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Outcome metrics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Value delivered — cost saved, debt reduced, capability uplifted, delivery accelerated. USE. Survives "so what?" challenge.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Funding — four models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Project-based (traditional, under-funds cross-cutting); Centralised (stable, vulnerable to cuts); Capability-based (modern, aligns with capabilities); Platform funding (modern, aligns with platforms).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Modern preferred funding</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Capability-based and Platform funding. Combine strengths of project- and centralised-based without their fatal weaknesses.</w:t>
            </w:r>
          </w:p>
        </w:tc>
      </w:tr>
    </w:tbl>
    <w:p>
      <w:pPr>
        <w:pStyle w:val="Heading2"/>
        <w:spacing w:after="160" w:before="280"/>
      </w:pPr>
      <w:r>
        <w:rPr>
          <w:b/>
          <w:bCs/>
          <w:color w:val="2E75B6"/>
        </w:rPr>
        <w:t xml:space="preserve">8.3 Self-Test Questions</w:t>
      </w:r>
    </w:p>
    <w:p>
      <w:pPr>
        <w:pStyle w:val="ListParagraph"/>
        <w:numPr>
          <w:ilvl w:val="0"/>
          <w:numId w:val="3"/>
        </w:numPr>
        <w:spacing w:after="80" w:line="280"/>
      </w:pPr>
      <w:r>
        <w:t xml:space="preserve">State the purpose of the Capability Framework in one sentence. How does it relate to the ADM?</w:t>
      </w:r>
    </w:p>
    <w:p>
      <w:pPr>
        <w:pStyle w:val="ListParagraph"/>
        <w:numPr>
          <w:ilvl w:val="0"/>
          <w:numId w:val="3"/>
        </w:numPr>
        <w:spacing w:after="80" w:line="280"/>
      </w:pPr>
      <w:r>
        <w:t xml:space="preserve">Does the Architecture Board have decision authority or only advisory authority? What does this distinction mean in practice?</w:t>
      </w:r>
    </w:p>
    <w:p>
      <w:pPr>
        <w:pStyle w:val="ListParagraph"/>
        <w:numPr>
          <w:ilvl w:val="0"/>
          <w:numId w:val="3"/>
        </w:numPr>
        <w:spacing w:after="80" w:line="280"/>
      </w:pPr>
      <w:r>
        <w:t xml:space="preserve">Name the three operating models for the architecture function. Which is the recommended default and why?</w:t>
      </w:r>
    </w:p>
    <w:p>
      <w:pPr>
        <w:pStyle w:val="ListParagraph"/>
        <w:numPr>
          <w:ilvl w:val="0"/>
          <w:numId w:val="3"/>
        </w:numPr>
        <w:spacing w:after="80" w:line="280"/>
      </w:pPr>
      <w:r>
        <w:t xml:space="preserve">Compare the Centralised and Federated models on consistency, local responsiveness, and scale.</w:t>
      </w:r>
    </w:p>
    <w:p>
      <w:pPr>
        <w:pStyle w:val="ListParagraph"/>
        <w:numPr>
          <w:ilvl w:val="0"/>
          <w:numId w:val="3"/>
        </w:numPr>
        <w:spacing w:after="80" w:line="280"/>
      </w:pPr>
      <w:r>
        <w:t xml:space="preserve">Name five architecture roles in order of seniority and describe what each owns.</w:t>
      </w:r>
    </w:p>
    <w:p>
      <w:pPr>
        <w:pStyle w:val="ListParagraph"/>
        <w:numPr>
          <w:ilvl w:val="0"/>
          <w:numId w:val="3"/>
        </w:numPr>
        <w:spacing w:after="80" w:line="280"/>
      </w:pPr>
      <w:r>
        <w:t xml:space="preserve">State the four standard sections of an Architecture Decision Record and what each contains.</w:t>
      </w:r>
    </w:p>
    <w:p>
      <w:pPr>
        <w:pStyle w:val="ListParagraph"/>
        <w:numPr>
          <w:ilvl w:val="0"/>
          <w:numId w:val="3"/>
        </w:numPr>
        <w:spacing w:after="80" w:line="280"/>
      </w:pPr>
      <w:r>
        <w:t xml:space="preserve">Give three reasons why ADRs matter.</w:t>
      </w:r>
    </w:p>
    <w:p>
      <w:pPr>
        <w:pStyle w:val="ListParagraph"/>
        <w:numPr>
          <w:ilvl w:val="0"/>
          <w:numId w:val="3"/>
        </w:numPr>
        <w:spacing w:after="80" w:line="280"/>
      </w:pPr>
      <w:r>
        <w:t xml:space="preserve">Distinguish vanity metrics from outcome metrics. Give two examples of each.</w:t>
      </w:r>
    </w:p>
    <w:p>
      <w:pPr>
        <w:pStyle w:val="ListParagraph"/>
        <w:numPr>
          <w:ilvl w:val="0"/>
          <w:numId w:val="3"/>
        </w:numPr>
        <w:spacing w:after="80" w:line="280"/>
      </w:pPr>
      <w:r>
        <w:t xml:space="preserve">Why are vanity metrics worse than no metrics at all?</w:t>
      </w:r>
    </w:p>
    <w:p>
      <w:pPr>
        <w:pStyle w:val="ListParagraph"/>
        <w:numPr>
          <w:ilvl w:val="0"/>
          <w:numId w:val="3"/>
        </w:numPr>
        <w:spacing w:after="80" w:line="280"/>
      </w:pPr>
      <w:r>
        <w:t xml:space="preserve">Name the four funding models. Which two are modern preferred, and why?</w:t>
      </w:r>
    </w:p>
    <w:p>
      <w:pPr>
        <w:pStyle w:val="Heading2"/>
        <w:spacing w:after="160" w:before="280"/>
      </w:pPr>
      <w:r>
        <w:rPr>
          <w:b/>
          <w:bCs/>
          <w:color w:val="2E75B6"/>
        </w:rPr>
        <w:t xml:space="preserve">8.4 Closing Note</w:t>
      </w:r>
    </w:p>
    <w:p>
      <w:pPr>
        <w:spacing w:after="120" w:line="300"/>
        <w:jc w:val="both"/>
      </w:pPr>
      <w:r>
        <w:t xml:space="preserve">Module 12 has covered the fifth and final core component of TOGAF. Together, the five — ADM (Module 4), Content Framework (Module 9), Continuum (Module 10), Repository (Module 11), and Capability Framework (this module) — form the structural picture of TOGAF as a body of knowledge. From here forward, the syllabus turns to specific techniques and supporting topics: business scenarios, gap analysis, capability-based planning, risk and security integration, Agile delivery, certification preparation. Each will land in the structure built up over Modules 1 through 12. Make sure you can recite the Capability Framework's six concerns (Board, operating model, roles, ADRs, metrics, funding), the recommended Hybrid Hub-and-Spoke model, the four ADR sections, the vanity-vs-outcome metric distinction, and the four funding models from memory before moving on.</w:t>
      </w:r>
    </w:p>
    <w:p>
      <w:pPr>
        <w:spacing w:after="120"/>
      </w:pPr>
      <w:r>
        <w:t xml:space="preserve"/>
      </w:r>
    </w:p>
    <w:p>
      <w:pPr>
        <w:spacing w:before="400"/>
        <w:jc w:val="center"/>
      </w:pPr>
      <w:r>
        <w:rPr>
          <w:i/>
          <w:iCs/>
          <w:color w:val="808080"/>
        </w:rPr>
        <w:t xml:space="preserve">— End of Module 12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12: Architecture Capability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12 Study Guide</dc:title>
  <dc:creator>Claude</dc:creator>
  <dc:description>Comprehensive study guide for the Architecture Capability Framework</dc:description>
  <cp:lastModifiedBy>Un-named</cp:lastModifiedBy>
  <cp:revision>1</cp:revision>
  <dcterms:created xsi:type="dcterms:W3CDTF">2026-05-02T16:13:07.332Z</dcterms:created>
  <dcterms:modified xsi:type="dcterms:W3CDTF">2026-05-02T16:13:07.354Z</dcterms:modified>
</cp:coreProperties>
</file>

<file path=docProps/custom.xml><?xml version="1.0" encoding="utf-8"?>
<Properties xmlns="http://schemas.openxmlformats.org/officeDocument/2006/custom-properties" xmlns:vt="http://schemas.openxmlformats.org/officeDocument/2006/docPropsVTypes"/>
</file>