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13: ACMM</w:t>
      </w:r>
    </w:p>
    <w:p>
      <w:pPr>
        <w:spacing w:after="200"/>
        <w:jc w:val="center"/>
      </w:pPr>
      <w:r>
        <w:rPr>
          <w:color w:val="595959"/>
          <w:sz w:val="28"/>
          <w:szCs w:val="28"/>
        </w:rPr>
        <w:t xml:space="preserve">Architecture Capability Maturity Model</w:t>
      </w:r>
    </w:p>
    <w:p>
      <w:pPr>
        <w:spacing w:after="200"/>
        <w:jc w:val="center"/>
      </w:pPr>
      <w:r>
        <w:rPr>
          <w:color w:val="808080"/>
          <w:sz w:val="22"/>
          <w:szCs w:val="22"/>
        </w:rPr>
        <w:t xml:space="preserve">Six Levels · Nine Characteristics · Spider Chart · Realistic Targets · Anti-Patterns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13</w:t>
      </w:r>
    </w:p>
    <w:p>
      <w:pPr>
        <w:spacing w:after="120" w:line="300"/>
        <w:jc w:val="both"/>
      </w:pPr>
      <w:r>
        <w:t xml:space="preserve">Module 12 covered the Architecture Capability Framework — the people, governance, roles, decisions, metrics, and funding that constitute a working architecture practice. Module 13 turns to the question of how mature that practice is. The Architecture Capability Maturity Model — abbreviated ACMM — is the standard framework for assessing where an architecture practice currently stands, defining where it should stand in the future, and planning the journey between the two.</w:t>
      </w:r>
    </w:p>
    <w:p>
      <w:pPr>
        <w:spacing w:after="120" w:line="300"/>
        <w:jc w:val="both"/>
      </w:pPr>
      <w:r>
        <w:t xml:space="preserve">The ACMM was originally developed by the U.S. Department of Commerce in 2003 (drawing on the Capability Maturity Model lineage from CMU's Software Engineering Institute) and has been adopted into TOGAF as the recommended maturity assessment framework. It defines six levels of maturity (numbered 0 through 5), nine assessment characteristics that are scored independently, and a typical visualisation as a spider chart that surfaces the strengths and weaknesses of a practice at a glance.</w:t>
      </w:r>
    </w:p>
    <w:p>
      <w:pPr>
        <w:spacing w:after="120" w:line="300"/>
        <w:jc w:val="both"/>
      </w:pPr>
      <w:r>
        <w:t xml:space="preserve">Eight points anchor the exam-relevant content. First, the six levels with their names and the mnemonic. Second, that Level 3 (Defined) is the minimum viable governance state — where the practice becomes properly functional rather than aspirational. Third, the nine assessment characteristics that are independently scored. Fourth, the realistic targets: most enterprises Level 3, financial services Level 4, Level 5 rare. Fifth, the typical multi-year roadmap of one level per 18–24 months. Sixth, the spider chart as the standard visualisation. Seventh and eighth, the anti-patterns that can derail a maturity programme: maturity theatre, score inflation, and mixing models mid-cycle.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The ACMM is at once simple and frequently misused. Six numbered levels and nine characteristics are easy to memorise; applying them honestly is harder. This module covers the levels and characteristics with their proper definitions, then turns to the realistic targets that distinguish credible practice from maturity theatre. Read the anti-patterns section especially carefully — the exam tests recognition of them, and they are common in real organisations.</w:t>
            </w:r>
          </w:p>
        </w:tc>
      </w:tr>
    </w:tbl>
    <w:p>
      <w:r>
        <w:br w:type="page"/>
      </w:r>
    </w:p>
    <w:p>
      <w:pPr>
        <w:pStyle w:val="Heading1"/>
        <w:spacing w:after="200" w:before="360"/>
      </w:pPr>
      <w:r>
        <w:rPr>
          <w:b/>
          <w:bCs/>
          <w:color w:val="1F4E78"/>
        </w:rPr>
        <w:t xml:space="preserve">1. The Six Levels of ACMM (0 through 5)</w:t>
      </w:r>
    </w:p>
    <w:p>
      <w:pPr>
        <w:spacing w:after="120" w:line="300"/>
        <w:jc w:val="both"/>
      </w:pPr>
      <w:r>
        <w:t xml:space="preserve">The ACMM defines six levels of architecture practice maturity, numbered from 0 (None) to 5 (Optimizing). Each level represents a recognisable, qualitatively distinct state of the practice. Memorising the six level names in order is one of the most directly testable skills from this module.</w:t>
      </w:r>
    </w:p>
    <w:p>
      <w:pPr>
        <w:pStyle w:val="Heading2"/>
        <w:spacing w:after="160" w:before="280"/>
      </w:pPr>
      <w:r>
        <w:rPr>
          <w:b/>
          <w:bCs/>
          <w:color w:val="2E75B6"/>
        </w:rPr>
        <w:t xml:space="preserve">1.1 The Mnemonic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Mnemonic for the Six Levels</w:t>
            </w:r>
          </w:p>
          <w:p>
            <w:pPr>
              <w:spacing w:after="60" w:line="280"/>
              <w:jc w:val="both"/>
            </w:pPr>
            <w:r>
              <w:t xml:space="preserve">"Nobody Invites Under-Developed Managers Over"</w:t>
            </w:r>
          </w:p>
          <w:p>
            <w:pPr>
              <w:spacing w:after="60" w:line="280"/>
              <w:jc w:val="both"/>
            </w:pPr>
            <w:r>
              <w:t xml:space="preserve">0 — None</w:t>
            </w:r>
          </w:p>
          <w:p>
            <w:pPr>
              <w:spacing w:after="60" w:line="280"/>
              <w:jc w:val="both"/>
            </w:pPr>
            <w:r>
              <w:t xml:space="preserve">1 — Initial</w:t>
            </w:r>
          </w:p>
          <w:p>
            <w:pPr>
              <w:spacing w:after="60" w:line="280"/>
              <w:jc w:val="both"/>
            </w:pPr>
            <w:r>
              <w:t xml:space="preserve">2 — Under Development</w:t>
            </w:r>
          </w:p>
          <w:p>
            <w:pPr>
              <w:spacing w:after="60" w:line="280"/>
              <w:jc w:val="both"/>
            </w:pPr>
            <w:r>
              <w:t xml:space="preserve">3 — Defined</w:t>
            </w:r>
          </w:p>
          <w:p>
            <w:pPr>
              <w:spacing w:after="60" w:line="280"/>
              <w:jc w:val="both"/>
            </w:pPr>
            <w:r>
              <w:t xml:space="preserve">4 — Managed</w:t>
            </w:r>
          </w:p>
          <w:p>
            <w:pPr>
              <w:spacing w:after="60" w:line="280"/>
              <w:jc w:val="both"/>
            </w:pPr>
            <w:r>
              <w:t xml:space="preserve">5 — Optimizing</w:t>
            </w:r>
          </w:p>
          <w:p>
            <w:pPr>
              <w:spacing w:after="60" w:line="280"/>
              <w:jc w:val="both"/>
            </w:pPr>
            <w:r>
              <w:t xml:space="preserve">The mnemonic ties all six together in order. The exam routinely lists five levels and asks for the sixth, asks for the level corresponding to a description, or asks at what level a particular practice characteristic appears.</w:t>
            </w:r>
          </w:p>
        </w:tc>
      </w:tr>
    </w:tbl>
    <w:p>
      <w:pPr>
        <w:pStyle w:val="Heading2"/>
        <w:spacing w:after="160" w:before="280"/>
      </w:pPr>
      <w:r>
        <w:rPr>
          <w:b/>
          <w:bCs/>
          <w:color w:val="2E75B6"/>
        </w:rPr>
        <w:t xml:space="preserve">1.2 Level 0: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Level 0 — None: </w:t>
            </w:r>
            <w:r>
              <w:t xml:space="preserve">No architecture programme exists. There is no defined architecture practice, no architecture roles, no architecture governance, no Repository. Architecture decisions, where they happen at all, are made implicitly by individual projects and teams without coordination. Common in smaller organisations or those that have never invested in architecture.</w:t>
            </w:r>
          </w:p>
        </w:tc>
      </w:tr>
    </w:tbl>
    <w:p>
      <w:pPr>
        <w:spacing w:after="120" w:line="300"/>
        <w:jc w:val="both"/>
      </w:pPr>
      <w:r>
        <w:t xml:space="preserve">Level 0 is the absence of architecture. Some technology decisions get made — they have to — but they are made without architectural consideration. There are no architects in any defined sense; there is no Architecture Board; there is no shared vocabulary. The result is the six failure patterns covered in Module 1: fragmentation, duplication, drift, lock-in, risk-blindness, and inability to change. Most enterprises that recognise the failure patterns are at Level 0 or 1 when they begin their TOGAF adoption.</w:t>
      </w:r>
    </w:p>
    <w:p>
      <w:pPr>
        <w:pStyle w:val="Heading2"/>
        <w:spacing w:after="160" w:before="280"/>
      </w:pPr>
      <w:r>
        <w:rPr>
          <w:b/>
          <w:bCs/>
          <w:color w:val="2E75B6"/>
        </w:rPr>
        <w:t xml:space="preserve">1.3 Level 1: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Level 1 — Initial: </w:t>
            </w:r>
            <w:r>
              <w:t xml:space="preserve">Architecture work is performed ad hoc when individuals or projects choose to do it. There may be one or two architects in name, often part-time, but no defined practice, no governance body, and no consistent processes. Architecture artefacts exist but are inconsistent in form, not stored centrally, and not authoritative.</w:t>
            </w:r>
          </w:p>
        </w:tc>
      </w:tr>
    </w:tbl>
    <w:p>
      <w:pPr>
        <w:spacing w:after="120" w:line="300"/>
        <w:jc w:val="both"/>
      </w:pPr>
      <w:r>
        <w:t xml:space="preserve">Level 1 represents the first appearance of architecture as a recognised activity. Someone in the organisation produces architecture artefacts — perhaps a senior engineer who calls themselves an architect, perhaps a one-person CTO office. The work is ad hoc: when projects ask for it, the architect produces something; when no one asks, no architecture work happens. Practices vary from artefact to artefact; the function has no defined scope and no authority. Most TOGAF adoption begins by moving the organisation from Level 1 to Level 2.</w:t>
      </w:r>
    </w:p>
    <w:p>
      <w:pPr>
        <w:pStyle w:val="Heading2"/>
        <w:spacing w:after="160" w:before="280"/>
      </w:pPr>
      <w:r>
        <w:rPr>
          <w:b/>
          <w:bCs/>
          <w:color w:val="2E75B6"/>
        </w:rPr>
        <w:t xml:space="preserve">1.4 Level 2: Under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Level 2 — Under Development: </w:t>
            </w:r>
            <w:r>
              <w:t xml:space="preserve">An architecture programme is being established. Roles are being defined, processes are being designed, governance is being instituted, the Repository is being structured, and principles are being agreed. Practices are inconsistent because they are still being built, but the intent and direction are now visible.</w:t>
            </w:r>
          </w:p>
        </w:tc>
      </w:tr>
    </w:tbl>
    <w:p>
      <w:pPr>
        <w:spacing w:after="120" w:line="300"/>
        <w:jc w:val="both"/>
      </w:pPr>
      <w:r>
        <w:t xml:space="preserve">Level 2 is the visible building phase. The Preliminary Phase has been triggered; tailoring is in progress; the Architecture Board is being constituted; the Tailored Framework is being drafted; principles are being debated. Architecture is a programme of work, recognised and resourced, but not yet a steady-state practice. Outcomes are inconsistent: some engagements run with full discipline, others fall back to ad hoc behaviour because the new processes haven't yet stabilised. Level 2 is a transient state — an organisation should not remain here for more than a year or two; it either progresses to Level 3 or regresses to Level 1.</w:t>
      </w:r>
    </w:p>
    <w:p>
      <w:pPr>
        <w:pStyle w:val="Heading2"/>
        <w:spacing w:after="160" w:before="280"/>
      </w:pPr>
      <w:r>
        <w:rPr>
          <w:b/>
          <w:bCs/>
          <w:color w:val="2E75B6"/>
        </w:rPr>
        <w:t xml:space="preserve">1.5 Level 3: Defined — The Minimum Viable Governance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Level 3 — Defined: </w:t>
            </w:r>
            <w:r>
              <w:t xml:space="preserve">Architecture processes are documented, standardised across the organisation, and consistently applied. The Architecture Board is operational with defined authority. The Tailored Framework is in use. Principles are agreed and applied. Roles are defined and staffed. The Repository is in use. The practice is functional and predictable, but not yet quantitatively managed. THE MINIMUM VIABLE GOVERNANCE STATE — most enterprises adopting TOGAF target this level.</w:t>
            </w:r>
          </w:p>
        </w:tc>
      </w:tr>
    </w:tbl>
    <w:p>
      <w:pPr>
        <w:spacing w:after="120" w:line="300"/>
        <w:jc w:val="both"/>
      </w:pPr>
      <w:r>
        <w:t xml:space="preserve">Level 3 is the threshold of credible practice. Everything that should exist exists: an Architecture Board with decision authority; an operating model; defined roles staffed by competent architects; standard processes for engagements, Compliance Reviews, dispensations; a functional Repository; agreed principles. Different engagements run consistently because they all use the same standardised practice. Architecture decisions are recorded in ADRs; gaps are analysed using the standard technique; the SIB is maintained; the Reference Library is curated.</w:t>
      </w:r>
    </w:p>
    <w:p>
      <w:pPr>
        <w:spacing w:after="120" w:line="300"/>
        <w:jc w:val="both"/>
      </w:pPr>
      <w:r>
        <w:t xml:space="preserve">What Level 3 lacks, distinguishing it from Level 4, is quantitative management — metrics aren't yet tied to outcomes systematically; performance variation isn't measured statistically; improvement isn't yet driven by data. The practice works, but its effectiveness is qualitative ('we feel we are doing well') rather than quantitative.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Why Level 3 Is the Minimum Viable State</w:t>
            </w:r>
          </w:p>
          <w:p>
            <w:pPr>
              <w:spacing w:after="60" w:line="280"/>
              <w:jc w:val="both"/>
            </w:pPr>
            <w:r>
              <w:t xml:space="preserve">Below Level 3, the practice is unreliable: standards exist but are inconsistently applied; governance bodies meet but their decisions don't always stick; engagements vary in discipline depending on who runs them. The architecture function generates output but cannot be trusted to produce that output reliably. At Level 3, by definition, the practice is consistent: any engagement run by any team produces architecture work to the same standard. This is the threshold below which the practice cannot be relied on for governance — and above which it can.</w:t>
            </w:r>
          </w:p>
        </w:tc>
      </w:tr>
    </w:tbl>
    <w:p>
      <w:pPr>
        <w:pStyle w:val="Heading2"/>
        <w:spacing w:after="160" w:before="280"/>
      </w:pPr>
      <w:r>
        <w:rPr>
          <w:b/>
          <w:bCs/>
          <w:color w:val="2E75B6"/>
        </w:rPr>
        <w:t xml:space="preserve">1.6 Level 4: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Level 4 — Managed: </w:t>
            </w:r>
            <w:r>
              <w:t xml:space="preserve">Architecture practice is quantitatively measured and managed. Outcome metrics (not vanity metrics) are routinely captured, analysed, and used to drive decisions. Performance variation is tracked and addressed. The Architecture Board uses data to make and defend decisions. Improvement is data-driven. Common in financial services, large telecommunications, and other regulated or highly capability-driven sectors.</w:t>
            </w:r>
          </w:p>
        </w:tc>
      </w:tr>
    </w:tbl>
    <w:p>
      <w:pPr>
        <w:spacing w:after="120" w:line="300"/>
        <w:jc w:val="both"/>
      </w:pPr>
      <w:r>
        <w:t xml:space="preserve">Level 4 adds quantitative discipline to Level 3's qualitative consistency. Compliance Review pass rates, time from RfAW to SoAW, gap closure rates, technology-debt reduction, capability maturity uplift — all are measured systematically and reported. The Architecture Board reviews these measures and uses them to redirect effort. Variation in performance between engagements is itself measured and the causes analysed. The practice can defend itself in front of any executive committee with data, not just narrative.</w:t>
      </w:r>
    </w:p>
    <w:p>
      <w:pPr>
        <w:spacing w:after="120" w:line="300"/>
        <w:jc w:val="both"/>
      </w:pPr>
      <w:r>
        <w:t xml:space="preserve">Reaching Level 4 typically requires several years of operating at Level 3 first. The metrics infrastructure has to be built, the discipline of measurement has to be ingrained, and enough operating history has to accumulate to make trend analysis meaningful. Financial-services architecture practices are the most common Level 4 adopters because their regulators effectively demand quantitative discipline.</w:t>
      </w:r>
    </w:p>
    <w:p>
      <w:pPr>
        <w:pStyle w:val="Heading2"/>
        <w:spacing w:after="160" w:before="280"/>
      </w:pPr>
      <w:r>
        <w:rPr>
          <w:b/>
          <w:bCs/>
          <w:color w:val="2E75B6"/>
        </w:rPr>
        <w:t xml:space="preserve">1.7 Level 5: Optimizing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Level 5 — Optimizing: </w:t>
            </w:r>
            <w:r>
              <w:t xml:space="preserve">The practice continuously improves itself, using data not only to manage current performance but to systematically experiment, learn, and refine its own processes. Innovation in the practice is itself measured and managed. Rare in real organisations; characteristic of leading practices in technology-native enterprises and a small number of mature financial-services and government practices.</w:t>
            </w:r>
          </w:p>
        </w:tc>
      </w:tr>
    </w:tbl>
    <w:p>
      <w:pPr>
        <w:spacing w:after="120" w:line="300"/>
        <w:jc w:val="both"/>
      </w:pPr>
      <w:r>
        <w:t xml:space="preserve">Level 5 adds continuous improvement to Level 4's quantitative management. The practice doesn't just measure itself — it deliberately experiments with process changes, measures their effect, and adopts what works. New techniques are piloted in controlled engagements; outcomes are compared against baseline; successful innovations are propagated. The practice itself evolves under deliberate stewardship rather than drifting under the pressures of work.</w:t>
      </w:r>
    </w:p>
    <w:p>
      <w:pPr>
        <w:spacing w:after="120" w:line="300"/>
        <w:jc w:val="both"/>
      </w:pPr>
      <w:r>
        <w:t xml:space="preserve">Level 5 is rare because it requires enormous discipline and stable funding. The organisation must be willing to dedicate capacity to practice improvement rather than only to project delivery. Most enterprises prioritise current delivery; the practice's own evolution gets done opportunistically rather than systematically. Genuine Level 5 practices exist primarily in technology-native enterprises (where engineering culture supports continuous improvement) and a small number of leading financial-services practices.</w:t>
      </w:r>
    </w:p>
    <w:p>
      <w:pPr>
        <w:pStyle w:val="Heading2"/>
        <w:spacing w:after="160" w:before="280"/>
      </w:pPr>
      <w:r>
        <w:rPr>
          <w:b/>
          <w:bCs/>
          <w:color w:val="2E75B6"/>
        </w:rPr>
        <w:t xml:space="preserve">1.8 The Six Levels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300"/>
        <w:gridCol w:w="3560"/>
      </w:tblGrid>
      <w:tr>
        <w:trPr>
          <w:tblHeader/>
        </w:trPr>
        <w:tc>
          <w:tcPr>
            <w:tcW w:type="dxa" w:w="6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Name</w:t>
            </w:r>
          </w:p>
        </w:tc>
        <w:tc>
          <w:tcPr>
            <w:tcW w:type="dxa" w:w="33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Defining Property</w:t>
            </w:r>
          </w:p>
        </w:tc>
        <w:tc>
          <w:tcPr>
            <w:tcW w:type="dxa" w:w="35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State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0</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None</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 architecture programme exists</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not recognised as discipline</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Initial</w:t>
            </w:r>
          </w:p>
        </w:tc>
        <w:tc>
          <w:tcPr>
            <w:tcW w:type="dxa" w:w="33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 hoc; individuals do architecture when they choose</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1–2 architects, no governance, inconsistent artefacts</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2</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Under Development</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Programme being built; intent visible</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Preliminary Phase active; processes being designed</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3</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Defined</w:t>
            </w:r>
          </w:p>
        </w:tc>
        <w:tc>
          <w:tcPr>
            <w:tcW w:type="dxa" w:w="33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Standardised, documented, consistently applied — MINIMUM VIABLE</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Board operational; framework in use; predictable practice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4</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Managed</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Quantitatively measured and managed</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Outcome metrics captured; data-driven decisions</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5</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Optimizing</w:t>
            </w:r>
          </w:p>
        </w:tc>
        <w:tc>
          <w:tcPr>
            <w:tcW w:type="dxa" w:w="33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Continuously improves itself through deliberate experimentation</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Practice itself evolves under measurement</w:t>
            </w:r>
          </w:p>
        </w:tc>
      </w:tr>
    </w:tbl>
    <w:p>
      <w:r>
        <w:br w:type="page"/>
      </w:r>
    </w:p>
    <w:p>
      <w:pPr>
        <w:pStyle w:val="Heading1"/>
        <w:spacing w:after="200" w:before="360"/>
      </w:pPr>
      <w:r>
        <w:rPr>
          <w:b/>
          <w:bCs/>
          <w:color w:val="1F4E78"/>
        </w:rPr>
        <w:t xml:space="preserve">2. Level 3 (Defined) Is the Minimum Viable Governance State</w:t>
      </w:r>
    </w:p>
    <w:p>
      <w:pPr>
        <w:spacing w:after="120" w:line="300"/>
        <w:jc w:val="both"/>
      </w:pPr>
      <w:r>
        <w:t xml:space="preserve">This is one of the most exam-tested points in the entire ACMM module. Among the six levels, Level 3 is special because it is the threshold below which the practice is not reliably governed and above which it is. Understanding why Level 3 carries this distinction — and what specifically distinguishes it from Level 2 below and Level 4 above — is essential.</w:t>
      </w:r>
    </w:p>
    <w:p>
      <w:pPr>
        <w:pStyle w:val="Heading2"/>
        <w:spacing w:after="160" w:before="280"/>
      </w:pPr>
      <w:r>
        <w:rPr>
          <w:b/>
          <w:bCs/>
          <w:color w:val="2E75B6"/>
        </w:rPr>
        <w:t xml:space="preserve">2.1 Why Level 3 Is the Threshold</w:t>
      </w:r>
    </w:p>
    <w:p>
      <w:pPr>
        <w:spacing w:after="120" w:line="300"/>
        <w:jc w:val="both"/>
      </w:pPr>
      <w:r>
        <w:t xml:space="preserve">The defining property of Level 3 is consistency. Below Level 3, practices vary engagement-to-engagement: even if the right processes have been designed (Level 2), they aren't always followed. Above Level 3, those same consistent practices are quantitatively managed and improved. The threshold itself is the moment when consistency becomes a property the practice possesses rather than aspires to.</w:t>
      </w:r>
    </w:p>
    <w:p>
      <w:pPr>
        <w:spacing w:after="120" w:line="300"/>
        <w:jc w:val="both"/>
      </w:pPr>
      <w:r>
        <w:t xml:space="preserve">Three concrete characteristics emerge at Level 3 that are absent below it:</w:t>
      </w:r>
    </w:p>
    <w:p>
      <w:pPr>
        <w:pStyle w:val="ListParagraph"/>
        <w:numPr>
          <w:ilvl w:val="0"/>
          <w:numId w:val="2"/>
        </w:numPr>
        <w:spacing w:after="80" w:line="280"/>
      </w:pPr>
      <w:r>
        <w:t xml:space="preserve">Standardisation. The Tailored Architecture Framework is documented and used. Engagements run the same way regardless of which architect leads them. Artefacts have consistent form across the practice.</w:t>
      </w:r>
    </w:p>
    <w:p>
      <w:pPr>
        <w:pStyle w:val="ListParagraph"/>
        <w:numPr>
          <w:ilvl w:val="0"/>
          <w:numId w:val="2"/>
        </w:numPr>
        <w:spacing w:after="80" w:line="280"/>
      </w:pPr>
      <w:r>
        <w:t xml:space="preserve">Governance authority. The Architecture Board is operational with explicit charter. Its decisions stick. Compliance Reviews produce binding outcomes. Dispensations follow proper formal process.</w:t>
      </w:r>
    </w:p>
    <w:p>
      <w:pPr>
        <w:pStyle w:val="ListParagraph"/>
        <w:numPr>
          <w:ilvl w:val="0"/>
          <w:numId w:val="2"/>
        </w:numPr>
        <w:spacing w:after="80" w:line="280"/>
      </w:pPr>
      <w:r>
        <w:t xml:space="preserve">Repository discipline. The Repository is genuinely used as the source of truth. ADRs are recorded; SIB is maintained; Reference Library is curated. The Repository is queried before being added to.</w:t>
      </w:r>
    </w:p>
    <w:p>
      <w:pPr>
        <w:spacing w:after="120" w:line="300"/>
        <w:jc w:val="both"/>
      </w:pPr>
      <w:r>
        <w:t xml:space="preserve">Without all three, the practice cannot be trusted to produce reliable architectural governance. With all three, it can — even if it doesn't yet measure itself well (the Level 4 capability).</w:t>
      </w:r>
    </w:p>
    <w:p>
      <w:pPr>
        <w:pStyle w:val="Heading2"/>
        <w:spacing w:after="160" w:before="280"/>
      </w:pPr>
      <w:r>
        <w:rPr>
          <w:b/>
          <w:bCs/>
          <w:color w:val="2E75B6"/>
        </w:rPr>
        <w:t xml:space="preserve">2.2 What's Different About Level 2 and Level 4</w:t>
      </w:r>
    </w:p>
    <w:p>
      <w:pPr>
        <w:pStyle w:val="Heading3"/>
        <w:spacing w:after="120" w:before="220"/>
      </w:pPr>
      <w:r>
        <w:rPr>
          <w:b/>
          <w:bCs/>
          <w:color w:val="404040"/>
        </w:rPr>
        <w:t xml:space="preserve">Level 2 vs Level 3</w:t>
      </w:r>
    </w:p>
    <w:p>
      <w:pPr>
        <w:spacing w:after="120" w:line="300"/>
        <w:jc w:val="both"/>
      </w:pPr>
      <w:r>
        <w:t xml:space="preserve">At Level 2, the practice is being built. The Tailored Framework exists in draft. The Architecture Board has been chartered but is still calibrating. Some engagements use the new processes; others fall back to the old ad hoc approach because the new processes haven't yet stabilised. The intent of consistency is visible but the property isn't yet present.</w:t>
      </w:r>
    </w:p>
    <w:p>
      <w:pPr>
        <w:spacing w:after="120" w:line="300"/>
        <w:jc w:val="both"/>
      </w:pPr>
      <w:r>
        <w:t xml:space="preserve">The transition from Level 2 to Level 3 is the transition from 'we are building this' to 'this works'. It typically takes 12–24 months once Level 2 is reached, and it is the most strategically important transition in the entire ACMM journey because it crosses the threshold from aspirational to functional.</w:t>
      </w:r>
    </w:p>
    <w:p>
      <w:pPr>
        <w:pStyle w:val="Heading3"/>
        <w:spacing w:after="120" w:before="220"/>
      </w:pPr>
      <w:r>
        <w:rPr>
          <w:b/>
          <w:bCs/>
          <w:color w:val="404040"/>
        </w:rPr>
        <w:t xml:space="preserve">Level 3 vs Level 4</w:t>
      </w:r>
    </w:p>
    <w:p>
      <w:pPr>
        <w:spacing w:after="120" w:line="300"/>
        <w:jc w:val="both"/>
      </w:pPr>
      <w:r>
        <w:t xml:space="preserve">At Level 3, the practice is consistent but not quantitatively managed. The Board makes decisions based on judgement and qualitative review. Improvement happens through reflection and intuition. The practice is reliable but its reliability is qualitative.</w:t>
      </w:r>
    </w:p>
    <w:p>
      <w:pPr>
        <w:spacing w:after="120" w:line="300"/>
        <w:jc w:val="both"/>
      </w:pPr>
      <w:r>
        <w:t xml:space="preserve">The transition from Level 3 to Level 4 is the addition of quantitative discipline on top of the consistent base. It also typically takes 18–24 months, and many organisations stop at Level 3 because the additional cost of Level 4 measurement infrastructure is not justified by the additional benefit in their context. Level 3 is enough to be governed well; Level 4 is needed when external scrutiny (regulators, executives) requires data-backed defence of architectural decisions.</w:t>
      </w:r>
    </w:p>
    <w:p>
      <w:pPr>
        <w:pStyle w:val="Heading2"/>
        <w:spacing w:after="160" w:before="280"/>
      </w:pPr>
      <w:r>
        <w:rPr>
          <w:b/>
          <w:bCs/>
          <w:color w:val="2E75B6"/>
        </w:rPr>
        <w:t xml:space="preserve">2.3 Why "Minimum Viable" Matters for Targeting</w:t>
      </w:r>
    </w:p>
    <w:p>
      <w:pPr>
        <w:spacing w:after="120" w:line="300"/>
        <w:jc w:val="both"/>
      </w:pPr>
      <w:r>
        <w:t xml:space="preserve">Many architecture leaders set Level 5 or Level 4 as their initial target, both because the levels look more impressive on paper and because they assume rapid progress is achievable. Both assumptions tend to be wrong.</w:t>
      </w:r>
    </w:p>
    <w:p>
      <w:pPr>
        <w:spacing w:after="120" w:line="300"/>
        <w:jc w:val="both"/>
      </w:pPr>
      <w:r>
        <w:t xml:space="preserve">The Level 3 threshold is hard. Reaching it requires institutional change — not just process documentation but actual behaviour change in how engagements run, how the Board operates, how the Repository is used. Most organisations that target Level 4 or 5 directly fail to reach even Level 3 because their attention is on the wrong target. Targeting Level 3 first, achieving it cleanly, and only then progressing to Level 4 produces better outcomes than attempting to skip levels.</w:t>
      </w:r>
    </w:p>
    <w:p>
      <w:pPr>
        <w:spacing w:after="120" w:line="300"/>
        <w:jc w:val="both"/>
      </w:pPr>
      <w:r>
        <w:t xml:space="preserve">This is why "Level 3 is the minimum viable governance state" is the most consequential single statement about ACMM. It identifies the right initial target for most organisations, the threshold of credible practice, and the foundation for any later progression.</w:t>
      </w:r>
    </w:p>
    <w:p>
      <w:r>
        <w:br w:type="page"/>
      </w:r>
    </w:p>
    <w:p>
      <w:pPr>
        <w:pStyle w:val="Heading1"/>
        <w:spacing w:after="200" w:before="360"/>
      </w:pPr>
      <w:r>
        <w:rPr>
          <w:b/>
          <w:bCs/>
          <w:color w:val="1F4E78"/>
        </w:rPr>
        <w:t xml:space="preserve">3. The Nine Assessment Characteristics</w:t>
      </w:r>
    </w:p>
    <w:p>
      <w:pPr>
        <w:spacing w:after="120" w:line="300"/>
        <w:jc w:val="both"/>
      </w:pPr>
      <w:r>
        <w:t xml:space="preserve">ACMM does not assign a single overall maturity level to a practice. Instead, it scores the practice on nine independent characteristics, each on the same 0–5 scale. The result is a multi-dimensional assessment that recognises a practice can be mature on some dimensions and immature on others. The nine characteristics are exam-relevant by name and by what each measures.</w:t>
      </w:r>
    </w:p>
    <w:p>
      <w:pPr>
        <w:pStyle w:val="Heading2"/>
        <w:spacing w:after="160" w:before="280"/>
      </w:pPr>
      <w:r>
        <w:rPr>
          <w:b/>
          <w:bCs/>
          <w:color w:val="2E75B6"/>
        </w:rPr>
        <w:t xml:space="preserve">3.1 The Nine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ACMM Assessment Characteristics: </w:t>
            </w:r>
            <w:r>
              <w:t xml:space="preserve">Nine independent dimensions on which an architecture practice is scored, each on the 0–5 scale: Architecture Process, Architecture Development, Business Linkage, Senior Management Involvement, Operating Unit Participation, Architecture Communication, IT Security, Architecture Governance, IT Investment &amp; Acquisition Strategy. The practice's maturity is described as a score profile across all nine, not a single number.</w:t>
            </w:r>
          </w:p>
        </w:tc>
      </w:tr>
    </w:tbl>
    <w:p>
      <w:pPr>
        <w:pStyle w:val="Heading2"/>
        <w:spacing w:after="160" w:before="280"/>
      </w:pPr>
      <w:r>
        <w:rPr>
          <w:b/>
          <w:bCs/>
          <w:color w:val="2E75B6"/>
        </w:rPr>
        <w:t xml:space="preserve">3.2 Each Characteristic Defined</w:t>
      </w:r>
    </w:p>
    <w:p>
      <w:pPr>
        <w:pStyle w:val="Heading3"/>
        <w:spacing w:after="120" w:before="220"/>
      </w:pPr>
      <w:r>
        <w:rPr>
          <w:b/>
          <w:bCs/>
          <w:color w:val="404040"/>
        </w:rPr>
        <w:t xml:space="preserve">1. Architecture Process</w:t>
      </w:r>
    </w:p>
    <w:p>
      <w:pPr>
        <w:spacing w:after="120" w:line="300"/>
        <w:jc w:val="both"/>
      </w:pPr>
      <w:r>
        <w:t xml:space="preserve">How well the architecture practice's process — the Tailored ADM, engagement methods, deliverable standards — is defined, documented, communicated, and consistently applied. Scores how reliable the process itself is, independent of individual architect skill.</w:t>
      </w:r>
    </w:p>
    <w:p>
      <w:pPr>
        <w:pStyle w:val="Heading3"/>
        <w:spacing w:after="120" w:before="220"/>
      </w:pPr>
      <w:r>
        <w:rPr>
          <w:b/>
          <w:bCs/>
          <w:color w:val="404040"/>
        </w:rPr>
        <w:t xml:space="preserve">2. Architecture Development</w:t>
      </w:r>
    </w:p>
    <w:p>
      <w:pPr>
        <w:spacing w:after="120" w:line="300"/>
        <w:jc w:val="both"/>
      </w:pPr>
      <w:r>
        <w:t xml:space="preserve">How well the actual development of architectures (Phases B, C, D in particular) is performed: the rigour of capability mapping, data modelling, application portfolio analysis, technology architecture work, and gap analysis. Scores the substantive quality of architecture work output.</w:t>
      </w:r>
    </w:p>
    <w:p>
      <w:pPr>
        <w:pStyle w:val="Heading3"/>
        <w:spacing w:after="120" w:before="220"/>
      </w:pPr>
      <w:r>
        <w:rPr>
          <w:b/>
          <w:bCs/>
          <w:color w:val="404040"/>
        </w:rPr>
        <w:t xml:space="preserve">3. Business Linkage</w:t>
      </w:r>
    </w:p>
    <w:p>
      <w:pPr>
        <w:spacing w:after="120" w:line="300"/>
        <w:jc w:val="both"/>
      </w:pPr>
      <w:r>
        <w:t xml:space="preserve">How tightly architecture is connected to business strategy and outcomes. Scores whether business goals drive architecture (high score) or whether architecture is technology-driven and disconnected from business (low score). One of the most consequential characteristics — practices high here deliver value; practices low here are seen as overhead.</w:t>
      </w:r>
    </w:p>
    <w:p>
      <w:pPr>
        <w:pStyle w:val="Heading3"/>
        <w:spacing w:after="120" w:before="220"/>
      </w:pPr>
      <w:r>
        <w:rPr>
          <w:b/>
          <w:bCs/>
          <w:color w:val="404040"/>
        </w:rPr>
        <w:t xml:space="preserve">4. Senior Management Involvement</w:t>
      </w:r>
    </w:p>
    <w:p>
      <w:pPr>
        <w:spacing w:after="120" w:line="300"/>
        <w:jc w:val="both"/>
      </w:pPr>
      <w:r>
        <w:t xml:space="preserve">How actively senior management — CEO, CIO, CTO, business unit heads — engage with architecture. Scores both the level of engagement (do executives sit on the Board?) and its quality (do executives use architecture inputs in decisions, or do they treat architecture as a separate exercise?).</w:t>
      </w:r>
    </w:p>
    <w:p>
      <w:pPr>
        <w:pStyle w:val="Heading3"/>
        <w:spacing w:after="120" w:before="220"/>
      </w:pPr>
      <w:r>
        <w:rPr>
          <w:b/>
          <w:bCs/>
          <w:color w:val="404040"/>
        </w:rPr>
        <w:t xml:space="preserve">5. Operating Unit Participation</w:t>
      </w:r>
    </w:p>
    <w:p>
      <w:pPr>
        <w:spacing w:after="120" w:line="300"/>
        <w:jc w:val="both"/>
      </w:pPr>
      <w:r>
        <w:t xml:space="preserve">How actively business operating units engage with architecture — providing input, attending reviews, accepting governance, contributing architects in a Hybrid model. Scores whether architecture is owned by IT alone (low) or genuinely shared with the business (high).</w:t>
      </w:r>
    </w:p>
    <w:p>
      <w:pPr>
        <w:pStyle w:val="Heading3"/>
        <w:spacing w:after="120" w:before="220"/>
      </w:pPr>
      <w:r>
        <w:rPr>
          <w:b/>
          <w:bCs/>
          <w:color w:val="404040"/>
        </w:rPr>
        <w:t xml:space="preserve">6. Architecture Communication</w:t>
      </w:r>
    </w:p>
    <w:p>
      <w:pPr>
        <w:spacing w:after="120" w:line="300"/>
        <w:jc w:val="both"/>
      </w:pPr>
      <w:r>
        <w:t xml:space="preserve">How effectively architecture is communicated to stakeholders. Scores whether the views-and-viewpoints discipline (Module 3) is applied; whether different stakeholders receive appropriate views; whether decisions are explained; whether the architecture is visible across the enterprise.</w:t>
      </w:r>
    </w:p>
    <w:p>
      <w:pPr>
        <w:pStyle w:val="Heading3"/>
        <w:spacing w:after="120" w:before="220"/>
      </w:pPr>
      <w:r>
        <w:rPr>
          <w:b/>
          <w:bCs/>
          <w:color w:val="404040"/>
        </w:rPr>
        <w:t xml:space="preserve">7. IT Security</w:t>
      </w:r>
    </w:p>
    <w:p>
      <w:pPr>
        <w:spacing w:after="120" w:line="300"/>
        <w:jc w:val="both"/>
      </w:pPr>
      <w:r>
        <w:t xml:space="preserve">How well security is integrated into the architecture. Scores whether security is architected (high) or bolted on (low); whether the CISO participates in the architecture function; whether security architecture is treated as a peer of business, data, application, and technology architecture rather than as a separate, late-stage gate.</w:t>
      </w:r>
    </w:p>
    <w:p>
      <w:pPr>
        <w:pStyle w:val="Heading3"/>
        <w:spacing w:after="120" w:before="220"/>
      </w:pPr>
      <w:r>
        <w:rPr>
          <w:b/>
          <w:bCs/>
          <w:color w:val="404040"/>
        </w:rPr>
        <w:t xml:space="preserve">8. Architecture Governance</w:t>
      </w:r>
    </w:p>
    <w:p>
      <w:pPr>
        <w:spacing w:after="120" w:line="300"/>
        <w:jc w:val="both"/>
      </w:pPr>
      <w:r>
        <w:t xml:space="preserve">How effectively the governance machinery (Architecture Board, Compliance Reviews, dispensations, ADRs, the Governance Log) operates. Scores whether governance is genuine and binding (high) or theatrical and routinely waived (low).</w:t>
      </w:r>
    </w:p>
    <w:p>
      <w:pPr>
        <w:pStyle w:val="Heading3"/>
        <w:spacing w:after="120" w:before="220"/>
      </w:pPr>
      <w:r>
        <w:rPr>
          <w:b/>
          <w:bCs/>
          <w:color w:val="404040"/>
        </w:rPr>
        <w:t xml:space="preserve">9. IT Investment &amp; Acquisition Strategy</w:t>
      </w:r>
    </w:p>
    <w:p>
      <w:pPr>
        <w:spacing w:after="120" w:line="300"/>
        <w:jc w:val="both"/>
      </w:pPr>
      <w:r>
        <w:t xml:space="preserve">How well architecture connects to IT investment decisions and to procurement. Scores whether technology and vendor selections respect the architecture (high) or whether procurement happens independently (low). A high score here typically requires capability- or platform-based funding (Module 12); without it, this characteristic struggles.</w:t>
      </w:r>
    </w:p>
    <w:p>
      <w:pPr>
        <w:pStyle w:val="Heading2"/>
        <w:spacing w:after="160" w:before="280"/>
      </w:pPr>
      <w:r>
        <w:rPr>
          <w:b/>
          <w:bCs/>
          <w:color w:val="2E75B6"/>
        </w:rPr>
        <w:t xml:space="preserve">3.3 The Nine Characteristics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Characteristic</w:t>
            </w:r>
          </w:p>
        </w:tc>
        <w:tc>
          <w:tcPr>
            <w:tcW w:type="dxa" w:w="5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Measures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Process</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Reliability of the practice's processes themselves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Development</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Substantive quality of architecture work output</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Linkage</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Tightness of architecture-to-business-strategy connection</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Senior Management Involvement</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Active engagement of executive leadership</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Operating Unit Participation</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Active engagement of business units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Communication</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Effectiveness of stakeholder communication</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 Security</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Integration of security into the architecture</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8</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Governance</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Effectiveness and bindingness of governance machinery</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9</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 Investment &amp; Acquisition Strategy</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Connection between architecture and procurement / investment</w:t>
            </w:r>
          </w:p>
        </w:tc>
      </w:tr>
    </w:tbl>
    <w:p>
      <w:pPr>
        <w:pStyle w:val="Heading2"/>
        <w:spacing w:after="160" w:before="280"/>
      </w:pPr>
      <w:r>
        <w:rPr>
          <w:b/>
          <w:bCs/>
          <w:color w:val="2E75B6"/>
        </w:rPr>
        <w:t xml:space="preserve">3.4 Why Independent Scoring Matters</w:t>
      </w:r>
    </w:p>
    <w:p>
      <w:pPr>
        <w:spacing w:after="120" w:line="300"/>
        <w:jc w:val="both"/>
      </w:pPr>
      <w:r>
        <w:t xml:space="preserve">The nine characteristics are scored independently because real practices are uneven. A practice may have excellent Architecture Development (Level 4) but weak Business Linkage (Level 2) — common in technology-driven practices where architects produce sophisticated artefacts that the business never reads. A practice may have strong Senior Management Involvement (Level 4) but weak Operating Unit Participation (Level 2) — common when executives mandate architecture but business units passively resist.</w:t>
      </w:r>
    </w:p>
    <w:p>
      <w:pPr>
        <w:spacing w:after="120" w:line="300"/>
        <w:jc w:val="both"/>
      </w:pPr>
      <w:r>
        <w:t xml:space="preserve">A single overall maturity score would hide these patterns. The independent characteristic scores surface them: the practice's strengths and weaknesses become visible, and improvement effort can be directed at the weakest characteristics rather than dispersed evenly.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Practice's Score Profile</w:t>
            </w:r>
          </w:p>
          <w:p>
            <w:pPr>
              <w:spacing w:after="60" w:line="280"/>
              <w:jc w:val="both"/>
            </w:pPr>
            <w:r>
              <w:t xml:space="preserve">Acme Bank's architecture practice, assessed in early 2025:</w:t>
            </w:r>
          </w:p>
          <w:p>
            <w:pPr>
              <w:spacing w:after="60" w:line="280"/>
              <w:jc w:val="both"/>
            </w:pPr>
            <w:r>
              <w:t xml:space="preserve">Architecture Process: 3 (consistent, documented, applied).</w:t>
            </w:r>
          </w:p>
          <w:p>
            <w:pPr>
              <w:spacing w:after="60" w:line="280"/>
              <w:jc w:val="both"/>
            </w:pPr>
            <w:r>
              <w:t xml:space="preserve">Architecture Development: 3 (good capability mapping, solid Phase C, decent Phase D).</w:t>
            </w:r>
          </w:p>
          <w:p>
            <w:pPr>
              <w:spacing w:after="60" w:line="280"/>
              <w:jc w:val="both"/>
            </w:pPr>
            <w:r>
              <w:t xml:space="preserve">Business Linkage: 2 (architecture is still seen as IT-led; capability work is starting to bridge but business goals aren't yet primary drivers).</w:t>
            </w:r>
          </w:p>
          <w:p>
            <w:pPr>
              <w:spacing w:after="60" w:line="280"/>
              <w:jc w:val="both"/>
            </w:pPr>
            <w:r>
              <w:t xml:space="preserve">Senior Management Involvement: 3 (CIO actively engaged; CTO engaged; CEO informed but not deeply involved).</w:t>
            </w:r>
          </w:p>
          <w:p>
            <w:pPr>
              <w:spacing w:after="60" w:line="280"/>
              <w:jc w:val="both"/>
            </w:pPr>
            <w:r>
              <w:t xml:space="preserve">Operating Unit Participation: 2 (Retail engages; Wealth and Markets resist; HR and Finance see architecture as IT's problem).</w:t>
            </w:r>
          </w:p>
          <w:p>
            <w:pPr>
              <w:spacing w:after="60" w:line="280"/>
              <w:jc w:val="both"/>
            </w:pPr>
            <w:r>
              <w:t xml:space="preserve">Architecture Communication: 3 (views-and-viewpoints discipline established; targeted views routinely produced).</w:t>
            </w:r>
          </w:p>
          <w:p>
            <w:pPr>
              <w:spacing w:after="60" w:line="280"/>
              <w:jc w:val="both"/>
            </w:pPr>
            <w:r>
              <w:t xml:space="preserve">IT Security: 3 (CISO sits on Board; security architecture peer of other domains; SIB security entries maintained).</w:t>
            </w:r>
          </w:p>
          <w:p>
            <w:pPr>
              <w:spacing w:after="60" w:line="280"/>
              <w:jc w:val="both"/>
            </w:pPr>
            <w:r>
              <w:t xml:space="preserve">Architecture Governance: 3 (Board operational, decisions stick, dispensations formal; some Compliance Review pass-through, being addressed).</w:t>
            </w:r>
          </w:p>
          <w:p>
            <w:pPr>
              <w:spacing w:after="60" w:line="280"/>
              <w:jc w:val="both"/>
            </w:pPr>
            <w:r>
              <w:t xml:space="preserve">IT Investment &amp; Acquisition Strategy: 2 (architecture cited in tech procurement, but capability-funding still in pilot; major procurement still flows around architecture).</w:t>
            </w:r>
          </w:p>
          <w:p>
            <w:pPr>
              <w:spacing w:after="60" w:line="280"/>
              <w:jc w:val="both"/>
            </w:pPr>
            <w:r>
              <w:t xml:space="preserve">Profile: mostly 3, with 2s on Business Linkage, Operating Unit Participation, and IT Investment. The weak spots reveal where to focus improvement: deepening business engagement, broadening operating-unit ownership, and completing the capability-funding rollout. Targeting all three weaknesses is the path to a clean Level 3 across the board.</w:t>
            </w:r>
          </w:p>
        </w:tc>
      </w:tr>
    </w:tbl>
    <w:p>
      <w:r>
        <w:br w:type="page"/>
      </w:r>
    </w:p>
    <w:p>
      <w:pPr>
        <w:pStyle w:val="Heading1"/>
        <w:spacing w:after="200" w:before="360"/>
      </w:pPr>
      <w:r>
        <w:rPr>
          <w:b/>
          <w:bCs/>
          <w:color w:val="1F4E78"/>
        </w:rPr>
        <w:t xml:space="preserve">4. Realistic Maturity Targets</w:t>
      </w:r>
    </w:p>
    <w:p>
      <w:pPr>
        <w:spacing w:after="120" w:line="300"/>
        <w:jc w:val="both"/>
      </w:pPr>
      <w:r>
        <w:t xml:space="preserve">One of the most consequential pieces of practical guidance about ACMM is what level different kinds of organisation should target. Aspirational targets — Level 5 for everyone — produce frustration, score inflation, and ultimately disillusion. Realistic targets, calibrated to the organisation's industry and circumstances, produce credible programmes that deliver real value.</w:t>
      </w:r>
    </w:p>
    <w:p>
      <w:pPr>
        <w:pStyle w:val="Heading2"/>
        <w:spacing w:after="160" w:before="280"/>
      </w:pPr>
      <w:r>
        <w:rPr>
          <w:b/>
          <w:bCs/>
          <w:color w:val="2E75B6"/>
        </w:rPr>
        <w:t xml:space="preserve">4.1 The Realistic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Three Anchor Points</w:t>
            </w:r>
          </w:p>
          <w:p>
            <w:pPr>
              <w:spacing w:after="60" w:line="280"/>
              <w:jc w:val="both"/>
            </w:pPr>
            <w:r>
              <w:t xml:space="preserve">Most organisations: Level 3 is the credible target. Reaching it cleanly requires several years and substantial institutional change; once reached, it provides reliable governance and meaningful value. Most enterprises stop here deliberately because the cost of further progression isn't justified by additional benefit. Financial services, government, and other regulated sectors: Level 4 is the credible target. Quantitative management is effectively required by external scrutiny. Reaching Level 4 typically takes another 18–24 months beyond Level 3. Level 5: rare. Achievable only in technology-native enterprises with strong continuous-improvement cultures, or in a small number of mature regulated practices. Most organisations should not target Level 5 — the cost vastly exceeds the benefit, and the attempt typically produces theatre rather than substance.</w:t>
            </w:r>
          </w:p>
        </w:tc>
      </w:tr>
    </w:tbl>
    <w:p>
      <w:pPr>
        <w:pStyle w:val="Heading2"/>
        <w:spacing w:after="160" w:before="280"/>
      </w:pPr>
      <w:r>
        <w:rPr>
          <w:b/>
          <w:bCs/>
          <w:color w:val="2E75B6"/>
        </w:rPr>
        <w:t xml:space="preserve">4.2 Targets by Industry and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Context</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Realistic Target</w:t>
            </w:r>
          </w:p>
        </w:tc>
        <w:tc>
          <w:tcPr>
            <w:tcW w:type="dxa" w:w="4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Reasoning</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Most enterprises (general industry, retail, manufacturing, services)</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Level 3 (Defined)</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Credible governance threshold; cost-effective; stop here unless specific reasons drive further progression</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Financial services (banking, insurance, asset management)</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Level 4 (Managed)</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Regulatory scrutiny effectively requires quantitative discipline; Level 3 alone is insufficient for defending decisions to regulators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Government / public sector</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Level 3–4</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Level 3 for most; Level 4 where audit and accountability requirements demand quantitative defence</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Highly regulated utilities, healthcare, defence</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Level 4</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External scrutiny demands data-backed practice; Level 3's qualitative consistency insufficient</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Technology-native (cloud-native, software-led)</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Level 3, sometimes Level 5</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Level 3 base; Level 5 achievable where engineering culture supports continuous improvement of practice itself</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Small enterprises</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Level 2–3</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Full Level 3 may be disproportionate; lighter Level 2.5 (some Level 3 characteristics, others lighter) often realistic</w:t>
            </w:r>
          </w:p>
        </w:tc>
      </w:tr>
    </w:tbl>
    <w:p>
      <w:pPr>
        <w:pStyle w:val="Heading2"/>
        <w:spacing w:after="160" w:before="280"/>
      </w:pPr>
      <w:r>
        <w:rPr>
          <w:b/>
          <w:bCs/>
          <w:color w:val="2E75B6"/>
        </w:rPr>
        <w:t xml:space="preserve">4.3 Why Most Stop at Level 3</w:t>
      </w:r>
    </w:p>
    <w:p>
      <w:pPr>
        <w:spacing w:after="120" w:line="300"/>
        <w:jc w:val="both"/>
      </w:pPr>
      <w:r>
        <w:t xml:space="preserve">The cost-benefit balance changes sharply at the Level 3 threshold. The cost of moving from Level 1 or 2 to Level 3 is justified by the value of credible, reliable architectural governance — without which the architecture function cannot be trusted to deliver on its promises. The cost of moving from Level 3 to Level 4 is also significant — building measurement infrastructure, developing data discipline, training architects in quantitative analysis — but the value is more contextual.</w:t>
      </w:r>
    </w:p>
    <w:p>
      <w:pPr>
        <w:spacing w:after="120" w:line="300"/>
        <w:jc w:val="both"/>
      </w:pPr>
      <w:r>
        <w:t xml:space="preserve">In organisations under heavy external scrutiny (regulators, auditors, executives demanding data), the value of Level 4 justifies the cost: quantitative defence of decisions is required and the cost of building the capability to provide it is necessary. In organisations without such pressure, the additional discipline of Level 4 produces marginal additional benefit at substantial additional cost. Most organisations correctly conclude that Level 3 is enough.</w:t>
      </w:r>
    </w:p>
    <w:p>
      <w:pPr>
        <w:spacing w:after="120" w:line="300"/>
        <w:jc w:val="both"/>
      </w:pPr>
      <w:r>
        <w:t xml:space="preserve">Stopping at Level 3 deliberately is a respectable strategic choice. Stopping at Level 3 because Level 4 attempts have failed is different — it is the cost of an over-ambitious target. The first is competent; the second is wasteful.</w:t>
      </w:r>
    </w:p>
    <w:p>
      <w:r>
        <w:br w:type="page"/>
      </w:r>
    </w:p>
    <w:p>
      <w:pPr>
        <w:pStyle w:val="Heading1"/>
        <w:spacing w:after="200" w:before="360"/>
      </w:pPr>
      <w:r>
        <w:rPr>
          <w:b/>
          <w:bCs/>
          <w:color w:val="1F4E78"/>
        </w:rPr>
        <w:t xml:space="preserve">5. The Multi-Year Roadmap — One Level Per 18–24 Months</w:t>
      </w:r>
    </w:p>
    <w:p>
      <w:pPr>
        <w:spacing w:after="120" w:line="300"/>
        <w:jc w:val="both"/>
      </w:pPr>
      <w:r>
        <w:t xml:space="preserve">Maturity transitions take time. The standard rule of thumb is one level of maturity per 18 to 24 months. This is the realistic pace for most organisations, calibrated to how long institutional change actually takes. Faster trajectories exist but are rare and typically the result of unusual circumstances; slower trajectories are common but usually indicate something has stalled.</w:t>
      </w:r>
    </w:p>
    <w:p>
      <w:pPr>
        <w:pStyle w:val="Heading2"/>
        <w:spacing w:after="160" w:before="280"/>
      </w:pPr>
      <w:r>
        <w:rPr>
          <w:b/>
          <w:bCs/>
          <w:color w:val="2E75B6"/>
        </w:rPr>
        <w:t xml:space="preserve">5.1 Why 18–24 Months</w:t>
      </w:r>
    </w:p>
    <w:p>
      <w:pPr>
        <w:spacing w:after="120" w:line="300"/>
        <w:jc w:val="both"/>
      </w:pPr>
      <w:r>
        <w:t xml:space="preserve">A maturity level is not a checkbox; it is an institutional state. Reaching the next state requires changing how people behave, how meetings run, how decisions are made, how artefacts are produced. Behaviour change at organisational scale takes time — not because the new behaviours are intrinsically slow, but because the existing behaviours have to be unlearned, the new processes have to be repeatedly applied, and the new state has to become routine.</w:t>
      </w:r>
    </w:p>
    <w:p>
      <w:pPr>
        <w:spacing w:after="120" w:line="300"/>
        <w:jc w:val="both"/>
      </w:pPr>
      <w:r>
        <w:t xml:space="preserve">Eighteen to twenty-four months is the empirical pattern. Faster than 18 months and the new state hasn't yet become routine — what looks like Level 3 reverts to Level 2 the moment pressure rises elsewhere. Slower than 24 months and the practice tends to plateau short of the target — momentum is lost; the new state never quite consolidates.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ACMM Roadmap Cadence: </w:t>
            </w:r>
            <w:r>
              <w:t xml:space="preserve">Empirical guidance: one ACMM level per 18–24 months. Faster is rare and typically unsustainable; slower indicates the programme has stalled. A multi-level journey from Level 1 to Level 4 should be planned as 5–6 years; from Level 0 to Level 3 as 3–4 years.</w:t>
            </w:r>
          </w:p>
        </w:tc>
      </w:tr>
    </w:tbl>
    <w:p>
      <w:pPr>
        <w:pStyle w:val="Heading2"/>
        <w:spacing w:after="160" w:before="280"/>
      </w:pPr>
      <w:r>
        <w:rPr>
          <w:b/>
          <w:bCs/>
          <w:color w:val="2E75B6"/>
        </w:rPr>
        <w:t xml:space="preserve">5.2 A Typical Multi-Year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6-Year ACMM Roadmap for a Bank Targeting Level 4</w:t>
            </w:r>
          </w:p>
          <w:p>
            <w:pPr>
              <w:spacing w:after="60" w:line="280"/>
              <w:jc w:val="both"/>
            </w:pPr>
            <w:r>
              <w:t xml:space="preserve">Starting state (Year 0): assessed at Level 1 across most characteristics, Level 2 on Architecture Process and Architecture Communication. Architecture practice exists but is ad hoc; Board chartered but not yet operational; Repository in early build.</w:t>
            </w:r>
          </w:p>
          <w:p>
            <w:pPr>
              <w:spacing w:after="60" w:line="280"/>
              <w:jc w:val="both"/>
            </w:pPr>
            <w:r>
              <w:t xml:space="preserve">Year 1: focus on consolidating Level 2. Complete the Tailored Framework. Operationalise the Board. Establish the Repository. Train architects in the new processes. Goal: assessed Level 2 across all 9 characteristics.</w:t>
            </w:r>
          </w:p>
          <w:p>
            <w:pPr>
              <w:spacing w:after="60" w:line="280"/>
              <w:jc w:val="both"/>
            </w:pPr>
            <w:r>
              <w:t xml:space="preserve">Year 2: drive toward Level 3. Achieve consistency in engagement practice. Make Compliance Reviews routine. Roll out ADR discipline. Get business units engaged. Goal: assessed Level 3 on at least 6 of 9 characteristics.</w:t>
            </w:r>
          </w:p>
          <w:p>
            <w:pPr>
              <w:spacing w:after="60" w:line="280"/>
              <w:jc w:val="both"/>
            </w:pPr>
            <w:r>
              <w:t xml:space="preserve">Year 3: complete Level 3. Address remaining Level 2 characteristics (typically Business Linkage, Operating Unit Participation, IT Investment Strategy). Goal: assessed Level 3 across all 9.</w:t>
            </w:r>
          </w:p>
          <w:p>
            <w:pPr>
              <w:spacing w:after="60" w:line="280"/>
              <w:jc w:val="both"/>
            </w:pPr>
            <w:r>
              <w:t xml:space="preserve">Year 4: build Level 4 measurement infrastructure. Define outcome metrics; instrument the practice; begin systematic data capture. Goal: assessed Level 4 on at least 3 characteristics (typically Architecture Process, Architecture Governance, and one other).</w:t>
            </w:r>
          </w:p>
          <w:p>
            <w:pPr>
              <w:spacing w:after="60" w:line="280"/>
              <w:jc w:val="both"/>
            </w:pPr>
            <w:r>
              <w:t xml:space="preserve">Year 5: extend Level 4 across more characteristics. Architects develop quantitative habits. Board uses data routinely. Goal: assessed Level 4 on at least 6 of 9.</w:t>
            </w:r>
          </w:p>
          <w:p>
            <w:pPr>
              <w:spacing w:after="60" w:line="280"/>
              <w:jc w:val="both"/>
            </w:pPr>
            <w:r>
              <w:t xml:space="preserve">Year 6: complete Level 4. Goal: assessed Level 4 across all 9 characteristics.</w:t>
            </w:r>
          </w:p>
          <w:p>
            <w:pPr>
              <w:spacing w:after="60" w:line="280"/>
              <w:jc w:val="both"/>
            </w:pPr>
            <w:r>
              <w:t xml:space="preserve">Total: 6 years from Level 1 to Level 4. Three transitions averaging 24 months each. This is realistic; faster timelines tend to be programmes that look ambitious in plan but fail to deliver in practice.</w:t>
            </w:r>
          </w:p>
        </w:tc>
      </w:tr>
    </w:tbl>
    <w:p>
      <w:pPr>
        <w:pStyle w:val="Heading2"/>
        <w:spacing w:after="160" w:before="280"/>
      </w:pPr>
      <w:r>
        <w:rPr>
          <w:b/>
          <w:bCs/>
          <w:color w:val="2E75B6"/>
        </w:rPr>
        <w:t xml:space="preserve">5.3 Setting the Roadmap</w:t>
      </w:r>
    </w:p>
    <w:p>
      <w:pPr>
        <w:spacing w:after="120" w:line="300"/>
        <w:jc w:val="both"/>
      </w:pPr>
      <w:r>
        <w:t xml:space="preserve">A credible ACMM roadmap is built by:</w:t>
      </w:r>
    </w:p>
    <w:p>
      <w:pPr>
        <w:pStyle w:val="ListParagraph"/>
        <w:numPr>
          <w:ilvl w:val="0"/>
          <w:numId w:val="2"/>
        </w:numPr>
        <w:spacing w:after="80" w:line="280"/>
      </w:pPr>
      <w:r>
        <w:t xml:space="preserve">Performing an honest baseline assessment using the nine characteristics.</w:t>
      </w:r>
    </w:p>
    <w:p>
      <w:pPr>
        <w:pStyle w:val="ListParagraph"/>
        <w:numPr>
          <w:ilvl w:val="0"/>
          <w:numId w:val="2"/>
        </w:numPr>
        <w:spacing w:after="80" w:line="280"/>
      </w:pPr>
      <w:r>
        <w:t xml:space="preserve">Setting a realistic target level for the organisation (Level 3 for most; Level 4 for regulated sectors).</w:t>
      </w:r>
    </w:p>
    <w:p>
      <w:pPr>
        <w:pStyle w:val="ListParagraph"/>
        <w:numPr>
          <w:ilvl w:val="0"/>
          <w:numId w:val="2"/>
        </w:numPr>
        <w:spacing w:after="80" w:line="280"/>
      </w:pPr>
      <w:r>
        <w:t xml:space="preserve">Mapping the target to the calendar at the 18–24-month-per-level pace.</w:t>
      </w:r>
    </w:p>
    <w:p>
      <w:pPr>
        <w:pStyle w:val="ListParagraph"/>
        <w:numPr>
          <w:ilvl w:val="0"/>
          <w:numId w:val="2"/>
        </w:numPr>
        <w:spacing w:after="80" w:line="280"/>
      </w:pPr>
      <w:r>
        <w:t xml:space="preserve">Defining the specific characteristics to address in each phase of the roadmap, since the journey is not uniform — some characteristics will progress faster than others.</w:t>
      </w:r>
    </w:p>
    <w:p>
      <w:pPr>
        <w:pStyle w:val="ListParagraph"/>
        <w:numPr>
          <w:ilvl w:val="0"/>
          <w:numId w:val="2"/>
        </w:numPr>
        <w:spacing w:after="80" w:line="280"/>
      </w:pPr>
      <w:r>
        <w:t xml:space="preserve">Identifying the institutional changes required in each phase: behaviour, process, tooling, training, governance.</w:t>
      </w:r>
    </w:p>
    <w:p>
      <w:pPr>
        <w:pStyle w:val="ListParagraph"/>
        <w:numPr>
          <w:ilvl w:val="0"/>
          <w:numId w:val="2"/>
        </w:numPr>
        <w:spacing w:after="80" w:line="280"/>
      </w:pPr>
      <w:r>
        <w:t xml:space="preserve">Reviewing progress annually against the ACMM characteristics, not against milestone deliverables.</w:t>
      </w:r>
    </w:p>
    <w:p>
      <w:pPr>
        <w:spacing w:after="120" w:line="300"/>
        <w:jc w:val="both"/>
      </w:pPr>
      <w:r>
        <w:t xml:space="preserve">The most common reason ACMM roadmaps fail is unrealistic timeline. A roadmap that promises Level 4 in 18 months from Level 1 is not credible; it produces frustration, score inflation, and eventual disillusion. A roadmap that paces itself realistically delivers.</w:t>
      </w:r>
    </w:p>
    <w:p>
      <w:r>
        <w:br w:type="page"/>
      </w:r>
    </w:p>
    <w:p>
      <w:pPr>
        <w:pStyle w:val="Heading1"/>
        <w:spacing w:after="200" w:before="360"/>
      </w:pPr>
      <w:r>
        <w:rPr>
          <w:b/>
          <w:bCs/>
          <w:color w:val="1F4E78"/>
        </w:rPr>
        <w:t xml:space="preserve">6. Visualising ACMM with the Spider Chart</w:t>
      </w:r>
    </w:p>
    <w:p>
      <w:pPr>
        <w:spacing w:after="120" w:line="300"/>
        <w:jc w:val="both"/>
      </w:pPr>
      <w:r>
        <w:t xml:space="preserve">The standard visualisation for ACMM assessment is the spider chart — also called a radar chart. Each of the nine characteristics is represented by a spoke radiating from the centre; the score on that characteristic (0 to 5) is plotted along the spoke; the plotted points are connected to form a polygon. The shape of the polygon tells the story at a glance.</w:t>
      </w:r>
    </w:p>
    <w:p>
      <w:pPr>
        <w:pStyle w:val="Heading2"/>
        <w:spacing w:after="160" w:before="280"/>
      </w:pPr>
      <w:r>
        <w:rPr>
          <w:b/>
          <w:bCs/>
          <w:color w:val="2E75B6"/>
        </w:rPr>
        <w:t xml:space="preserve">6.1 What the Spider Chart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Spider Chart (Radar Chart): </w:t>
            </w:r>
            <w:r>
              <w:t xml:space="preserve">The standard visualisation for ACMM assessment. Nine spokes radiate from a centre point, one per characteristic; scores are plotted from 0 (centre) to 5 (outer edge); plotted points connected into a polygon. The polygon's shape reveals the practice's strength profile: a regular shape indicates uniform maturity; an irregular shape reveals strengths and weaknesses across the nine dimensions.</w:t>
            </w:r>
          </w:p>
        </w:tc>
      </w:tr>
    </w:tbl>
    <w:p>
      <w:pPr>
        <w:pStyle w:val="Heading3"/>
        <w:spacing w:after="120" w:before="220"/>
      </w:pPr>
      <w:r>
        <w:rPr>
          <w:b/>
          <w:bCs/>
          <w:color w:val="404040"/>
        </w:rPr>
        <w:t xml:space="preserve">Why Spider Charts</w:t>
      </w:r>
    </w:p>
    <w:p>
      <w:pPr>
        <w:spacing w:after="120" w:line="300"/>
        <w:jc w:val="both"/>
      </w:pPr>
      <w:r>
        <w:t xml:space="preserve">Three properties make spider charts the standard ACMM visualisation:</w:t>
      </w:r>
    </w:p>
    <w:p>
      <w:pPr>
        <w:pStyle w:val="ListParagraph"/>
        <w:numPr>
          <w:ilvl w:val="0"/>
          <w:numId w:val="3"/>
        </w:numPr>
        <w:spacing w:after="80" w:line="280"/>
      </w:pPr>
      <w:r>
        <w:t xml:space="preserve">Multi-dimensional. Nine characteristics displayed simultaneously; comparison across all nine is immediate. A bar chart with nine bars works but lacks the gestalt the spider chart provides.</w:t>
      </w:r>
    </w:p>
    <w:p>
      <w:pPr>
        <w:pStyle w:val="ListParagraph"/>
        <w:numPr>
          <w:ilvl w:val="0"/>
          <w:numId w:val="3"/>
        </w:numPr>
        <w:spacing w:after="80" w:line="280"/>
      </w:pPr>
      <w:r>
        <w:t xml:space="preserve">Comparative. Two assessments — current and target, or current and previous — overlay easily; the gap between them is visible as the difference between two polygons.</w:t>
      </w:r>
    </w:p>
    <w:p>
      <w:pPr>
        <w:pStyle w:val="ListParagraph"/>
        <w:numPr>
          <w:ilvl w:val="0"/>
          <w:numId w:val="3"/>
        </w:numPr>
        <w:spacing w:after="80" w:line="280"/>
      </w:pPr>
      <w:r>
        <w:t xml:space="preserve">Diagnostic. The shape of the polygon reveals patterns: a long spike on one characteristic versus a flat profile on others, or weaknesses concentrated on the business-facing characteristics versus strength on the technical ones. These patterns suggest where to focus.</w:t>
      </w:r>
    </w:p>
    <w:p>
      <w:pPr>
        <w:pStyle w:val="Heading2"/>
        <w:spacing w:after="160" w:before="280"/>
      </w:pPr>
      <w:r>
        <w:rPr>
          <w:b/>
          <w:bCs/>
          <w:color w:val="2E75B6"/>
        </w:rPr>
        <w:t xml:space="preserve">6.2 Reading a Spider Chart</w:t>
      </w:r>
    </w:p>
    <w:p>
      <w:pPr>
        <w:spacing w:after="120" w:line="300"/>
        <w:jc w:val="both"/>
      </w:pPr>
      <w:r>
        <w:t xml:space="preserve">The standard layout places the nine characteristics around the chart in a fixed order (often clockwise from the top: Architecture Process, Architecture Development, Business Linkage, Senior Management Involvement, Operating Unit Participation, Architecture Communication, IT Security, Architecture Governance, IT Investment &amp; Acquisition Strategy). Concentric rings mark scores 1, 2, 3, 4, 5 with the centre at 0.</w:t>
      </w:r>
    </w:p>
    <w:p>
      <w:pPr>
        <w:spacing w:after="120" w:line="300"/>
        <w:jc w:val="both"/>
      </w:pPr>
      <w:r>
        <w:t xml:space="preserve">A practice scoring uniformly Level 3 across all nine produces a regular nonagon at the radius-3 ring. A practice with the score profile in Section 3.4's example produces an irregular shape — three indentations toward the centre on Business Linkage, Operating Unit Participation, and IT Investment, with the rest at radius 3. The indentations are immediately visible to any reader and direct attention to the weak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Spider Chart Tells Three Stories</w:t>
            </w:r>
          </w:p>
          <w:p>
            <w:pPr>
              <w:spacing w:after="60" w:line="280"/>
              <w:jc w:val="both"/>
            </w:pPr>
            <w:r>
              <w:t xml:space="preserve">Story 1: a practice with all nine spokes near radius 1 — overall Level 1, ad hoc across the board. The polygon is small and roughly regular. Action: focus on building the practice as a whole; no single characteristic stands out as fixable in isolation.</w:t>
            </w:r>
          </w:p>
          <w:p>
            <w:pPr>
              <w:spacing w:after="60" w:line="280"/>
              <w:jc w:val="both"/>
            </w:pPr>
            <w:r>
              <w:t xml:space="preserve">Story 2: a practice with five spokes at radius 4, four at radius 2 — strong on technical and process dimensions, weak on business engagement. The polygon is large but lopsided. Action: address the four weak characteristics; the technical investment has produced an architecture practice the business doesn't yet own.</w:t>
            </w:r>
          </w:p>
          <w:p>
            <w:pPr>
              <w:spacing w:after="60" w:line="280"/>
              <w:jc w:val="both"/>
            </w:pPr>
            <w:r>
              <w:t xml:space="preserve">Story 3: a practice with eight spokes at radius 3, one at radius 1 — overall solid Level 3 with one significant gap. The polygon is mostly regular with one sharp inward spike. Action: address the single weak characteristic; the rest is healthy.</w:t>
            </w:r>
          </w:p>
          <w:p>
            <w:pPr>
              <w:spacing w:after="60" w:line="280"/>
              <w:jc w:val="both"/>
            </w:pPr>
            <w:r>
              <w:t xml:space="preserve">Three different patterns; three different prescriptions; immediately legible from the chart shape. This is what the spider visualisation buys.</w:t>
            </w:r>
          </w:p>
        </w:tc>
      </w:tr>
    </w:tbl>
    <w:p>
      <w:pPr>
        <w:pStyle w:val="Heading2"/>
        <w:spacing w:after="160" w:before="280"/>
      </w:pPr>
      <w:r>
        <w:rPr>
          <w:b/>
          <w:bCs/>
          <w:color w:val="2E75B6"/>
        </w:rPr>
        <w:t xml:space="preserve">6.3 Spider Chart Best Practice</w:t>
      </w:r>
    </w:p>
    <w:p>
      <w:pPr>
        <w:pStyle w:val="ListParagraph"/>
        <w:numPr>
          <w:ilvl w:val="0"/>
          <w:numId w:val="3"/>
        </w:numPr>
        <w:spacing w:after="80" w:line="280"/>
      </w:pPr>
      <w:r>
        <w:t xml:space="preserve">Always show the target alongside the current assessment — typically as an outer polygon at the target ring(s).</w:t>
      </w:r>
    </w:p>
    <w:p>
      <w:pPr>
        <w:pStyle w:val="ListParagraph"/>
        <w:numPr>
          <w:ilvl w:val="0"/>
          <w:numId w:val="3"/>
        </w:numPr>
        <w:spacing w:after="80" w:line="280"/>
      </w:pPr>
      <w:r>
        <w:t xml:space="preserve">Use consistent characteristic ordering across charts so that successive assessments can be compared by shape.</w:t>
      </w:r>
    </w:p>
    <w:p>
      <w:pPr>
        <w:pStyle w:val="ListParagraph"/>
        <w:numPr>
          <w:ilvl w:val="0"/>
          <w:numId w:val="3"/>
        </w:numPr>
        <w:spacing w:after="80" w:line="280"/>
      </w:pPr>
      <w:r>
        <w:t xml:space="preserve">Annotate significant changes from previous assessment with arrows showing direction of movement.</w:t>
      </w:r>
    </w:p>
    <w:p>
      <w:pPr>
        <w:pStyle w:val="ListParagraph"/>
        <w:numPr>
          <w:ilvl w:val="0"/>
          <w:numId w:val="3"/>
        </w:numPr>
        <w:spacing w:after="80" w:line="280"/>
      </w:pPr>
      <w:r>
        <w:t xml:space="preserve">Avoid the trap of treating the chart as a result rather than a diagnostic — the chart is a starting point for conversation about which characteristics to focus on, not a declaration of status.</w:t>
      </w:r>
    </w:p>
    <w:p>
      <w:r>
        <w:br w:type="page"/>
      </w:r>
    </w:p>
    <w:p>
      <w:pPr>
        <w:pStyle w:val="Heading1"/>
        <w:spacing w:after="200" w:before="360"/>
      </w:pPr>
      <w:r>
        <w:rPr>
          <w:b/>
          <w:bCs/>
          <w:color w:val="1F4E78"/>
        </w:rPr>
        <w:t xml:space="preserve">7. Anti-Patterns — How ACMM Programmes Fail</w:t>
      </w:r>
    </w:p>
    <w:p>
      <w:pPr>
        <w:spacing w:after="120" w:line="300"/>
        <w:jc w:val="both"/>
      </w:pPr>
      <w:r>
        <w:t xml:space="preserve">Maturity assessment can produce real value or pure theatre. The difference between the two depends on whether the practice avoids three recurring anti-patterns: maturity theatre, score inflation, and mixing models mid-cycle. The exam tests recognition of these patterns; recognising them in real practice prevents wasted effort.</w:t>
      </w:r>
    </w:p>
    <w:p>
      <w:pPr>
        <w:pStyle w:val="Heading2"/>
        <w:spacing w:after="160" w:before="280"/>
      </w:pPr>
      <w:r>
        <w:rPr>
          <w:b/>
          <w:bCs/>
          <w:color w:val="2E75B6"/>
        </w:rPr>
        <w:t xml:space="preserve">7.1 Anti-Pattern 1: Maturity Theatre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Maturity Theatre: </w:t>
            </w:r>
            <w:r>
              <w:t xml:space="preserve">The pattern in which an organisation performs the visible activities of a higher maturity level — produces the documents, holds the meetings, claims the score — without the underlying behaviour change. The practice claims Level 3 but operates at Level 2; claims Level 4 but operates at Level 3. The visible artefacts are produced ceremonially while the actual practice remains at its previous level.</w:t>
            </w:r>
          </w:p>
        </w:tc>
      </w:tr>
    </w:tbl>
    <w:p>
      <w:pPr>
        <w:pStyle w:val="Heading3"/>
        <w:spacing w:after="120" w:before="220"/>
      </w:pPr>
      <w:r>
        <w:rPr>
          <w:b/>
          <w:bCs/>
          <w:color w:val="404040"/>
        </w:rPr>
        <w:t xml:space="preserve">How It Manifests</w:t>
      </w:r>
    </w:p>
    <w:p>
      <w:pPr>
        <w:pStyle w:val="ListParagraph"/>
        <w:numPr>
          <w:ilvl w:val="0"/>
          <w:numId w:val="3"/>
        </w:numPr>
        <w:spacing w:after="80" w:line="280"/>
      </w:pPr>
      <w:r>
        <w:t xml:space="preserve">Documents are produced for the appearance of process but ignored in practice.</w:t>
      </w:r>
    </w:p>
    <w:p>
      <w:pPr>
        <w:pStyle w:val="ListParagraph"/>
        <w:numPr>
          <w:ilvl w:val="0"/>
          <w:numId w:val="3"/>
        </w:numPr>
        <w:spacing w:after="80" w:line="280"/>
      </w:pPr>
      <w:r>
        <w:t xml:space="preserve">Compliance Reviews are scheduled and attended but produce no meaningful outcomes — every project passes regardless of actual conformance.</w:t>
      </w:r>
    </w:p>
    <w:p>
      <w:pPr>
        <w:pStyle w:val="ListParagraph"/>
        <w:numPr>
          <w:ilvl w:val="0"/>
          <w:numId w:val="3"/>
        </w:numPr>
        <w:spacing w:after="80" w:line="280"/>
      </w:pPr>
      <w:r>
        <w:t xml:space="preserve">ADRs are written after decisions are made, retrofitted to justify what was done.</w:t>
      </w:r>
    </w:p>
    <w:p>
      <w:pPr>
        <w:pStyle w:val="ListParagraph"/>
        <w:numPr>
          <w:ilvl w:val="0"/>
          <w:numId w:val="3"/>
        </w:numPr>
        <w:spacing w:after="80" w:line="280"/>
      </w:pPr>
      <w:r>
        <w:t xml:space="preserve">The Architecture Board meets but its decisions are routinely overridden in practice.</w:t>
      </w:r>
    </w:p>
    <w:p>
      <w:pPr>
        <w:pStyle w:val="ListParagraph"/>
        <w:numPr>
          <w:ilvl w:val="0"/>
          <w:numId w:val="3"/>
        </w:numPr>
        <w:spacing w:after="80" w:line="280"/>
      </w:pPr>
      <w:r>
        <w:t xml:space="preserve">Outcome metrics are reported but not used to drive decisions — they are produced to satisfy the maturity assessment, not to inform action.</w:t>
      </w:r>
    </w:p>
    <w:p>
      <w:pPr>
        <w:pStyle w:val="Heading3"/>
        <w:spacing w:after="120" w:before="220"/>
      </w:pPr>
      <w:r>
        <w:rPr>
          <w:b/>
          <w:bCs/>
          <w:color w:val="404040"/>
        </w:rPr>
        <w:t xml:space="preserve">Why It Happens</w:t>
      </w:r>
    </w:p>
    <w:p>
      <w:pPr>
        <w:spacing w:after="120" w:line="300"/>
        <w:jc w:val="both"/>
      </w:pPr>
      <w:r>
        <w:t xml:space="preserve">Three motivators: pressure to claim higher maturity than has been achieved; reluctance to make the institutional changes the next level genuinely requires; misalignment between the people running the maturity programme and the people running the actual practice. Theatre is easier than substance and produces the same numerical score on a casual assessment.</w:t>
      </w:r>
    </w:p>
    <w:p>
      <w:pPr>
        <w:pStyle w:val="Heading3"/>
        <w:spacing w:after="120" w:before="220"/>
      </w:pPr>
      <w:r>
        <w:rPr>
          <w:b/>
          <w:bCs/>
          <w:color w:val="404040"/>
        </w:rPr>
        <w:t xml:space="preserve">How to Recognise It</w:t>
      </w:r>
    </w:p>
    <w:p>
      <w:pPr>
        <w:spacing w:after="120" w:line="300"/>
        <w:jc w:val="both"/>
      </w:pPr>
      <w:r>
        <w:t xml:space="preserve">The diagnostic question: do the artefacts of higher maturity actually change the practice's behaviour? If decisions still get made the way they were before, if reviews still produce the same outcomes, if business engagement still doesn't happen — then the higher maturity is theatrical. The visible artefacts have grown but the practice has not.</w:t>
      </w:r>
    </w:p>
    <w:p>
      <w:pPr>
        <w:pStyle w:val="Heading2"/>
        <w:spacing w:after="160" w:before="280"/>
      </w:pPr>
      <w:r>
        <w:rPr>
          <w:b/>
          <w:bCs/>
          <w:color w:val="2E75B6"/>
        </w:rPr>
        <w:t xml:space="preserve">7.2 Anti-Pattern 2: Score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Score Inflation: </w:t>
            </w:r>
            <w:r>
              <w:t xml:space="preserve">The pattern in which assessments systematically overstate maturity scores. The practice scores itself at Level 3 when honest assessment would score it at Level 2. Over time, the inflated scores become the reference baseline and further inflation builds on the false starting point — until the gap between claimed and actual maturity becomes unsustainable.</w:t>
            </w:r>
          </w:p>
        </w:tc>
      </w:tr>
    </w:tbl>
    <w:p>
      <w:pPr>
        <w:pStyle w:val="Heading3"/>
        <w:spacing w:after="120" w:before="220"/>
      </w:pPr>
      <w:r>
        <w:rPr>
          <w:b/>
          <w:bCs/>
          <w:color w:val="404040"/>
        </w:rPr>
        <w:t xml:space="preserve">How It Manifests</w:t>
      </w:r>
    </w:p>
    <w:p>
      <w:pPr>
        <w:pStyle w:val="ListParagraph"/>
        <w:numPr>
          <w:ilvl w:val="0"/>
          <w:numId w:val="3"/>
        </w:numPr>
        <w:spacing w:after="80" w:line="280"/>
      </w:pPr>
      <w:r>
        <w:t xml:space="preserve">Self-assessment without external challenge — the practice rates itself; no auditor or external party tests the rating.</w:t>
      </w:r>
    </w:p>
    <w:p>
      <w:pPr>
        <w:pStyle w:val="ListParagraph"/>
        <w:numPr>
          <w:ilvl w:val="0"/>
          <w:numId w:val="3"/>
        </w:numPr>
        <w:spacing w:after="80" w:line="280"/>
      </w:pPr>
      <w:r>
        <w:t xml:space="preserve">Generous interpretation of evidence — "we have a Tailored Framework" (yes, but it's drafted, not in routine use; honest score: Level 2 not Level 3).</w:t>
      </w:r>
    </w:p>
    <w:p>
      <w:pPr>
        <w:pStyle w:val="ListParagraph"/>
        <w:numPr>
          <w:ilvl w:val="0"/>
          <w:numId w:val="3"/>
        </w:numPr>
        <w:spacing w:after="80" w:line="280"/>
      </w:pPr>
      <w:r>
        <w:t xml:space="preserve">Anchoring on previous assessments — if last year scored Level 3, this year is reluctant to admit it should have been Level 2 — so this year is Level 3 too.</w:t>
      </w:r>
    </w:p>
    <w:p>
      <w:pPr>
        <w:pStyle w:val="ListParagraph"/>
        <w:numPr>
          <w:ilvl w:val="0"/>
          <w:numId w:val="3"/>
        </w:numPr>
        <w:spacing w:after="80" w:line="280"/>
      </w:pPr>
      <w:r>
        <w:t xml:space="preserve">Sponsor pressure to show progression — annual reviews demand to see improvement; the easiest way to demonstrate improvement is to score higher.</w:t>
      </w:r>
    </w:p>
    <w:p>
      <w:pPr>
        <w:pStyle w:val="Heading3"/>
        <w:spacing w:after="120" w:before="220"/>
      </w:pPr>
      <w:r>
        <w:rPr>
          <w:b/>
          <w:bCs/>
          <w:color w:val="404040"/>
        </w:rPr>
        <w:t xml:space="preserve">Why It Matters</w:t>
      </w:r>
    </w:p>
    <w:p>
      <w:pPr>
        <w:spacing w:after="120" w:line="300"/>
        <w:jc w:val="both"/>
      </w:pPr>
      <w:r>
        <w:t xml:space="preserve">Inflated scores produce two harms. First, they hide the real state, so improvement effort is misdirected — the practice plans to move from claimed Level 3 to Level 4 when it actually needs to move from real Level 2 to real Level 3. Second, they undermine credibility: when the gap between claimed and actual maturity becomes visible (typically through external audit or a delivery failure that exposes the practice's real state), the maturity programme as a whole loses standing.</w:t>
      </w:r>
    </w:p>
    <w:p>
      <w:pPr>
        <w:pStyle w:val="Heading3"/>
        <w:spacing w:after="120" w:before="220"/>
      </w:pPr>
      <w:r>
        <w:rPr>
          <w:b/>
          <w:bCs/>
          <w:color w:val="404040"/>
        </w:rPr>
        <w:t xml:space="preserve">How to Avoid It</w:t>
      </w:r>
    </w:p>
    <w:p>
      <w:pPr>
        <w:spacing w:after="120" w:line="300"/>
        <w:jc w:val="both"/>
      </w:pPr>
      <w:r>
        <w:t xml:space="preserve">External assessment — at least periodically — is the principal defence. Independent assessors apply the criteria honestly. Self-assessment is useful between formal assessments but should not be the only basis for claimed maturity. The TOGAF community has assessment methods and certified practitioners precisely to provide this external rigour.</w:t>
      </w:r>
    </w:p>
    <w:p>
      <w:pPr>
        <w:pStyle w:val="Heading2"/>
        <w:spacing w:after="160" w:before="280"/>
      </w:pPr>
      <w:r>
        <w:rPr>
          <w:b/>
          <w:bCs/>
          <w:color w:val="2E75B6"/>
        </w:rPr>
        <w:t xml:space="preserve">7.3 Anti-Pattern 3: Mixing Models Mid-Cycle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Mixing Models Mid-Cycle: </w:t>
            </w:r>
            <w:r>
              <w:t xml:space="preserve">The pattern in which an organisation switches maturity model — or substantively re-interprets ACMM — partway through a multi-year programme. The result is that scores from before the switch are not comparable to scores after; the journey loses coherence; the programme cannot show defensible progression.</w:t>
            </w:r>
          </w:p>
        </w:tc>
      </w:tr>
    </w:tbl>
    <w:p>
      <w:pPr>
        <w:pStyle w:val="Heading3"/>
        <w:spacing w:after="120" w:before="220"/>
      </w:pPr>
      <w:r>
        <w:rPr>
          <w:b/>
          <w:bCs/>
          <w:color w:val="404040"/>
        </w:rPr>
        <w:t xml:space="preserve">How It Manifests</w:t>
      </w:r>
    </w:p>
    <w:p>
      <w:pPr>
        <w:pStyle w:val="ListParagraph"/>
        <w:numPr>
          <w:ilvl w:val="0"/>
          <w:numId w:val="3"/>
        </w:numPr>
        <w:spacing w:after="80" w:line="280"/>
      </w:pPr>
      <w:r>
        <w:t xml:space="preserve">An organisation runs ACMM for two years; a new architecture leader joins; the leader's preferred model (perhaps from a previous employer) replaces ACMM. Pre-switch scores cannot be compared with post-switch.</w:t>
      </w:r>
    </w:p>
    <w:p>
      <w:pPr>
        <w:pStyle w:val="ListParagraph"/>
        <w:numPr>
          <w:ilvl w:val="0"/>
          <w:numId w:val="3"/>
        </w:numPr>
        <w:spacing w:after="80" w:line="280"/>
      </w:pPr>
      <w:r>
        <w:t xml:space="preserve">ACMM is supplemented mid-cycle with characteristics from another model (e.g., Gartner's EA maturity model) without consistent integration. The combined model has no agreed scoring rubric; assessments produce different results depending on which characteristics are emphasised.</w:t>
      </w:r>
    </w:p>
    <w:p>
      <w:pPr>
        <w:pStyle w:val="ListParagraph"/>
        <w:numPr>
          <w:ilvl w:val="0"/>
          <w:numId w:val="3"/>
        </w:numPr>
        <w:spacing w:after="80" w:line="280"/>
      </w:pPr>
      <w:r>
        <w:t xml:space="preserve">Characteristic definitions are quietly revised between assessments — what "Business Linkage Level 3" meant in 2023 is not what it means in 2025 — without acknowledging the change. Comparability is silently lost.</w:t>
      </w:r>
    </w:p>
    <w:p>
      <w:pPr>
        <w:pStyle w:val="Heading3"/>
        <w:spacing w:after="120" w:before="220"/>
      </w:pPr>
      <w:r>
        <w:rPr>
          <w:b/>
          <w:bCs/>
          <w:color w:val="404040"/>
        </w:rPr>
        <w:t xml:space="preserve">Why It Happens</w:t>
      </w:r>
    </w:p>
    <w:p>
      <w:pPr>
        <w:spacing w:after="120" w:line="300"/>
        <w:jc w:val="both"/>
      </w:pPr>
      <w:r>
        <w:t xml:space="preserve">Two motivators: incoming leaders bring familiar models from their previous experience; the existing model is felt to be inadequate and a switch is attempted instead of refinement. Both are understandable; both produce the anti-pattern.</w:t>
      </w:r>
    </w:p>
    <w:p>
      <w:pPr>
        <w:pStyle w:val="Heading3"/>
        <w:spacing w:after="120" w:before="220"/>
      </w:pPr>
      <w:r>
        <w:rPr>
          <w:b/>
          <w:bCs/>
          <w:color w:val="404040"/>
        </w:rPr>
        <w:t xml:space="preserve">How to Avoid It</w:t>
      </w:r>
    </w:p>
    <w:p>
      <w:pPr>
        <w:spacing w:after="120" w:line="300"/>
        <w:jc w:val="both"/>
      </w:pPr>
      <w:r>
        <w:t xml:space="preserve">Commit to one model for the duration of a maturity programme. Refinements within the model are acceptable and should be documented; switching models is acceptable only at the end of a programme cycle, with explicit acknowledgement that the new baseline is being established and prior scores are not comparable. If a new leader prefers a different model, the right time to switch is at the start of the next multi-year cycle, not partway through the current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Three Anti-Patterns Summary</w:t>
            </w:r>
          </w:p>
          <w:p>
            <w:pPr>
              <w:spacing w:after="60" w:line="280"/>
              <w:jc w:val="both"/>
            </w:pPr>
            <w:r>
              <w:t xml:space="preserve">Maturity Theatre: visible artefacts produced; underlying practice unchanged. Diagnostic: do the artefacts change behaviour?</w:t>
            </w:r>
          </w:p>
          <w:p>
            <w:pPr>
              <w:spacing w:after="60" w:line="280"/>
              <w:jc w:val="both"/>
            </w:pPr>
            <w:r>
              <w:t xml:space="preserve">Score Inflation: assessments systematically overstate maturity. Defence: external assessment.</w:t>
            </w:r>
          </w:p>
          <w:p>
            <w:pPr>
              <w:spacing w:after="60" w:line="280"/>
              <w:jc w:val="both"/>
            </w:pPr>
            <w:r>
              <w:t xml:space="preserve">Mixing Models Mid-Cycle: switching maturity models partway destroys comparability. Defence: commit to one model per programme cycle.</w:t>
            </w:r>
          </w:p>
          <w:p>
            <w:pPr>
              <w:spacing w:after="60" w:line="280"/>
              <w:jc w:val="both"/>
            </w:pPr>
            <w:r>
              <w:t xml:space="preserve">All three patterns produce the same outcome: a maturity programme that consumes resources, produces reports, and fails to actually mature the practice. Recognising them — early — is the difference between a credible maturity programme and theatre.</w:t>
            </w:r>
          </w:p>
        </w:tc>
      </w:tr>
    </w:tbl>
    <w:p>
      <w:r>
        <w:br w:type="page"/>
      </w:r>
    </w:p>
    <w:p>
      <w:pPr>
        <w:pStyle w:val="Heading1"/>
        <w:spacing w:after="200" w:before="360"/>
      </w:pPr>
      <w:r>
        <w:rPr>
          <w:b/>
          <w:bCs/>
          <w:color w:val="1F4E78"/>
        </w:rPr>
        <w:t xml:space="preserve">8. Summary and Review</w:t>
      </w:r>
    </w:p>
    <w:p>
      <w:pPr>
        <w:pStyle w:val="Heading2"/>
        <w:spacing w:after="160" w:before="280"/>
      </w:pPr>
      <w:r>
        <w:rPr>
          <w:b/>
          <w:bCs/>
          <w:color w:val="2E75B6"/>
        </w:rPr>
        <w:t xml:space="preserve">8.1 The Big Picture</w:t>
      </w:r>
    </w:p>
    <w:p>
      <w:pPr>
        <w:spacing w:after="120" w:line="300"/>
        <w:jc w:val="both"/>
      </w:pPr>
      <w:r>
        <w:t xml:space="preserve">The Architecture Capability Maturity Model is the standard framework for assessing where an architecture practice stands and planning where it should be. It defines six levels — None, Initial, Under Development, Defined, Managed, Optimizing (mnemonic: "Nobody Invites Under-Developed Managers Over") — with Level 3 (Defined) as the minimum viable governance state and the credible target for most organisations. It scores the practice on nine independent characteristics, producing a multi-dimensional profile that surfaces strengths and weaknesses; the standard visualisation is the spider chart. Realistic targets are: most organisations Level 3; financial services and regulated sectors Level 4; Level 5 rare. The realistic pace is one level per 18–24 months. Three anti-patterns — maturity theatre, score inflation, and mixing models mid-cycle — derail programmes; recognising and avoiding them is essential to credible practice.</w:t>
      </w:r>
    </w:p>
    <w:p>
      <w:pPr>
        <w:pStyle w:val="Heading2"/>
        <w:spacing w:after="160" w:before="280"/>
      </w:pPr>
      <w:r>
        <w:rPr>
          <w:b/>
          <w:bCs/>
          <w:color w:val="2E75B6"/>
        </w:rPr>
        <w:t xml:space="preserve">8.2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Six levels (mnemonic)</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0 None, 1 Initial, 2 Under Development, 3 Defined, 4 Managed, 5 Optimizing. "Nobody Invites Under-Developed Managers Over".</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Level 3 (Defined)</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MINIMUM VIABLE governance state. Threshold of credible practice. Most organisations target this level.</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Level 4 (Managed)</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Quantitatively measured and managed. Outcome metrics used to drive decisions. Realistic target for financial services / regulated sectors.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Level 5 (Optimizing)</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Continuously improves itself through deliberate experimentation. Rare; typically tech-native cultures.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Nine characteristics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Process, Architecture Development, Business Linkage, Senior Management Involvement, Operating Unit Participation, Architecture Communication, IT Security, Architecture Governance, IT Investment &amp; Acquisition Strategy.</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Independent scoring</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Each characteristic scored separately on the 0–5 scale. Profile reveals strengths and weaknesses; no single overall number.</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Realistic targets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Most enterprises Level 3; financial services Level 4; Level 5 rare. Don't over-target — Level 3 attempts that succeed beat Level 5 attempts that fail.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Roadmap pace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One level per 18–24 months. Faster is rare; slower indicates stalling.</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Spider chart</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Standard ACMM visualisation. Nine spokes, scores 0 at centre to 5 at edge. Polygon shape reveals patterns.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Anti-Pattern 1: Maturity Theatre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Visible artefacts produced; underlying practice unchanged. Diagnostic: do artefacts change behaviour?</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Anti-Pattern 2: Score Inflation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Assessments systematically overstate. Defence: external assessment.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Anti-Pattern 3: Mixing Models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Switching maturity model partway destroys comparability. Defence: one model per programme cycle.</w:t>
            </w:r>
          </w:p>
        </w:tc>
      </w:tr>
    </w:tbl>
    <w:p>
      <w:pPr>
        <w:pStyle w:val="Heading2"/>
        <w:spacing w:after="160" w:before="280"/>
      </w:pPr>
      <w:r>
        <w:rPr>
          <w:b/>
          <w:bCs/>
          <w:color w:val="2E75B6"/>
        </w:rPr>
        <w:t xml:space="preserve">8.3 Self-Test Questions</w:t>
      </w:r>
    </w:p>
    <w:p>
      <w:pPr>
        <w:pStyle w:val="ListParagraph"/>
        <w:numPr>
          <w:ilvl w:val="0"/>
          <w:numId w:val="2"/>
        </w:numPr>
        <w:spacing w:after="80" w:line="280"/>
      </w:pPr>
      <w:r>
        <w:t xml:space="preserve">Name the six ACMM levels in order from 0 to 5. Use the mnemonic if helpful.</w:t>
      </w:r>
    </w:p>
    <w:p>
      <w:pPr>
        <w:pStyle w:val="ListParagraph"/>
        <w:numPr>
          <w:ilvl w:val="0"/>
          <w:numId w:val="2"/>
        </w:numPr>
        <w:spacing w:after="80" w:line="280"/>
      </w:pPr>
      <w:r>
        <w:t xml:space="preserve">Which level is the minimum viable governance state and why?</w:t>
      </w:r>
    </w:p>
    <w:p>
      <w:pPr>
        <w:pStyle w:val="ListParagraph"/>
        <w:numPr>
          <w:ilvl w:val="0"/>
          <w:numId w:val="2"/>
        </w:numPr>
        <w:spacing w:after="80" w:line="280"/>
      </w:pPr>
      <w:r>
        <w:t xml:space="preserve">What distinguishes Level 3 from Level 2? What distinguishes Level 4 from Level 3?</w:t>
      </w:r>
    </w:p>
    <w:p>
      <w:pPr>
        <w:pStyle w:val="ListParagraph"/>
        <w:numPr>
          <w:ilvl w:val="0"/>
          <w:numId w:val="2"/>
        </w:numPr>
        <w:spacing w:after="80" w:line="280"/>
      </w:pPr>
      <w:r>
        <w:t xml:space="preserve">Name the nine ACMM assessment characteristics.</w:t>
      </w:r>
    </w:p>
    <w:p>
      <w:pPr>
        <w:pStyle w:val="ListParagraph"/>
        <w:numPr>
          <w:ilvl w:val="0"/>
          <w:numId w:val="2"/>
        </w:numPr>
        <w:spacing w:after="80" w:line="280"/>
      </w:pPr>
      <w:r>
        <w:t xml:space="preserve">Why are the nine characteristics scored independently rather than aggregated to a single number?</w:t>
      </w:r>
    </w:p>
    <w:p>
      <w:pPr>
        <w:pStyle w:val="ListParagraph"/>
        <w:numPr>
          <w:ilvl w:val="0"/>
          <w:numId w:val="2"/>
        </w:numPr>
        <w:spacing w:after="80" w:line="280"/>
      </w:pPr>
      <w:r>
        <w:t xml:space="preserve">State the realistic ACMM target for: (a) most enterprises, (b) financial services, (c) technology-native organisations.</w:t>
      </w:r>
    </w:p>
    <w:p>
      <w:pPr>
        <w:pStyle w:val="ListParagraph"/>
        <w:numPr>
          <w:ilvl w:val="0"/>
          <w:numId w:val="2"/>
        </w:numPr>
        <w:spacing w:after="80" w:line="280"/>
      </w:pPr>
      <w:r>
        <w:t xml:space="preserve">What is the empirical pace of ACMM progression? Why?</w:t>
      </w:r>
    </w:p>
    <w:p>
      <w:pPr>
        <w:pStyle w:val="ListParagraph"/>
        <w:numPr>
          <w:ilvl w:val="0"/>
          <w:numId w:val="2"/>
        </w:numPr>
        <w:spacing w:after="80" w:line="280"/>
      </w:pPr>
      <w:r>
        <w:t xml:space="preserve">How long should a roadmap from Level 1 to Level 4 plan to take?</w:t>
      </w:r>
    </w:p>
    <w:p>
      <w:pPr>
        <w:pStyle w:val="ListParagraph"/>
        <w:numPr>
          <w:ilvl w:val="0"/>
          <w:numId w:val="2"/>
        </w:numPr>
        <w:spacing w:after="80" w:line="280"/>
      </w:pPr>
      <w:r>
        <w:t xml:space="preserve">What is the standard ACMM visualisation? What three properties make it suited to ACMM?</w:t>
      </w:r>
    </w:p>
    <w:p>
      <w:pPr>
        <w:pStyle w:val="ListParagraph"/>
        <w:numPr>
          <w:ilvl w:val="0"/>
          <w:numId w:val="2"/>
        </w:numPr>
        <w:spacing w:after="80" w:line="280"/>
      </w:pPr>
      <w:r>
        <w:t xml:space="preserve">Name the three ACMM anti-patterns. Give one diagnostic for each.</w:t>
      </w:r>
    </w:p>
    <w:p>
      <w:pPr>
        <w:pStyle w:val="Heading2"/>
        <w:spacing w:after="160" w:before="280"/>
      </w:pPr>
      <w:r>
        <w:rPr>
          <w:b/>
          <w:bCs/>
          <w:color w:val="2E75B6"/>
        </w:rPr>
        <w:t xml:space="preserve">8.4 Closing Note</w:t>
      </w:r>
    </w:p>
    <w:p>
      <w:pPr>
        <w:spacing w:after="120" w:line="300"/>
        <w:jc w:val="both"/>
      </w:pPr>
      <w:r>
        <w:t xml:space="preserve">Module 13 has covered ACMM as the standard framework for assessing and improving architecture practice maturity. With this module, the structural picture of TOGAF — its components, its method, its frameworks, and its maturity discipline — is fully covered. The remaining modules of the syllabus turn to specific techniques and supporting topics: business scenarios in depth, gap analysis variants, capability-based planning, risk and security integration, Agile delivery integration, and certification preparation. Each will land in the structure built up over Modules 1 through 13. Make sure you can recite the six levels and the mnemonic, the nine characteristics, the Level 3 minimum-viable claim, the realistic targets by sector, the 18–24-month-per-level pace, and the three anti-patterns from memory before moving on.</w:t>
      </w:r>
    </w:p>
    <w:p>
      <w:pPr>
        <w:spacing w:after="120"/>
      </w:pPr>
      <w:r>
        <w:t xml:space="preserve"/>
      </w:r>
    </w:p>
    <w:p>
      <w:pPr>
        <w:spacing w:before="400"/>
        <w:jc w:val="center"/>
      </w:pPr>
      <w:r>
        <w:rPr>
          <w:i/>
          <w:iCs/>
          <w:color w:val="808080"/>
        </w:rPr>
        <w:t xml:space="preserve">— End of Module 13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13: ACMM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13 Study Guide</dc:title>
  <dc:creator>Claude</dc:creator>
  <dc:description>Comprehensive study guide for the Architecture Capability Maturity Model (ACMM)</dc:description>
  <cp:lastModifiedBy>Un-named</cp:lastModifiedBy>
  <cp:revision>1</cp:revision>
  <dcterms:created xsi:type="dcterms:W3CDTF">2026-05-02T16:22:39.582Z</dcterms:created>
  <dcterms:modified xsi:type="dcterms:W3CDTF">2026-05-02T16:22:39.625Z</dcterms:modified>
</cp:coreProperties>
</file>

<file path=docProps/custom.xml><?xml version="1.0" encoding="utf-8"?>
<Properties xmlns="http://schemas.openxmlformats.org/officeDocument/2006/custom-properties" xmlns:vt="http://schemas.openxmlformats.org/officeDocument/2006/docPropsVTypes"/>
</file>