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16: Reference Models</w:t>
      </w:r>
    </w:p>
    <w:p>
      <w:pPr>
        <w:spacing w:after="200"/>
        <w:jc w:val="center"/>
      </w:pPr>
      <w:r>
        <w:rPr>
          <w:color w:val="595959"/>
          <w:sz w:val="28"/>
          <w:szCs w:val="28"/>
        </w:rPr>
        <w:t xml:space="preserve">TRM · III-RM · BIAN · eTOM · HL7 · ARTS</w:t>
      </w:r>
    </w:p>
    <w:p>
      <w:pPr>
        <w:spacing w:after="200"/>
        <w:jc w:val="center"/>
      </w:pPr>
      <w:r>
        <w:rPr>
          <w:color w:val="808080"/>
          <w:sz w:val="22"/>
          <w:szCs w:val="22"/>
        </w:rPr>
        <w:t xml:space="preserve">Foundation and Common Systems Reference Architectures + Industry Models</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16</w:t>
      </w:r>
    </w:p>
    <w:p>
      <w:pPr>
        <w:spacing w:after="120" w:line="300"/>
        <w:jc w:val="both"/>
      </w:pPr>
      <w:r>
        <w:t xml:space="preserve">Module 10 introduced the Enterprise Continuum and named the two reference models that TOGAF historically publishes: the Technical Reference Model (TRM) at the Foundation level and the Integrated Information Infrastructure Reference Model (III-RM) at the Common Systems level. Module 16 returns to those two models in greater depth — what they actually contain, how they are structured, how they should be used, and how they relate to industry-specific reference models that occupy the next level up the Continuum (BIAN, eTOM, HL7, ARTS, and others).</w:t>
      </w:r>
    </w:p>
    <w:p>
      <w:pPr>
        <w:spacing w:after="120" w:line="300"/>
        <w:jc w:val="both"/>
      </w:pPr>
      <w:r>
        <w:t xml:space="preserve">These models are exam-tested, but the depth of testing has reduced over recent TOGAF editions because the reference models themselves have become less central to modern practice — newer Series Guides have superseded them in many contexts. Nevertheless, the structural understanding remains relevant: the TRM as a Foundation-level taxonomy, the III-RM as a Common Systems-level integration architecture, and the industry models as Industry-level reference content. The exam tests this hierarchy directly.</w:t>
      </w:r>
    </w:p>
    <w:p>
      <w:pPr>
        <w:spacing w:after="120" w:line="300"/>
        <w:jc w:val="both"/>
      </w:pPr>
      <w:r>
        <w:t xml:space="preserve">Seven points anchor the exam-relevant content. First, the TRM is the Foundation Architecture — the most generic — and is a taxonomy, not a product catalogue. Second, the TRM's service categories (Data Management, Data Interchange, User Interface, System Management, Network, Operating System, Security, etc.) define the conceptual structure. Third, the III-RM sits at the Common Systems level — one step more specific than the TRM. Fourth, the III-RM has three high-level component groupings (Brokerage Services, Managed Infrastructure, Federated Infrastructure). Fifth, industry reference models (BIAN, eTOM, HL7, ARTS) sit at the Industry level above the III-RM. Sixth, the standard process for using reference models (inventory baseline against the model → identify gaps → select products → populate the SIB → drive rationalisation). Seventh, the relationship of the reference models to the Continuum (Module 10) and the SIB (Module 11).</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The reference models are easier to memorise than to apply, because the levels and the structures are well-defined while the working detail of any one model is large. The exam tests the levels and the structures rather than the detailed content. Read this module for the structural picture: TRM at Foundation, III-RM at Common Systems, industry models at Industry, with each more specific than the one above it. The application process at the end of the module shows how all of this fits together in practice.</w:t>
            </w:r>
          </w:p>
        </w:tc>
      </w:tr>
    </w:tbl>
    <w:p>
      <w:r>
        <w:br w:type="page"/>
      </w:r>
    </w:p>
    <w:p>
      <w:pPr>
        <w:pStyle w:val="Heading1"/>
        <w:spacing w:after="200" w:before="360"/>
      </w:pPr>
      <w:r>
        <w:rPr>
          <w:b/>
          <w:bCs/>
          <w:color w:val="1F4E78"/>
        </w:rPr>
        <w:t xml:space="preserve">1. The TRM Is the Foundation Architecture</w:t>
      </w:r>
    </w:p>
    <w:p>
      <w:pPr>
        <w:spacing w:after="120" w:line="300"/>
        <w:jc w:val="both"/>
      </w:pPr>
      <w:r>
        <w:t xml:space="preserve">The Technical Reference Model — abbreviated TRM — is TOGAF's most generic reference model. It sits at the Foundation level of the Enterprise Continuum (Module 10), which means it applies universally: every enterprise that runs applications needs the kinds of platform services the TRM identifies. The TRM is the substrate; everything more specific in the Continuum is built on top of it.</w:t>
      </w:r>
    </w:p>
    <w:p>
      <w:pPr>
        <w:pStyle w:val="Heading2"/>
        <w:spacing w:after="160" w:before="280"/>
      </w:pPr>
      <w:r>
        <w:rPr>
          <w:b/>
          <w:bCs/>
          <w:color w:val="2E75B6"/>
        </w:rPr>
        <w:t xml:space="preserve">1.1 What the TRM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Technical Reference Model (TRM): </w:t>
            </w:r>
            <w:r>
              <w:t xml:space="preserve">TOGAF's Foundation-level reference model. A generic, vendor-neutral model of an application platform — the categories of services that any application platform offers, independent of any specific product. Universal applicability: applies to every enterprise, every industry. The most generic content in the Architecture Continuum.</w:t>
            </w:r>
          </w:p>
        </w:tc>
      </w:tr>
    </w:tbl>
    <w:p>
      <w:pPr>
        <w:pStyle w:val="Heading2"/>
        <w:spacing w:after="160" w:before="280"/>
      </w:pPr>
      <w:r>
        <w:rPr>
          <w:b/>
          <w:bCs/>
          <w:color w:val="2E75B6"/>
        </w:rPr>
        <w:t xml:space="preserve">1.2 Why the TRM Is at the Foundation Level</w:t>
      </w:r>
    </w:p>
    <w:p>
      <w:pPr>
        <w:spacing w:after="120" w:line="300"/>
        <w:jc w:val="both"/>
      </w:pPr>
      <w:r>
        <w:t xml:space="preserve">The TRM applies universally. The categories of platform services it identifies — data management, security, networking, operating system services, user interface services, and so on — are needed by every enterprise that runs applications. There is no narrowing assumption in the TRM: it does not assume an industry, a business model, a deployment pattern, or a specific scale. That universality is what places it at the Foundation level by definition.</w:t>
      </w:r>
    </w:p>
    <w:p>
      <w:pPr>
        <w:spacing w:after="120" w:line="300"/>
        <w:jc w:val="both"/>
      </w:pPr>
      <w:r>
        <w:t xml:space="preserve">Compare this with the III-RM (Section 4): the III-RM assumes an enterprise pursuing integrated information flow at scale, which is not every enterprise. Compare further with industry models: BIAN assumes banking, eTOM assumes telecommunications, HL7 assumes healthcare. Each layer of the Continuum adds a narrowing assumption. The TRM's only assumption is "there are applications" — and that is universal enough to put it at the bottom.</w:t>
      </w:r>
    </w:p>
    <w:p>
      <w:pPr>
        <w:pStyle w:val="Heading2"/>
        <w:spacing w:after="160" w:before="280"/>
      </w:pPr>
      <w:r>
        <w:rPr>
          <w:b/>
          <w:bCs/>
          <w:color w:val="2E75B6"/>
        </w:rPr>
        <w:t xml:space="preserve">1.3 What the TRM Is For</w:t>
      </w:r>
    </w:p>
    <w:p>
      <w:pPr>
        <w:spacing w:after="120" w:line="300"/>
        <w:jc w:val="both"/>
      </w:pPr>
      <w:r>
        <w:t xml:space="preserve">The TRM has three principal uses in architecture practice:</w:t>
      </w:r>
    </w:p>
    <w:p>
      <w:pPr>
        <w:pStyle w:val="ListParagraph"/>
        <w:numPr>
          <w:ilvl w:val="0"/>
          <w:numId w:val="2"/>
        </w:numPr>
        <w:spacing w:after="80" w:line="280"/>
      </w:pPr>
      <w:r>
        <w:t xml:space="preserve">Completeness check. When designing or selecting a platform, the TRM provides a checklist of service categories that must be addressed. If any category is missing — say, the architecture has provision for application services but no consideration of system management services — the TRM surfaces the gap before it manifests as production incident.</w:t>
      </w:r>
    </w:p>
    <w:p>
      <w:pPr>
        <w:pStyle w:val="ListParagraph"/>
        <w:numPr>
          <w:ilvl w:val="0"/>
          <w:numId w:val="2"/>
        </w:numPr>
        <w:spacing w:after="80" w:line="280"/>
      </w:pPr>
      <w:r>
        <w:t xml:space="preserve">Common vocabulary. The TRM's category names provide a shared vocabulary for talking about platform services without committing to specific products. "We need a Data Management service" is platform-agnostic; "we need PostgreSQL" is product-specific. The TRM sustains the platform-agnostic conversation that should precede the product-specific one.</w:t>
      </w:r>
    </w:p>
    <w:p>
      <w:pPr>
        <w:pStyle w:val="ListParagraph"/>
        <w:numPr>
          <w:ilvl w:val="0"/>
          <w:numId w:val="2"/>
        </w:numPr>
        <w:spacing w:after="80" w:line="280"/>
      </w:pPr>
      <w:r>
        <w:t xml:space="preserve">Continuum substrate. As the most generic content in the Architecture Continuum, the TRM is what other reference models build on. The III-RM extends it with information-flow-specific content; industry models extend it (or extend the III-RM) with vertical-specific content. Without a Foundation-level TRM, there is no substrate for the higher levels to be "more specific than".</w:t>
      </w:r>
    </w:p>
    <w:p>
      <w:r>
        <w:br w:type="page"/>
      </w:r>
    </w:p>
    <w:p>
      <w:pPr>
        <w:pStyle w:val="Heading1"/>
        <w:spacing w:after="200" w:before="360"/>
      </w:pPr>
      <w:r>
        <w:rPr>
          <w:b/>
          <w:bCs/>
          <w:color w:val="1F4E78"/>
        </w:rPr>
        <w:t xml:space="preserve">2. The TRM Is a Taxonomy, Not a Product Catalogue</w:t>
      </w:r>
    </w:p>
    <w:p>
      <w:pPr>
        <w:spacing w:after="120" w:line="300"/>
        <w:jc w:val="both"/>
      </w:pPr>
      <w:r>
        <w:t xml:space="preserve">This is the most exam-tested point in the entire reference-models module, and one of the most consistently misunderstood. The TRM identifies categories of service — taxonomic types — not specific products. It tells you that an application platform needs a Security Service; it does not tell you which security product to buy. The taxonomy/catalogue distinction is essential to using the TRM correctly.</w:t>
      </w:r>
    </w:p>
    <w:p>
      <w:pPr>
        <w:pStyle w:val="Heading2"/>
        <w:spacing w:after="160" w:before="280"/>
      </w:pPr>
      <w:r>
        <w:rPr>
          <w:b/>
          <w:bCs/>
          <w:color w:val="2E75B6"/>
        </w:rPr>
        <w:t xml:space="preserve">2.1 The Distinction</w:t>
      </w:r>
    </w:p>
    <w:p>
      <w:pPr>
        <w:spacing w:after="120" w:line="300"/>
        <w:jc w:val="both"/>
      </w:pPr>
      <w:r>
        <w:t xml:space="preserve">A </w:t>
      </w:r>
      <w:r>
        <w:rPr>
          <w:b/>
          <w:bCs/>
        </w:rPr>
        <w:t xml:space="preserve">taxonomy</w:t>
      </w:r>
      <w:r>
        <w:t xml:space="preserve"> is a classification scheme — a set of named categories with definitions. It tells you </w:t>
      </w:r>
      <w:r>
        <w:rPr>
          <w:i/>
          <w:iCs/>
        </w:rPr>
        <w:t xml:space="preserve">what kinds of things exist</w:t>
      </w:r>
      <w:r>
        <w:t xml:space="preserve"> in a domain. The biological taxonomy of mammals does not list every mammal in existence; it identifies the genus-and-species categories within which actual mammals fall. A </w:t>
      </w:r>
      <w:r>
        <w:rPr>
          <w:b/>
          <w:bCs/>
        </w:rPr>
        <w:t xml:space="preserve">product catalogue</w:t>
      </w:r>
      <w:r>
        <w:t xml:space="preserve">, by contrast, lists specific products — make, model, supplier, price. It tells you </w:t>
      </w:r>
      <w:r>
        <w:rPr>
          <w:i/>
          <w:iCs/>
        </w:rPr>
        <w:t xml:space="preserve">what specific things you can buy</w:t>
      </w:r>
      <w:r>
        <w:t xml:space="preserve">. A pet shop's stock list is a product catalogue; the biological taxonomy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Taxonomy vs Product Catalogue: </w:t>
            </w:r>
            <w:r>
              <w:t xml:space="preserve">A taxonomy classifies kinds of thing — categories with definitions, vendor- and product-neutral. A product catalogue lists specific things — vendors, products, configurations, prices. The TRM is a taxonomy of platform service categories. It is NOT a product catalogue. Selecting actual products to fulfil the categories is a separate activity, downstream of the TRM.</w:t>
            </w:r>
          </w:p>
        </w:tc>
      </w:tr>
    </w:tbl>
    <w:p>
      <w:pPr>
        <w:pStyle w:val="Heading2"/>
        <w:spacing w:after="160" w:before="280"/>
      </w:pPr>
      <w:r>
        <w:rPr>
          <w:b/>
          <w:bCs/>
          <w:color w:val="2E75B6"/>
        </w:rPr>
        <w:t xml:space="preserve">2.2 Why the Distinction Matters</w:t>
      </w:r>
    </w:p>
    <w:p>
      <w:pPr>
        <w:spacing w:after="120" w:line="300"/>
        <w:jc w:val="both"/>
      </w:pPr>
      <w:r>
        <w:t xml:space="preserve">Three reasons the taxonomy/catalogue distinction is enforced:</w:t>
      </w:r>
    </w:p>
    <w:p>
      <w:pPr>
        <w:pStyle w:val="ListParagraph"/>
        <w:numPr>
          <w:ilvl w:val="0"/>
          <w:numId w:val="2"/>
        </w:numPr>
        <w:spacing w:after="80" w:line="280"/>
      </w:pPr>
      <w:r>
        <w:t xml:space="preserve">Vendor neutrality. A product catalogue is vendor-specific by construction; a taxonomy is vendor-neutral by construction. The TRM stays vendor-neutral so that it can guide architectural conversations without prejudicing them in favour of any particular vendor's offering. Once a category has been identified, multiple products can be evaluated against it.</w:t>
      </w:r>
    </w:p>
    <w:p>
      <w:pPr>
        <w:pStyle w:val="ListParagraph"/>
        <w:numPr>
          <w:ilvl w:val="0"/>
          <w:numId w:val="2"/>
        </w:numPr>
        <w:spacing w:after="80" w:line="280"/>
      </w:pPr>
      <w:r>
        <w:t xml:space="preserve">Reuse across enterprises. A product catalogue is enterprise-specific (this enterprise has chosen these products); a taxonomy is universal (these are the categories of service that any enterprise's platform must address). The TRM's taxonomic form is what makes it Foundation-level — applicable to every enterprise rather than tied to one.</w:t>
      </w:r>
    </w:p>
    <w:p>
      <w:pPr>
        <w:pStyle w:val="ListParagraph"/>
        <w:numPr>
          <w:ilvl w:val="0"/>
          <w:numId w:val="2"/>
        </w:numPr>
        <w:spacing w:after="80" w:line="280"/>
      </w:pPr>
      <w:r>
        <w:t xml:space="preserve">Survival of product change. Products go through major releases, get acquired, get deprecated, get replaced. A taxonomy survives all of this — the category "Data Management Service" remained valid as databases moved from hierarchical to relational to NoSQL to multi-model, and remains valid as cloud-native databases continue to evolve. A product catalogue would have needed continuous rewriting; the TRM has not.</w:t>
      </w:r>
    </w:p>
    <w:p>
      <w:pPr>
        <w:pStyle w:val="Heading2"/>
        <w:spacing w:after="160" w:before="280"/>
      </w:pPr>
      <w:r>
        <w:rPr>
          <w:b/>
          <w:bCs/>
          <w:color w:val="2E75B6"/>
        </w:rPr>
        <w:t xml:space="preserve">2.3 How the Distinction Manifests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Taxonomy in Action</w:t>
            </w:r>
          </w:p>
          <w:p>
            <w:pPr>
              <w:spacing w:after="60" w:line="280"/>
              <w:jc w:val="both"/>
            </w:pPr>
            <w:r>
              <w:t xml:space="preserve">Architect: "We are designing a new application platform. What categories of service must it provide?"</w:t>
            </w:r>
          </w:p>
          <w:p>
            <w:pPr>
              <w:spacing w:after="60" w:line="280"/>
              <w:jc w:val="both"/>
            </w:pPr>
            <w:r>
              <w:t xml:space="preserve">TRM (taxonomy answer): "At minimum, your platform must provide: Data Management Services, Data Interchange Services, User Interface Services, System Management Services, Network Services, Operating System Services, Security Services, Software Engineering Services, Transaction Processing Services, and several others. Each category has a definition; check that your platform addresses each."</w:t>
            </w:r>
          </w:p>
          <w:p>
            <w:pPr>
              <w:spacing w:after="60" w:line="280"/>
              <w:jc w:val="both"/>
            </w:pPr>
            <w:r>
              <w:t xml:space="preserve">What the TRM does NOT say: "You should buy PostgreSQL for Data Management, Apache Kafka for Data Interchange, and Okta for Security." That is a product-catalogue answer — appropriate to the next stage of the work but not the TRM's job.</w:t>
            </w:r>
          </w:p>
          <w:p>
            <w:pPr>
              <w:spacing w:after="60" w:line="280"/>
              <w:jc w:val="both"/>
            </w:pPr>
            <w:r>
              <w:t xml:space="preserve">Once the TRM has surfaced the categories, the architect's next step is to evaluate products in each category — Data Management products (PostgreSQL, MongoDB, MySQL, SQL Server, Snowflake, etc.), Security products (Okta, Auth0, AWS Cognito, etc.), and so on. That evaluation produces SBBs (Module 9 / 10) which populate the Solutions Continuum and the SIB. The taxonomy guides the evaluation; it does not replace it.</w:t>
            </w:r>
          </w:p>
        </w:tc>
      </w:tr>
    </w:tbl>
    <w:p>
      <w:pPr>
        <w:pStyle w:val="Heading2"/>
        <w:spacing w:after="160" w:before="280"/>
      </w:pPr>
      <w:r>
        <w:rPr>
          <w:b/>
          <w:bCs/>
          <w:color w:val="2E75B6"/>
        </w:rPr>
        <w:t xml:space="preserve">2.4 The Common Misuse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"The TRM Is Out of Date" — Why That Critique Misses the Point</w:t>
            </w:r>
          </w:p>
          <w:p>
            <w:pPr>
              <w:spacing w:after="60" w:line="280"/>
              <w:jc w:val="both"/>
            </w:pPr>
            <w:r>
              <w:t xml:space="preserve">A common critique of the TRM is that its specific service categories feel dated compared to modern platforms — the TRM does not name Kubernetes, does not address cloud-native deployment patterns, does not include observability or service mesh as first-class categories.</w:t>
            </w:r>
          </w:p>
          <w:p>
            <w:pPr>
              <w:spacing w:after="60" w:line="280"/>
              <w:jc w:val="both"/>
            </w:pPr>
            <w:r>
              <w:t xml:space="preserve">This critique conflates the TRM (taxonomy) with a product catalogue. As a taxonomy of service categories, the TRM has remained substantially valid because the categories are abstract: "System Management Services" still exists, although what fills it has evolved from on-premise monitoring tools to cloud-native observability platforms; "Network Services" still exists, although what fills it now includes service mesh.</w:t>
            </w:r>
          </w:p>
          <w:p>
            <w:pPr>
              <w:spacing w:after="60" w:line="280"/>
              <w:jc w:val="both"/>
            </w:pPr>
            <w:r>
              <w:t xml:space="preserve">Treating the TRM as a product catalogue produces the "out of date" critique. Treating it as a taxonomy makes the critique evaporate: the categories are durable; the products that fill them change. The TRM as a taxonomy continues to do its job (completeness checking, common vocabulary) regardless of which specific products are current.</w:t>
            </w:r>
          </w:p>
          <w:p>
            <w:pPr>
              <w:spacing w:after="60" w:line="280"/>
              <w:jc w:val="both"/>
            </w:pPr>
            <w:r>
              <w:t xml:space="preserve">That said — modern enterprises typically tailor the TRM to add new categories that have emerged since the original (Cloud Platform Services as a category, Observability Services, Continuous Delivery Services). Tailoring is acceptable and recommended; replacing the TRM with a product catalogue is not.</w:t>
            </w:r>
          </w:p>
        </w:tc>
      </w:tr>
    </w:tbl>
    <w:p>
      <w:r>
        <w:br w:type="page"/>
      </w:r>
    </w:p>
    <w:p>
      <w:pPr>
        <w:pStyle w:val="Heading1"/>
        <w:spacing w:after="200" w:before="360"/>
      </w:pPr>
      <w:r>
        <w:rPr>
          <w:b/>
          <w:bCs/>
          <w:color w:val="1F4E78"/>
        </w:rPr>
        <w:t xml:space="preserve">3. TRM Service Categories</w:t>
      </w:r>
    </w:p>
    <w:p>
      <w:pPr>
        <w:spacing w:after="120" w:line="300"/>
        <w:jc w:val="both"/>
      </w:pPr>
      <w:r>
        <w:t xml:space="preserve">The substantive content of the TRM is the list of platform service categories. Each category is defined and intended to be filled, in a specific enterprise's architecture, by one or more concrete products or services. The exam-relevant content is recognising the standard categories by name.</w:t>
      </w:r>
    </w:p>
    <w:p>
      <w:pPr>
        <w:pStyle w:val="Heading2"/>
        <w:spacing w:after="160" w:before="280"/>
      </w:pPr>
      <w:r>
        <w:rPr>
          <w:b/>
          <w:bCs/>
          <w:color w:val="2E75B6"/>
        </w:rPr>
        <w:t xml:space="preserve">3.1 The Standard Service Categories</w:t>
      </w:r>
    </w:p>
    <w:p>
      <w:pPr>
        <w:spacing w:after="120" w:line="300"/>
        <w:jc w:val="both"/>
      </w:pPr>
      <w:r>
        <w:t xml:space="preserve">The TRM defines around twelve service categories. The exact list varies slightly across editions and TOGAF documentation, but the following twelve are the standard core:</w:t>
      </w:r>
    </w:p>
    <w:p>
      <w:pPr>
        <w:pStyle w:val="Heading3"/>
        <w:spacing w:after="120" w:before="220"/>
      </w:pPr>
      <w:r>
        <w:rPr>
          <w:b/>
          <w:bCs/>
          <w:color w:val="404040"/>
        </w:rPr>
        <w:t xml:space="preserve">1. Data Management Services</w:t>
      </w:r>
    </w:p>
    <w:p>
      <w:pPr>
        <w:spacing w:after="120" w:line="300"/>
        <w:jc w:val="both"/>
      </w:pPr>
      <w:r>
        <w:t xml:space="preserve">Persistent storage and retrieval of structured data. Includes database management systems, data warehousing, data caching, and data archival. Modern instances include relational databases (PostgreSQL, SQL Server), document stores (MongoDB, DynamoDB), wide-column stores (Cassandra), data warehouses (Snowflake, BigQuery), and caching layers (Redis, Memcached).</w:t>
      </w:r>
    </w:p>
    <w:p>
      <w:pPr>
        <w:pStyle w:val="Heading3"/>
        <w:spacing w:after="120" w:before="220"/>
      </w:pPr>
      <w:r>
        <w:rPr>
          <w:b/>
          <w:bCs/>
          <w:color w:val="404040"/>
        </w:rPr>
        <w:t xml:space="preserve">2. Data Interchange Services</w:t>
      </w:r>
    </w:p>
    <w:p>
      <w:pPr>
        <w:spacing w:after="120" w:line="300"/>
        <w:jc w:val="both"/>
      </w:pPr>
      <w:r>
        <w:t xml:space="preserve">Movement of data between systems and across boundaries. Includes integration middleware, message brokers, event streaming, file transfer, and API gateways. Modern instances include API management (Apigee, Kong), event streaming (Kafka, Pulsar), integration platforms (MuleSoft, Boomi), and managed file transfer.</w:t>
      </w:r>
    </w:p>
    <w:p>
      <w:pPr>
        <w:pStyle w:val="Heading3"/>
        <w:spacing w:after="120" w:before="220"/>
      </w:pPr>
      <w:r>
        <w:rPr>
          <w:b/>
          <w:bCs/>
          <w:color w:val="404040"/>
        </w:rPr>
        <w:t xml:space="preserve">3. User Interface Services</w:t>
      </w:r>
    </w:p>
    <w:p>
      <w:pPr>
        <w:spacing w:after="120" w:line="300"/>
        <w:jc w:val="both"/>
      </w:pPr>
      <w:r>
        <w:t xml:space="preserve">How applications present themselves to users. Includes web rendering, mobile interaction, voice and conversational interfaces, accessibility services, and session management at the user level. Modern instances include web frameworks, mobile platforms, design systems, and component libraries.</w:t>
      </w:r>
    </w:p>
    <w:p>
      <w:pPr>
        <w:pStyle w:val="Heading3"/>
        <w:spacing w:after="120" w:before="220"/>
      </w:pPr>
      <w:r>
        <w:rPr>
          <w:b/>
          <w:bCs/>
          <w:color w:val="404040"/>
        </w:rPr>
        <w:t xml:space="preserve">4. System and Network Management Services</w:t>
      </w:r>
    </w:p>
    <w:p>
      <w:pPr>
        <w:spacing w:after="120" w:line="300"/>
        <w:jc w:val="both"/>
      </w:pPr>
      <w:r>
        <w:t xml:space="preserve">Operation, monitoring, configuration, and maintenance of the platform itself. Includes observability (logging, metrics, traces), incident management, configuration management, and change orchestration. Modern instances include observability platforms (Datadog, Splunk, Elastic Observability), configuration management (Ansible, Puppet), and incident management (PagerDuty, Opsgenie).</w:t>
      </w:r>
    </w:p>
    <w:p>
      <w:pPr>
        <w:pStyle w:val="Heading3"/>
        <w:spacing w:after="120" w:before="220"/>
      </w:pPr>
      <w:r>
        <w:rPr>
          <w:b/>
          <w:bCs/>
          <w:color w:val="404040"/>
        </w:rPr>
        <w:t xml:space="preserve">5. Network Services</w:t>
      </w:r>
    </w:p>
    <w:p>
      <w:pPr>
        <w:spacing w:after="120" w:line="300"/>
        <w:jc w:val="both"/>
      </w:pPr>
      <w:r>
        <w:t xml:space="preserve">Connectivity between platform components and to external networks. Includes routing, switching, load balancing, content delivery, and network security at the connectivity layer. Modern instances include cloud-native networking (VPCs, transit gateways), CDNs (CloudFront, Cloudflare), service mesh (Istio, Linkerd), and DNS services.</w:t>
      </w:r>
    </w:p>
    <w:p>
      <w:pPr>
        <w:pStyle w:val="Heading3"/>
        <w:spacing w:after="120" w:before="220"/>
      </w:pPr>
      <w:r>
        <w:rPr>
          <w:b/>
          <w:bCs/>
          <w:color w:val="404040"/>
        </w:rPr>
        <w:t xml:space="preserve">6. Operating System Services</w:t>
      </w:r>
    </w:p>
    <w:p>
      <w:pPr>
        <w:spacing w:after="120" w:line="300"/>
        <w:jc w:val="both"/>
      </w:pPr>
      <w:r>
        <w:t xml:space="preserve">The lowest-level services that the platform's applications run on top of. Includes process scheduling, file systems, virtual memory, device I/O, and system calls. Modern instances include Linux distributions, Windows Server, and the orchestration layer that manages OS instances (Kubernetes, container runtimes).</w:t>
      </w:r>
    </w:p>
    <w:p>
      <w:pPr>
        <w:pStyle w:val="Heading3"/>
        <w:spacing w:after="120" w:before="220"/>
      </w:pPr>
      <w:r>
        <w:rPr>
          <w:b/>
          <w:bCs/>
          <w:color w:val="404040"/>
        </w:rPr>
        <w:t xml:space="preserve">7. Security Services</w:t>
      </w:r>
    </w:p>
    <w:p>
      <w:pPr>
        <w:spacing w:after="120" w:line="300"/>
        <w:jc w:val="both"/>
      </w:pPr>
      <w:r>
        <w:t xml:space="preserve">Authentication, authorisation, encryption, audit, threat detection, and compliance. Spans many layers — identity, network, application, data — and is one of the largest single categories in modern platforms. Modern instances include identity providers (Okta, Auth0, Azure AD), secret management (HashiCorp Vault, AWS Secrets Manager), security monitoring (SIEM platforms), and compliance tooling.</w:t>
      </w:r>
    </w:p>
    <w:p>
      <w:pPr>
        <w:pStyle w:val="Heading3"/>
        <w:spacing w:after="120" w:before="220"/>
      </w:pPr>
      <w:r>
        <w:rPr>
          <w:b/>
          <w:bCs/>
          <w:color w:val="404040"/>
        </w:rPr>
        <w:t xml:space="preserve">8. Software Engineering Services</w:t>
      </w:r>
    </w:p>
    <w:p>
      <w:pPr>
        <w:spacing w:after="120" w:line="300"/>
        <w:jc w:val="both"/>
      </w:pPr>
      <w:r>
        <w:t xml:space="preserve">Tools and services for building, testing, and deploying software. Includes source control, continuous integration, continuous delivery, automated testing, and dependency management. Modern instances include Git platforms (GitHub, GitLab), CI/CD platforms (Jenkins, GitHub Actions, GitLab CI), and artefact management (Artifactory, Nexus).</w:t>
      </w:r>
    </w:p>
    <w:p>
      <w:pPr>
        <w:pStyle w:val="Heading3"/>
        <w:spacing w:after="120" w:before="220"/>
      </w:pPr>
      <w:r>
        <w:rPr>
          <w:b/>
          <w:bCs/>
          <w:color w:val="404040"/>
        </w:rPr>
        <w:t xml:space="preserve">9. Transaction Processing Services</w:t>
      </w:r>
    </w:p>
    <w:p>
      <w:pPr>
        <w:spacing w:after="120" w:line="300"/>
        <w:jc w:val="both"/>
      </w:pPr>
      <w:r>
        <w:t xml:space="preserve">Reliable execution of business transactions, particularly under concurrency and failure. Includes ACID database operations, distributed transactions, saga orchestration, and workflow engines. Modern instances include distributed transaction frameworks, workflow orchestration (Temporal, Camunda), and the transactional capabilities of underlying databases.</w:t>
      </w:r>
    </w:p>
    <w:p>
      <w:pPr>
        <w:pStyle w:val="Heading3"/>
        <w:spacing w:after="120" w:before="220"/>
      </w:pPr>
      <w:r>
        <w:rPr>
          <w:b/>
          <w:bCs/>
          <w:color w:val="404040"/>
        </w:rPr>
        <w:t xml:space="preserve">10. Location and Directory Services</w:t>
      </w:r>
    </w:p>
    <w:p>
      <w:pPr>
        <w:spacing w:after="120" w:line="300"/>
        <w:jc w:val="both"/>
      </w:pPr>
      <w:r>
        <w:t xml:space="preserve">Discovery and lookup of resources. Includes directory services (LDAP, Active Directory), service discovery in distributed systems, and metadata catalogues. Modern instances include cloud directory services, service mesh discovery layers, and data catalogues (Collibra, Alation).</w:t>
      </w:r>
    </w:p>
    <w:p>
      <w:pPr>
        <w:pStyle w:val="Heading3"/>
        <w:spacing w:after="120" w:before="220"/>
      </w:pPr>
      <w:r>
        <w:rPr>
          <w:b/>
          <w:bCs/>
          <w:color w:val="404040"/>
        </w:rPr>
        <w:t xml:space="preserve">11. Internationalisation Services</w:t>
      </w:r>
    </w:p>
    <w:p>
      <w:pPr>
        <w:spacing w:after="120" w:line="300"/>
        <w:jc w:val="both"/>
      </w:pPr>
      <w:r>
        <w:t xml:space="preserve">Language localisation, regional formatting (dates, currencies, number formats), character encoding, and right-to-left script support. Modern instances include internationalisation libraries built into web frameworks and cloud locale services.</w:t>
      </w:r>
    </w:p>
    <w:p>
      <w:pPr>
        <w:pStyle w:val="Heading3"/>
        <w:spacing w:after="120" w:before="220"/>
      </w:pPr>
      <w:r>
        <w:rPr>
          <w:b/>
          <w:bCs/>
          <w:color w:val="404040"/>
        </w:rPr>
        <w:t xml:space="preserve">12. Graphics and Imaging Services</w:t>
      </w:r>
    </w:p>
    <w:p>
      <w:pPr>
        <w:spacing w:after="120" w:line="300"/>
        <w:jc w:val="both"/>
      </w:pPr>
      <w:r>
        <w:t xml:space="preserve">Rendering, manipulating, and storing visual content. Includes 2D/3D graphics libraries, image processing, video encoding, and increasingly machine-learning-based image services. Modern instances include cloud image services, ML-powered vision APIs, and graphics frameworks.</w:t>
      </w:r>
    </w:p>
    <w:p>
      <w:pPr>
        <w:pStyle w:val="Heading2"/>
        <w:spacing w:after="160" w:before="280"/>
      </w:pPr>
      <w:r>
        <w:rPr>
          <w:b/>
          <w:bCs/>
          <w:color w:val="2E75B6"/>
        </w:rPr>
        <w:t xml:space="preserve">3.2 The Categories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500"/>
        <w:gridCol w:w="3260"/>
      </w:tblGrid>
      <w:tr>
        <w:trPr>
          <w:tblHeader/>
        </w:trPr>
        <w:tc>
          <w:tcPr>
            <w:tcW w:type="dxa" w:w="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t>
            </w:r>
          </w:p>
        </w:tc>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Category</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Covers</w:t>
            </w:r>
          </w:p>
        </w:tc>
        <w:tc>
          <w:tcPr>
            <w:tcW w:type="dxa" w:w="32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Modern Instances</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Data Management</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Persistent data storage and retrieval</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PostgreSQL, MongoDB, Snowflake, Redis</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 Interchange</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 movement between systems</w:t>
            </w:r>
          </w:p>
        </w:tc>
        <w:tc>
          <w:tcPr>
            <w:tcW w:type="dxa" w:w="3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Kafka, API gateways, MuleSoft</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User Interface</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Application presentation to users</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Web frameworks, design systems</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4</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System &amp; Network Management</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Platform operation and observability</w:t>
            </w:r>
          </w:p>
        </w:tc>
        <w:tc>
          <w:tcPr>
            <w:tcW w:type="dxa" w:w="3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Datadog, PagerDuty, Ansible</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5</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Network</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Connectivity between components</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VPCs, CDNs, service mesh, DNS</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Operating System</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Lowest-level platform services</w:t>
            </w:r>
          </w:p>
        </w:tc>
        <w:tc>
          <w:tcPr>
            <w:tcW w:type="dxa" w:w="3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Linux, Windows Server, Kubernetes</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7</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Security</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Authn, authz, encryption, audit</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Okta, Vault, SIEM platforms</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8</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Software Engineering</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Build, test, deploy tooling</w:t>
            </w:r>
          </w:p>
        </w:tc>
        <w:tc>
          <w:tcPr>
            <w:tcW w:type="dxa" w:w="3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GitHub, Jenkins, Artifactory</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9</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Transaction Processing</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Reliable transaction execution</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Workflow engines, distributed transactions</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10</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Location &amp; Directory</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Discovery and lookup</w:t>
            </w:r>
          </w:p>
        </w:tc>
        <w:tc>
          <w:tcPr>
            <w:tcW w:type="dxa" w:w="3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Active Directory, service discovery, data catalogues</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11</w:t>
            </w:r>
          </w:p>
        </w:tc>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Internationalisation</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Locale, language, encoding</w:t>
            </w:r>
          </w:p>
        </w:tc>
        <w:tc>
          <w:tcPr>
            <w:tcW w:type="dxa" w:w="3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i18n libraries, cloud locale services</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12</w:t>
            </w:r>
          </w:p>
        </w:tc>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Graphics &amp; Imaging</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Visual content handling</w:t>
            </w:r>
          </w:p>
        </w:tc>
        <w:tc>
          <w:tcPr>
            <w:tcW w:type="dxa" w:w="3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Image services, vision APIs</w:t>
            </w:r>
          </w:p>
        </w:tc>
      </w:tr>
    </w:tbl>
    <w:p>
      <w:pPr>
        <w:pStyle w:val="Heading2"/>
        <w:spacing w:after="160" w:before="280"/>
      </w:pPr>
      <w:r>
        <w:rPr>
          <w:b/>
          <w:bCs/>
          <w:color w:val="2E75B6"/>
        </w:rPr>
        <w:t xml:space="preserve">3.3 Modern Tailoring</w:t>
      </w:r>
    </w:p>
    <w:p>
      <w:pPr>
        <w:spacing w:after="120" w:line="300"/>
        <w:jc w:val="both"/>
      </w:pPr>
      <w:r>
        <w:t xml:space="preserve">Most modern enterprises extend the standard categories with additional ones reflecting current platform reality. Common additions include: Cloud Platform Services (capturing the cloud-native concerns absent from the original); Observability Services (split out from System Management given its modern prominence); Container and Orchestration Services (capturing Kubernetes and adjacent platforms as their own category); ML and AI Services (capturing AI-native platform concerns); Sustainability Services (capturing the carbon-and-energy concerns covered in Module 14).</w:t>
      </w:r>
    </w:p>
    <w:p>
      <w:pPr>
        <w:spacing w:after="120" w:line="300"/>
        <w:jc w:val="both"/>
      </w:pPr>
      <w:r>
        <w:t xml:space="preserve">Tailoring is acceptable; the standard twelve are a starting point, not a fixed schema. The taxonomy form supports tailoring naturally — adding a category does not break the others.</w:t>
      </w:r>
    </w:p>
    <w:p>
      <w:r>
        <w:br w:type="page"/>
      </w:r>
    </w:p>
    <w:p>
      <w:pPr>
        <w:pStyle w:val="Heading1"/>
        <w:spacing w:after="200" w:before="360"/>
      </w:pPr>
      <w:r>
        <w:rPr>
          <w:b/>
          <w:bCs/>
          <w:color w:val="1F4E78"/>
        </w:rPr>
        <w:t xml:space="preserve">4. The III-RM Is the Common Systems Architecture</w:t>
      </w:r>
    </w:p>
    <w:p>
      <w:pPr>
        <w:spacing w:after="120" w:line="300"/>
        <w:jc w:val="both"/>
      </w:pPr>
      <w:r>
        <w:t xml:space="preserve">The Integrated Information Infrastructure Reference Model — abbreviated III-RM — sits one level above the TRM in the Enterprise Continuum. It is at the Common Systems level: more specific than the TRM (which applies universally) but less specific than industry-level models (which assume a particular vertical). The III-RM addresses a problem that many enterprises share but not all: integrated information flow across an enterprise's information landscape.</w:t>
      </w:r>
    </w:p>
    <w:p>
      <w:pPr>
        <w:pStyle w:val="Heading2"/>
        <w:spacing w:after="160" w:before="280"/>
      </w:pPr>
      <w:r>
        <w:rPr>
          <w:b/>
          <w:bCs/>
          <w:color w:val="2E75B6"/>
        </w:rPr>
        <w:t xml:space="preserve">4.1 What the III-RM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Integrated Information Infrastructure Reference Model (III-RM): </w:t>
            </w:r>
            <w:r>
              <w:t xml:space="preserve">TOGAF's Common Systems-level reference model. Built on the TRM, it adds focus on the platform services and patterns needed to integrate information across an enterprise — to enable what The Open Group calls Boundaryless Information Flow™. Sits one level above the TRM in the Enterprise Continuum: more specific than the TRM, less specific than industry-level models.</w:t>
            </w:r>
          </w:p>
        </w:tc>
      </w:tr>
    </w:tbl>
    <w:p>
      <w:pPr>
        <w:pStyle w:val="Heading2"/>
        <w:spacing w:after="160" w:before="280"/>
      </w:pPr>
      <w:r>
        <w:rPr>
          <w:b/>
          <w:bCs/>
          <w:color w:val="2E75B6"/>
        </w:rPr>
        <w:t xml:space="preserve">4.2 Why the III-RM Is at the Common Systems Level</w:t>
      </w:r>
    </w:p>
    <w:p>
      <w:pPr>
        <w:spacing w:after="120" w:line="300"/>
        <w:jc w:val="both"/>
      </w:pPr>
      <w:r>
        <w:t xml:space="preserve">The III-RM addresses a problem (cross-application information flow at enterprise scale) that many enterprises face but not strictly all. A small enterprise with a handful of applications and minimal cross-system data flow doesn't need an integrated information infrastructure. A large enterprise with hundreds of applications and complex data dependencies absolutely does. The III-RM's scope therefore narrows the TRM's universal applicability to the subset of enterprises pursuing meaningful information integration.</w:t>
      </w:r>
    </w:p>
    <w:p>
      <w:pPr>
        <w:spacing w:after="120" w:line="300"/>
        <w:jc w:val="both"/>
      </w:pPr>
      <w:r>
        <w:t xml:space="preserve">This narrowing is what places the III-RM at the Common Systems level rather than at Foundation. Common Systems content is widely applicable across many industries (the III-RM works for banking, healthcare, manufacturing, retail, government — wherever an enterprise has substantial cross-application information flow) but does not strictly apply to every enterprise. The TRM applies to every enterprise; the III-RM applies to most large ones.</w:t>
      </w:r>
    </w:p>
    <w:p>
      <w:pPr>
        <w:pStyle w:val="Heading2"/>
        <w:spacing w:after="160" w:before="280"/>
      </w:pPr>
      <w:r>
        <w:rPr>
          <w:b/>
          <w:bCs/>
          <w:color w:val="2E75B6"/>
        </w:rPr>
        <w:t xml:space="preserve">4.3 What the III-RM Is Built On</w:t>
      </w:r>
    </w:p>
    <w:p>
      <w:pPr>
        <w:spacing w:after="120" w:line="300"/>
        <w:jc w:val="both"/>
      </w:pPr>
      <w:r>
        <w:t xml:space="preserve">The III-RM is built directly on the TRM. The TRM's twelve service categories provide the underlying platform; the III-RM adds the integration layer on top. This inheritance is the canonical example of how content at higher levels of the Architecture Continuum extends content at lower levels — the III-RM does not redefine Data Management Services or Security Services from scratch; it inherits them from the TRM and focuses on what is added: the integration patterns and services that connect application landscapes.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The Inheritance Pattern</w:t>
            </w:r>
          </w:p>
          <w:p>
            <w:pPr>
              <w:spacing w:after="60" w:line="280"/>
              <w:jc w:val="both"/>
            </w:pPr>
            <w:r>
              <w:t xml:space="preserve">TRM at Foundation → III-RM at Common Systems → industry models at Industry → Organization-Specific architectures at the most specific level. Each layer is built on (and inherits from) the layer below. An Acme Bank Customer Authentication ABB inherits from the BIAN banking-industry pattern, which inherits from the III-RM Common Systems integration model, which inherits from the TRM's Security Services category. The four layers form a coherent stack of architectural specificity. This pattern of layered inheritance is the operational logic of the entire Continuum.</w:t>
            </w:r>
          </w:p>
        </w:tc>
      </w:tr>
    </w:tbl>
    <w:p>
      <w:r>
        <w:br w:type="page"/>
      </w:r>
    </w:p>
    <w:p>
      <w:pPr>
        <w:pStyle w:val="Heading1"/>
        <w:spacing w:after="200" w:before="360"/>
      </w:pPr>
      <w:r>
        <w:rPr>
          <w:b/>
          <w:bCs/>
          <w:color w:val="1F4E78"/>
        </w:rPr>
        <w:t xml:space="preserve">5. The III-RM's Three Components</w:t>
      </w:r>
    </w:p>
    <w:p>
      <w:pPr>
        <w:spacing w:after="120" w:line="300"/>
        <w:jc w:val="both"/>
      </w:pPr>
      <w:r>
        <w:t xml:space="preserve">The III-RM is structured into three high-level component groupings — three categories of services that together enable integrated information flow. Memorising the three is one of the more directly testable points in this module.</w:t>
      </w:r>
    </w:p>
    <w:p>
      <w:pPr>
        <w:pStyle w:val="Heading2"/>
        <w:spacing w:after="160" w:before="280"/>
      </w:pPr>
      <w:r>
        <w:rPr>
          <w:b/>
          <w:bCs/>
          <w:color w:val="2E75B6"/>
        </w:rPr>
        <w:t xml:space="preserve">5.1 The Three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Three Components of the III-RM: </w:t>
            </w:r>
            <w:r>
              <w:t xml:space="preserve">(1) Brokerage Services — middleware that mediates between information producers and consumers; (2) Managed Infrastructure — the platform services delivering the integrated environment; (3) Federated Infrastructure — the components participating in but distributed across the enterprise. Together, the three form the III-RM's high-level architecture for integrated information flow.</w:t>
            </w:r>
          </w:p>
        </w:tc>
      </w:tr>
    </w:tbl>
    <w:p>
      <w:pPr>
        <w:pStyle w:val="Heading2"/>
        <w:spacing w:after="160" w:before="280"/>
      </w:pPr>
      <w:r>
        <w:rPr>
          <w:b/>
          <w:bCs/>
          <w:color w:val="2E75B6"/>
        </w:rPr>
        <w:t xml:space="preserve">5.2 Component 1: Brokerage Services</w:t>
      </w:r>
    </w:p>
    <w:p>
      <w:pPr>
        <w:spacing w:after="120" w:line="300"/>
        <w:jc w:val="both"/>
      </w:pPr>
      <w:r>
        <w:t xml:space="preserve">Brokerage Services are the middleware components that sit between applications providing information and applications consuming it. They are the integration layer of the III-RM — the components that decouple producers from consumers, mediate between different formats, route messages, and orchestrate flows.</w:t>
      </w:r>
    </w:p>
    <w:p>
      <w:pPr>
        <w:pStyle w:val="Heading3"/>
        <w:spacing w:after="120" w:before="220"/>
      </w:pPr>
      <w:r>
        <w:rPr>
          <w:b/>
          <w:bCs/>
          <w:color w:val="404040"/>
        </w:rPr>
        <w:t xml:space="preserve">Typical Brokerage Services</w:t>
      </w:r>
    </w:p>
    <w:p>
      <w:pPr>
        <w:pStyle w:val="ListParagraph"/>
        <w:numPr>
          <w:ilvl w:val="0"/>
          <w:numId w:val="3"/>
        </w:numPr>
        <w:spacing w:after="80" w:line="280"/>
      </w:pPr>
      <w:r>
        <w:t xml:space="preserve">Message brokers — durable queues and topics that decouple producers from consumers temporally.</w:t>
      </w:r>
    </w:p>
    <w:p>
      <w:pPr>
        <w:pStyle w:val="ListParagraph"/>
        <w:numPr>
          <w:ilvl w:val="0"/>
          <w:numId w:val="3"/>
        </w:numPr>
        <w:spacing w:after="80" w:line="280"/>
      </w:pPr>
      <w:r>
        <w:t xml:space="preserve">Event streams — high-throughput streaming platforms (Kafka, Pulsar) for event-driven architectures.</w:t>
      </w:r>
    </w:p>
    <w:p>
      <w:pPr>
        <w:pStyle w:val="ListParagraph"/>
        <w:numPr>
          <w:ilvl w:val="0"/>
          <w:numId w:val="3"/>
        </w:numPr>
        <w:spacing w:after="80" w:line="280"/>
      </w:pPr>
      <w:r>
        <w:t xml:space="preserve">API gateways — synchronous request-response brokering with policy enforcement (rate limiting, authentication, transformation).</w:t>
      </w:r>
    </w:p>
    <w:p>
      <w:pPr>
        <w:pStyle w:val="ListParagraph"/>
        <w:numPr>
          <w:ilvl w:val="0"/>
          <w:numId w:val="3"/>
        </w:numPr>
        <w:spacing w:after="80" w:line="280"/>
      </w:pPr>
      <w:r>
        <w:t xml:space="preserve">Service mesh — fine-grained brokering between services within a single platform domain.</w:t>
      </w:r>
    </w:p>
    <w:p>
      <w:pPr>
        <w:pStyle w:val="ListParagraph"/>
        <w:numPr>
          <w:ilvl w:val="0"/>
          <w:numId w:val="3"/>
        </w:numPr>
        <w:spacing w:after="80" w:line="280"/>
      </w:pPr>
      <w:r>
        <w:t xml:space="preserve">Workflow and orchestration engines — coordinating multi-step processes spanning multiple applications.</w:t>
      </w:r>
    </w:p>
    <w:p>
      <w:pPr>
        <w:pStyle w:val="ListParagraph"/>
        <w:numPr>
          <w:ilvl w:val="0"/>
          <w:numId w:val="3"/>
        </w:numPr>
        <w:spacing w:after="80" w:line="280"/>
      </w:pPr>
      <w:r>
        <w:t xml:space="preserve">Data integration platforms — bulk movement and transformation of data between data stores (ETL, ELT, CDC).</w:t>
      </w:r>
    </w:p>
    <w:p>
      <w:pPr>
        <w:spacing w:after="120" w:line="300"/>
        <w:jc w:val="both"/>
      </w:pPr>
      <w:r>
        <w:t xml:space="preserve">The Brokerage Services are what make information flow without point-to-point integration. Without brokerage, every information producer must integrate directly with every consumer — producing the spaghetti integration that older enterprise architectures suffered from. With brokerage, producers publish once and consumers subscribe; the broker handles delivery.</w:t>
      </w:r>
    </w:p>
    <w:p>
      <w:pPr>
        <w:pStyle w:val="Heading2"/>
        <w:spacing w:after="160" w:before="280"/>
      </w:pPr>
      <w:r>
        <w:rPr>
          <w:b/>
          <w:bCs/>
          <w:color w:val="2E75B6"/>
        </w:rPr>
        <w:t xml:space="preserve">5.3 Component 2: Managed Infrastructure</w:t>
      </w:r>
    </w:p>
    <w:p>
      <w:pPr>
        <w:spacing w:after="120" w:line="300"/>
        <w:jc w:val="both"/>
      </w:pPr>
      <w:r>
        <w:t xml:space="preserve">Managed Infrastructure is the set of platform services that deliver the integrated information environment as a centrally-managed, consistent capability. Managed Infrastructure is what the enterprise's central IT function provides as a shared service: the platforms, the tools, the operating discipline, the SLAs.</w:t>
      </w:r>
    </w:p>
    <w:p>
      <w:pPr>
        <w:pStyle w:val="Heading3"/>
        <w:spacing w:after="120" w:before="220"/>
      </w:pPr>
      <w:r>
        <w:rPr>
          <w:b/>
          <w:bCs/>
          <w:color w:val="404040"/>
        </w:rPr>
        <w:t xml:space="preserve">Typical Managed Infrastructure Services</w:t>
      </w:r>
    </w:p>
    <w:p>
      <w:pPr>
        <w:pStyle w:val="ListParagraph"/>
        <w:numPr>
          <w:ilvl w:val="0"/>
          <w:numId w:val="3"/>
        </w:numPr>
        <w:spacing w:after="80" w:line="280"/>
      </w:pPr>
      <w:r>
        <w:t xml:space="preserve">The cloud platforms (or on-premise platforms) on which applications run.</w:t>
      </w:r>
    </w:p>
    <w:p>
      <w:pPr>
        <w:pStyle w:val="ListParagraph"/>
        <w:numPr>
          <w:ilvl w:val="0"/>
          <w:numId w:val="3"/>
        </w:numPr>
        <w:spacing w:after="80" w:line="280"/>
      </w:pPr>
      <w:r>
        <w:t xml:space="preserve">The shared identity and access management infrastructure.</w:t>
      </w:r>
    </w:p>
    <w:p>
      <w:pPr>
        <w:pStyle w:val="ListParagraph"/>
        <w:numPr>
          <w:ilvl w:val="0"/>
          <w:numId w:val="3"/>
        </w:numPr>
        <w:spacing w:after="80" w:line="280"/>
      </w:pPr>
      <w:r>
        <w:t xml:space="preserve">The shared observability stack — logs, metrics, traces, dashboards.</w:t>
      </w:r>
    </w:p>
    <w:p>
      <w:pPr>
        <w:pStyle w:val="ListParagraph"/>
        <w:numPr>
          <w:ilvl w:val="0"/>
          <w:numId w:val="3"/>
        </w:numPr>
        <w:spacing w:after="80" w:line="280"/>
      </w:pPr>
      <w:r>
        <w:t xml:space="preserve">The shared CI/CD platform that all applications deploy through.</w:t>
      </w:r>
    </w:p>
    <w:p>
      <w:pPr>
        <w:pStyle w:val="ListParagraph"/>
        <w:numPr>
          <w:ilvl w:val="0"/>
          <w:numId w:val="3"/>
        </w:numPr>
        <w:spacing w:after="80" w:line="280"/>
      </w:pPr>
      <w:r>
        <w:t xml:space="preserve">The shared security tooling — SIEM, vulnerability management, secret management.</w:t>
      </w:r>
    </w:p>
    <w:p>
      <w:pPr>
        <w:pStyle w:val="ListParagraph"/>
        <w:numPr>
          <w:ilvl w:val="0"/>
          <w:numId w:val="3"/>
        </w:numPr>
        <w:spacing w:after="80" w:line="280"/>
      </w:pPr>
      <w:r>
        <w:t xml:space="preserve">The shared data platform — data lake, data warehouse, data catalogue.</w:t>
      </w:r>
    </w:p>
    <w:p>
      <w:pPr>
        <w:pStyle w:val="ListParagraph"/>
        <w:numPr>
          <w:ilvl w:val="0"/>
          <w:numId w:val="3"/>
        </w:numPr>
        <w:spacing w:after="80" w:line="280"/>
      </w:pPr>
      <w:r>
        <w:t xml:space="preserve">The shared developer platform — internal developer portal, golden paths, paved roads.</w:t>
      </w:r>
    </w:p>
    <w:p>
      <w:pPr>
        <w:spacing w:after="120" w:line="300"/>
        <w:jc w:val="both"/>
      </w:pPr>
      <w:r>
        <w:t xml:space="preserve">Managed Infrastructure is essentially the platform-engineering layer of the modern enterprise, expressed in III-RM terms. The III-RM was authored before "platform engineering" was a term, but the concept maps cleanly: a centrally-provided platform that consumer applications use, managed to consistent standards.</w:t>
      </w:r>
    </w:p>
    <w:p>
      <w:pPr>
        <w:pStyle w:val="Heading2"/>
        <w:spacing w:after="160" w:before="280"/>
      </w:pPr>
      <w:r>
        <w:rPr>
          <w:b/>
          <w:bCs/>
          <w:color w:val="2E75B6"/>
        </w:rPr>
        <w:t xml:space="preserve">5.4 Component 3: Federated Infrastructure</w:t>
      </w:r>
    </w:p>
    <w:p>
      <w:pPr>
        <w:spacing w:after="120" w:line="300"/>
        <w:jc w:val="both"/>
      </w:pPr>
      <w:r>
        <w:t xml:space="preserve">Federated Infrastructure is the component grouping that captures the distributed-but-coordinated parts of the integrated environment. Where Managed Infrastructure is centrally provided, Federated Infrastructure exists across multiple business units, geographies, partners, or external organisations — coordinated under common standards but not centrally controlled.</w:t>
      </w:r>
    </w:p>
    <w:p>
      <w:pPr>
        <w:pStyle w:val="Heading3"/>
        <w:spacing w:after="120" w:before="220"/>
      </w:pPr>
      <w:r>
        <w:rPr>
          <w:b/>
          <w:bCs/>
          <w:color w:val="404040"/>
        </w:rPr>
        <w:t xml:space="preserve">Typical Federated Infrastructure Services</w:t>
      </w:r>
    </w:p>
    <w:p>
      <w:pPr>
        <w:pStyle w:val="ListParagraph"/>
        <w:numPr>
          <w:ilvl w:val="0"/>
          <w:numId w:val="3"/>
        </w:numPr>
        <w:spacing w:after="80" w:line="280"/>
      </w:pPr>
      <w:r>
        <w:t xml:space="preserve">Inter-organisational integration — connections to suppliers, partners, customers, or regulatory bodies.</w:t>
      </w:r>
    </w:p>
    <w:p>
      <w:pPr>
        <w:pStyle w:val="ListParagraph"/>
        <w:numPr>
          <w:ilvl w:val="0"/>
          <w:numId w:val="3"/>
        </w:numPr>
        <w:spacing w:after="80" w:line="280"/>
      </w:pPr>
      <w:r>
        <w:t xml:space="preserve">Multi-region deployments where each region operates somewhat independently but must remain coordinated.</w:t>
      </w:r>
    </w:p>
    <w:p>
      <w:pPr>
        <w:pStyle w:val="ListParagraph"/>
        <w:numPr>
          <w:ilvl w:val="0"/>
          <w:numId w:val="3"/>
        </w:numPr>
        <w:spacing w:after="80" w:line="280"/>
      </w:pPr>
      <w:r>
        <w:t xml:space="preserve">Federated identity — connections to external identity providers (corporate IDPs of partners, social identity for customers, government identity for regulated services).</w:t>
      </w:r>
    </w:p>
    <w:p>
      <w:pPr>
        <w:pStyle w:val="ListParagraph"/>
        <w:numPr>
          <w:ilvl w:val="0"/>
          <w:numId w:val="3"/>
        </w:numPr>
        <w:spacing w:after="80" w:line="280"/>
      </w:pPr>
      <w:r>
        <w:t xml:space="preserve">Federated data — data partitioned by jurisdiction, business unit, or regulatory regime, but governed under common metadata.</w:t>
      </w:r>
    </w:p>
    <w:p>
      <w:pPr>
        <w:pStyle w:val="ListParagraph"/>
        <w:numPr>
          <w:ilvl w:val="0"/>
          <w:numId w:val="3"/>
        </w:numPr>
        <w:spacing w:after="80" w:line="280"/>
      </w:pPr>
      <w:r>
        <w:t xml:space="preserve">Hybrid cloud — workloads spread across multiple cloud providers and on-premise.</w:t>
      </w:r>
    </w:p>
    <w:p>
      <w:pPr>
        <w:pStyle w:val="ListParagraph"/>
        <w:numPr>
          <w:ilvl w:val="0"/>
          <w:numId w:val="3"/>
        </w:numPr>
        <w:spacing w:after="80" w:line="280"/>
      </w:pPr>
      <w:r>
        <w:t xml:space="preserve">Cross-business-unit information flow in a Federated operating model (Module 12) where business units retain autonomy but participate in shared information flows.</w:t>
      </w:r>
    </w:p>
    <w:p>
      <w:pPr>
        <w:spacing w:after="120" w:line="300"/>
        <w:jc w:val="both"/>
      </w:pPr>
      <w:r>
        <w:t xml:space="preserve">The Federated Infrastructure recognises that no large enterprise has fully centralised infrastructure. Some parts are centrally managed; some parts are distributed across the organisation or across organisational boundaries. Both must coexist in a coherent architecture, which is what the III-RM addresses by having a separate category for the federated pieces.</w:t>
      </w:r>
    </w:p>
    <w:p>
      <w:pPr>
        <w:pStyle w:val="Heading2"/>
        <w:spacing w:after="160" w:before="280"/>
      </w:pPr>
      <w:r>
        <w:rPr>
          <w:b/>
          <w:bCs/>
          <w:color w:val="2E75B6"/>
        </w:rPr>
        <w:t xml:space="preserve">5.5 The Three Components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400"/>
        <w:gridCol w:w="2060"/>
      </w:tblGrid>
      <w:tr>
        <w:trPr>
          <w:tblHeader/>
        </w:trPr>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Component</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Holds</w:t>
            </w:r>
          </w:p>
        </w:tc>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Key Property</w:t>
            </w:r>
          </w:p>
        </w:tc>
        <w:tc>
          <w:tcPr>
            <w:tcW w:type="dxa" w:w="20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Modern Instances</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Brokerage Services</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Middleware between producers and consumers of information</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Decoupling — producers don't know consumers</w:t>
            </w:r>
          </w:p>
        </w:tc>
        <w:tc>
          <w:tcPr>
            <w:tcW w:type="dxa" w:w="2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Kafka, API gateways, service mesh, ETL platforms</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Managed Infrastructure</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Centrally-provided shared platform services</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Centrally controlled and consistent</w:t>
            </w:r>
          </w:p>
        </w:tc>
        <w:tc>
          <w:tcPr>
            <w:tcW w:type="dxa" w:w="20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Cloud platforms, IDPs, observability stacks, CI/CD</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Federated Infrastructure</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Distributed-but-coordinated services across BUs, partners, regions</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Coordinated under common standards but not centrally controlled</w:t>
            </w:r>
          </w:p>
        </w:tc>
        <w:tc>
          <w:tcPr>
            <w:tcW w:type="dxa" w:w="20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Inter-org integration, multi-region, federated identity, hybrid cloud</w:t>
            </w:r>
          </w:p>
        </w:tc>
      </w:tr>
    </w:tbl>
    <w:p>
      <w:pPr>
        <w:pStyle w:val="Heading2"/>
        <w:spacing w:after="160" w:before="280"/>
      </w:pPr>
      <w:r>
        <w:rPr>
          <w:b/>
          <w:bCs/>
          <w:color w:val="2E75B6"/>
        </w:rPr>
        <w:t xml:space="preserve">5.6 The III-RM in Modern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Mapping a Modern Enterprise to the III-RM Components</w:t>
            </w:r>
          </w:p>
          <w:p>
            <w:pPr>
              <w:spacing w:after="60" w:line="280"/>
              <w:jc w:val="both"/>
            </w:pPr>
            <w:r>
              <w:t xml:space="preserve">Acme Bank's information landscape mapped to the III-RM:</w:t>
            </w:r>
          </w:p>
          <w:p>
            <w:pPr>
              <w:spacing w:after="60" w:line="280"/>
              <w:jc w:val="both"/>
            </w:pPr>
            <w:r>
              <w:t xml:space="preserve">Brokerage Services: Kafka clusters for event streaming between business systems; an Apigee API gateway for synchronous APIs; an Istio service mesh within the digital banking platform; a workflow orchestrator (Temporal) for the new onboarding journey; a CDC platform (Debezium) for keeping the customer data warehouse in sync with operational systems.</w:t>
            </w:r>
          </w:p>
          <w:p>
            <w:pPr>
              <w:spacing w:after="60" w:line="280"/>
              <w:jc w:val="both"/>
            </w:pPr>
            <w:r>
              <w:t xml:space="preserve">Managed Infrastructure: AWS as the strategic cloud platform with eu-west-2 as primary region; Okta for workforce identity; the corporate observability stack on Datadog; the corporate CI/CD platform on GitHub Actions plus internal deployment tooling; the corporate security stack including SIEM (Splunk), secrets management (HashiCorp Vault), and EDR.</w:t>
            </w:r>
          </w:p>
          <w:p>
            <w:pPr>
              <w:spacing w:after="60" w:line="280"/>
              <w:jc w:val="both"/>
            </w:pPr>
            <w:r>
              <w:t xml:space="preserve">Federated Infrastructure: connections to Open Banking providers (third-party fintechs accessing customer data with consent); connections to regulators (FCA reporting, BoE liquidity reporting); the federated identity for customer authentication including social login and government identity (GOV.UK); the multi-region setup spanning eu-west-2, us-east-1 (for US business), and a smaller eu-west-1 (for resilience); the partner integrations with payment networks, credit bureaus, and fraud-screening services.</w:t>
            </w:r>
          </w:p>
          <w:p>
            <w:pPr>
              <w:spacing w:after="60" w:line="280"/>
              <w:jc w:val="both"/>
            </w:pPr>
            <w:r>
              <w:t xml:space="preserve">Each III-RM component is heavily populated; the bank's information landscape is genuinely integrated rather than point-to-point; the resulting architecture is comprehensible by the bank's executives because the III-RM provides the shared vocabulary. This is what the III-RM does in modern practice.</w:t>
            </w:r>
          </w:p>
        </w:tc>
      </w:tr>
    </w:tbl>
    <w:p>
      <w:r>
        <w:br w:type="page"/>
      </w:r>
    </w:p>
    <w:p>
      <w:pPr>
        <w:pStyle w:val="Heading1"/>
        <w:spacing w:after="200" w:before="360"/>
      </w:pPr>
      <w:r>
        <w:rPr>
          <w:b/>
          <w:bCs/>
          <w:color w:val="1F4E78"/>
        </w:rPr>
        <w:t xml:space="preserve">6. Industry Reference Models</w:t>
      </w:r>
    </w:p>
    <w:p>
      <w:pPr>
        <w:spacing w:after="120" w:line="300"/>
        <w:jc w:val="both"/>
      </w:pPr>
      <w:r>
        <w:t xml:space="preserve">Above the III-RM in the Continuum sit the Industry-level reference models — frameworks specific to particular industries that build on the lower levels (TRM and III-RM) but add the vocabulary, capability shape, regulatory regime, and business patterns of one specific vertical. The exam tests recognition of the principal industry reference models by name and by industry.</w:t>
      </w:r>
    </w:p>
    <w:p>
      <w:pPr>
        <w:pStyle w:val="Heading2"/>
        <w:spacing w:after="160" w:before="280"/>
      </w:pPr>
      <w:r>
        <w:rPr>
          <w:b/>
          <w:bCs/>
          <w:color w:val="2E75B6"/>
        </w:rPr>
        <w:t xml:space="preserve">6.1 Why Industry Reference Models Exist</w:t>
      </w:r>
    </w:p>
    <w:p>
      <w:pPr>
        <w:spacing w:after="120" w:line="300"/>
        <w:jc w:val="both"/>
      </w:pPr>
      <w:r>
        <w:t xml:space="preserve">Common Systems-level content (the III-RM) is industry-neutral; it works across banking, healthcare, retail, telecommunications, manufacturing. But every industry has its own vocabulary, its own regulatory regime, its own capability shape, and its own business patterns that are common to all enterprises in that industry but irrelevant to others. Capturing those shared, industry-specific concerns produces Industry-level reference content — typically maintained by industry consortia and adopted across the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Industry Reference Model: </w:t>
            </w:r>
            <w:r>
              <w:t xml:space="preserve">A reference model maintained by an industry consortium that captures shared capabilities, vocabulary, regulatory considerations, and business patterns specific to one industry vertical. Sits at the Industry level of the Enterprise Continuum — more specific than the III-RM at Common Systems, less specific than Organization-Specific architectures. Examples include BIAN (banking), eTOM (telecommunications), HL7 (healthcare), ARTS (retail).</w:t>
            </w:r>
          </w:p>
        </w:tc>
      </w:tr>
    </w:tbl>
    <w:p>
      <w:pPr>
        <w:pStyle w:val="Heading2"/>
        <w:spacing w:after="160" w:before="280"/>
      </w:pPr>
      <w:r>
        <w:rPr>
          <w:b/>
          <w:bCs/>
          <w:color w:val="2E75B6"/>
        </w:rPr>
        <w:t xml:space="preserve">6.2 BIAN — Banking</w:t>
      </w:r>
    </w:p>
    <w:p>
      <w:pPr>
        <w:spacing w:after="120" w:line="300"/>
        <w:jc w:val="both"/>
      </w:pPr>
      <w:r>
        <w:t xml:space="preserve">BIAN is the Banking Industry Architecture Network — a not-for-profit industry consortium founded in 2008 that maintains a comprehensive reference architecture for the banking industry. BIAN's principal artefacts are a Service Landscape (banking capabilities organised hierarchically), a Service Domain catalogue (around 300 service domains, each addressing a specific banking capability), and a set of API specifications mapping the domains to interoperable interfaces.</w:t>
      </w:r>
    </w:p>
    <w:p>
      <w:pPr>
        <w:spacing w:after="120" w:line="300"/>
        <w:jc w:val="both"/>
      </w:pPr>
      <w:r>
        <w:t xml:space="preserve">BIAN is widely adopted across global banking — most major banks reference BIAN in some form, even those that have not formally adopted it. BIAN provides the shared banking vocabulary that allows banks to compare their own capability maps to a recognised industry reference, identify gaps, and align with industry-standard service domain definitions.</w:t>
      </w:r>
    </w:p>
    <w:p>
      <w:pPr>
        <w:pStyle w:val="Heading2"/>
        <w:spacing w:after="160" w:before="280"/>
      </w:pPr>
      <w:r>
        <w:rPr>
          <w:b/>
          <w:bCs/>
          <w:color w:val="2E75B6"/>
        </w:rPr>
        <w:t xml:space="preserve">6.3 eTOM — Telecommunications</w:t>
      </w:r>
    </w:p>
    <w:p>
      <w:pPr>
        <w:spacing w:after="120" w:line="300"/>
        <w:jc w:val="both"/>
      </w:pPr>
      <w:r>
        <w:t xml:space="preserve">eTOM — Enhanced Telecom Operations Map — is the principal telecommunications reference model, maintained by TM Forum (the global association for the digital ecosystem). eTOM is part of the Frameworx suite of reference models, which also includes SID (Information Framework — common information model) and TAM (Application Framework — application architecture).</w:t>
      </w:r>
    </w:p>
    <w:p>
      <w:pPr>
        <w:spacing w:after="120" w:line="300"/>
        <w:jc w:val="both"/>
      </w:pPr>
      <w:r>
        <w:t xml:space="preserve">eTOM provides a hierarchical decomposition of telecommunications business processes, organised into three principal domains: Strategy, Infrastructure &amp; Product (long-term direction); Operations (running services for customers); and Enterprise Management (the supporting business functions). eTOM is widely adopted across telecommunications — most large telcos reference it, and many regulators expect alignment with it.</w:t>
      </w:r>
    </w:p>
    <w:p>
      <w:pPr>
        <w:pStyle w:val="Heading2"/>
        <w:spacing w:after="160" w:before="280"/>
      </w:pPr>
      <w:r>
        <w:rPr>
          <w:b/>
          <w:bCs/>
          <w:color w:val="2E75B6"/>
        </w:rPr>
        <w:t xml:space="preserve">6.4 HL7 — Healthcare</w:t>
      </w:r>
    </w:p>
    <w:p>
      <w:pPr>
        <w:spacing w:after="120" w:line="300"/>
        <w:jc w:val="both"/>
      </w:pPr>
      <w:r>
        <w:t xml:space="preserve">HL7 — Health Level Seven International — is the principal standards body for healthcare interoperability, maintaining a family of standards rather than a single reference architecture. The most prominent current standard is HL7 FHIR (Fast Healthcare Interoperability Resources), which provides a modern API-based standard for exchanging healthcare information.</w:t>
      </w:r>
    </w:p>
    <w:p>
      <w:pPr>
        <w:spacing w:after="120" w:line="300"/>
        <w:jc w:val="both"/>
      </w:pPr>
      <w:r>
        <w:t xml:space="preserve">HL7 standards are adopted across healthcare globally and are mandated by some regulators (notably in the United States under various federal regulations). HL7 differs slightly from BIAN and eTOM in being primarily a set of interoperability standards rather than a comprehensive architectural reference, but it occupies the same Industry-level position in the Enterprise Continuum: industry-specific content that builds on Common Systems-level patterns.</w:t>
      </w:r>
    </w:p>
    <w:p>
      <w:pPr>
        <w:pStyle w:val="Heading2"/>
        <w:spacing w:after="160" w:before="280"/>
      </w:pPr>
      <w:r>
        <w:rPr>
          <w:b/>
          <w:bCs/>
          <w:color w:val="2E75B6"/>
        </w:rPr>
        <w:t xml:space="preserve">6.5 ARTS — Retail</w:t>
      </w:r>
    </w:p>
    <w:p>
      <w:pPr>
        <w:spacing w:after="120" w:line="300"/>
        <w:jc w:val="both"/>
      </w:pPr>
      <w:r>
        <w:t xml:space="preserve">ARTS — Association for Retail Technology Standards — is the retail industry's standards organisation, now operating under The Object Management Group. ARTS maintains data and process standards for retail, including the ARTS Data Model (a standard data model for retail), the Standard Retail Glossary, and various process and integration standards.</w:t>
      </w:r>
    </w:p>
    <w:p>
      <w:pPr>
        <w:spacing w:after="120" w:line="300"/>
        <w:jc w:val="both"/>
      </w:pPr>
      <w:r>
        <w:t xml:space="preserve">ARTS is the principal Industry-level retail reference. It is less prominent in the public imagination than BIAN or eTOM but is widely used within retail technology — particularly in point-of-sale systems, inventory management, and supply-chain integration.</w:t>
      </w:r>
    </w:p>
    <w:p>
      <w:pPr>
        <w:pStyle w:val="Heading2"/>
        <w:spacing w:after="160" w:before="280"/>
      </w:pPr>
      <w:r>
        <w:rPr>
          <w:b/>
          <w:bCs/>
          <w:color w:val="2E75B6"/>
        </w:rPr>
        <w:t xml:space="preserve">6.6 Other Industry Reference Models</w:t>
      </w:r>
    </w:p>
    <w:p>
      <w:pPr>
        <w:spacing w:after="120" w:line="300"/>
        <w:jc w:val="both"/>
      </w:pPr>
      <w:r>
        <w:t xml:space="preserve">Beyond the four exam-named models, several other Industry-level reference models exist:</w:t>
      </w:r>
    </w:p>
    <w:p>
      <w:pPr>
        <w:pStyle w:val="ListParagraph"/>
        <w:numPr>
          <w:ilvl w:val="0"/>
          <w:numId w:val="3"/>
        </w:numPr>
        <w:spacing w:after="80" w:line="280"/>
      </w:pPr>
      <w:r>
        <w:t xml:space="preserve">SCOR — Supply Chain Operations Reference — for manufacturing and logistics.</w:t>
      </w:r>
    </w:p>
    <w:p>
      <w:pPr>
        <w:pStyle w:val="ListParagraph"/>
        <w:numPr>
          <w:ilvl w:val="0"/>
          <w:numId w:val="3"/>
        </w:numPr>
        <w:spacing w:after="80" w:line="280"/>
      </w:pPr>
      <w:r>
        <w:t xml:space="preserve">ACORD — for insurance, providing data standards and interoperability.</w:t>
      </w:r>
    </w:p>
    <w:p>
      <w:pPr>
        <w:pStyle w:val="ListParagraph"/>
        <w:numPr>
          <w:ilvl w:val="0"/>
          <w:numId w:val="3"/>
        </w:numPr>
        <w:spacing w:after="80" w:line="280"/>
      </w:pPr>
      <w:r>
        <w:t xml:space="preserve">FEAF — Federal Enterprise Architecture Framework — for U.S. government.</w:t>
      </w:r>
    </w:p>
    <w:p>
      <w:pPr>
        <w:pStyle w:val="ListParagraph"/>
        <w:numPr>
          <w:ilvl w:val="0"/>
          <w:numId w:val="3"/>
        </w:numPr>
        <w:spacing w:after="80" w:line="280"/>
      </w:pPr>
      <w:r>
        <w:t xml:space="preserve">IEC 62443 — for industrial control systems and operational technology.</w:t>
      </w:r>
    </w:p>
    <w:p>
      <w:pPr>
        <w:pStyle w:val="ListParagraph"/>
        <w:numPr>
          <w:ilvl w:val="0"/>
          <w:numId w:val="3"/>
        </w:numPr>
        <w:spacing w:after="80" w:line="280"/>
      </w:pPr>
      <w:r>
        <w:t xml:space="preserve">AUTOSAR — for automotive software architecture.</w:t>
      </w:r>
    </w:p>
    <w:p>
      <w:pPr>
        <w:spacing w:after="120" w:line="300"/>
        <w:jc w:val="both"/>
      </w:pPr>
      <w:r>
        <w:t xml:space="preserve">Each occupies the Industry level of the Continuum for its respective vertical.</w:t>
      </w:r>
    </w:p>
    <w:p>
      <w:pPr>
        <w:pStyle w:val="Heading2"/>
        <w:spacing w:after="160" w:before="280"/>
      </w:pPr>
      <w:r>
        <w:rPr>
          <w:b/>
          <w:bCs/>
          <w:color w:val="2E75B6"/>
        </w:rPr>
        <w:t xml:space="preserve">6.7 Industry Models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rPr>
          <w:tblHeader/>
        </w:trPr>
        <w:tc>
          <w:tcPr>
            <w:tcW w:type="dxa" w:w="1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Model</w:t>
            </w:r>
          </w:p>
        </w:tc>
        <w:tc>
          <w:tcPr>
            <w:tcW w:type="dxa" w:w="2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Industry</w:t>
            </w:r>
          </w:p>
        </w:tc>
        <w:tc>
          <w:tcPr>
            <w:tcW w:type="dxa" w:w="2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Maintainer</w:t>
            </w:r>
          </w:p>
        </w:tc>
        <w:tc>
          <w:tcPr>
            <w:tcW w:type="dxa" w:w="28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Principal Content</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BIAN</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Banking</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Banking Industry Architecture Network</w:t>
            </w:r>
          </w:p>
        </w:tc>
        <w:tc>
          <w:tcPr>
            <w:tcW w:type="dxa" w:w="2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Service Landscape, Service Domains, API specifications</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eTOM (Frameworx)</w:t>
            </w:r>
          </w:p>
        </w:tc>
        <w:tc>
          <w:tcPr>
            <w:tcW w:type="dxa" w:w="2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Telecommunications</w:t>
            </w:r>
          </w:p>
        </w:tc>
        <w:tc>
          <w:tcPr>
            <w:tcW w:type="dxa" w:w="2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TM Forum</w:t>
            </w:r>
          </w:p>
        </w:tc>
        <w:tc>
          <w:tcPr>
            <w:tcW w:type="dxa" w:w="2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Process framework, Information Framework (SID), Application Framework (TAM)</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HL7 (FHIR)</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Healthcare</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HL7 International</w:t>
            </w:r>
          </w:p>
        </w:tc>
        <w:tc>
          <w:tcPr>
            <w:tcW w:type="dxa" w:w="2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Interoperability standards, FHIR API</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ARTS</w:t>
            </w:r>
          </w:p>
        </w:tc>
        <w:tc>
          <w:tcPr>
            <w:tcW w:type="dxa" w:w="2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Retail</w:t>
            </w:r>
          </w:p>
        </w:tc>
        <w:tc>
          <w:tcPr>
            <w:tcW w:type="dxa" w:w="2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OMG (formerly ARTS)</w:t>
            </w:r>
          </w:p>
        </w:tc>
        <w:tc>
          <w:tcPr>
            <w:tcW w:type="dxa" w:w="2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 model, glossary, integration standards</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SCOR</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Supply chain / Manufacturing</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ASCM</w:t>
            </w:r>
          </w:p>
        </w:tc>
        <w:tc>
          <w:tcPr>
            <w:tcW w:type="dxa" w:w="2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Supply chain process reference</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ACORD</w:t>
            </w:r>
          </w:p>
        </w:tc>
        <w:tc>
          <w:tcPr>
            <w:tcW w:type="dxa" w:w="2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Insurance</w:t>
            </w:r>
          </w:p>
        </w:tc>
        <w:tc>
          <w:tcPr>
            <w:tcW w:type="dxa" w:w="2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ACORD</w:t>
            </w:r>
          </w:p>
        </w:tc>
        <w:tc>
          <w:tcPr>
            <w:tcW w:type="dxa" w:w="2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Insurance data and process standards</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FEAF</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U.S. government</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U.S. Federal CIO Council</w:t>
            </w:r>
          </w:p>
        </w:tc>
        <w:tc>
          <w:tcPr>
            <w:tcW w:type="dxa" w:w="2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Government enterprise architecture framework</w:t>
            </w:r>
          </w:p>
        </w:tc>
      </w:tr>
    </w:tbl>
    <w:p>
      <w:r>
        <w:br w:type="page"/>
      </w:r>
    </w:p>
    <w:p>
      <w:pPr>
        <w:pStyle w:val="Heading1"/>
        <w:spacing w:after="200" w:before="360"/>
      </w:pPr>
      <w:r>
        <w:rPr>
          <w:b/>
          <w:bCs/>
          <w:color w:val="1F4E78"/>
        </w:rPr>
        <w:t xml:space="preserve">7. The Process for Using Reference Models</w:t>
      </w:r>
    </w:p>
    <w:p>
      <w:pPr>
        <w:spacing w:after="120" w:line="300"/>
        <w:jc w:val="both"/>
      </w:pPr>
      <w:r>
        <w:t xml:space="preserve">Reference models are useful only if they are applied. The standard process for using them — at any level of the Continuum — follows the same five steps. Understanding the process is what turns the reference models from museum pieces into operational tools.</w:t>
      </w:r>
    </w:p>
    <w:p>
      <w:pPr>
        <w:pStyle w:val="Heading2"/>
        <w:spacing w:after="160" w:before="280"/>
      </w:pPr>
      <w:r>
        <w:rPr>
          <w:b/>
          <w:bCs/>
          <w:color w:val="2E75B6"/>
        </w:rPr>
        <w:t xml:space="preserve">7.1 The Five-Step Process</w:t>
      </w:r>
    </w:p>
    <w:p>
      <w:pPr>
        <w:pStyle w:val="Heading3"/>
        <w:spacing w:after="120" w:before="220"/>
      </w:pPr>
      <w:r>
        <w:rPr>
          <w:b/>
          <w:bCs/>
          <w:color w:val="404040"/>
        </w:rPr>
        <w:t xml:space="preserve">Step 1: Inventory the Baseline Against the Model</w:t>
      </w:r>
    </w:p>
    <w:p>
      <w:pPr>
        <w:spacing w:after="120" w:line="300"/>
        <w:jc w:val="both"/>
      </w:pPr>
      <w:r>
        <w:t xml:space="preserve">Take the chosen reference model (the TRM if at Foundation, the III-RM if at Common Systems, BIAN/eTOM/HL7/ARTS if at Industry, or — most commonly — a tailored combination of these) and walk through it category by category, asking: "What do we currently have that fills this category?" The output is a structured inventory of the baseline architecture organised by the reference model's categories.</w:t>
      </w:r>
    </w:p>
    <w:p>
      <w:pPr>
        <w:spacing w:after="120" w:line="300"/>
        <w:jc w:val="both"/>
      </w:pPr>
      <w:r>
        <w:t xml:space="preserve">This step often surfaces immediate insights: categories that are entirely empty (we have no real Data Catalogue Service); categories that are heavily duplicated (we have eleven different Data Management Services for different historical reasons); categories that have inconsistent coverage (we have great Identity Management but weak Authorisation enforcement).</w:t>
      </w:r>
    </w:p>
    <w:p>
      <w:pPr>
        <w:pStyle w:val="Heading3"/>
        <w:spacing w:after="120" w:before="220"/>
      </w:pPr>
      <w:r>
        <w:rPr>
          <w:b/>
          <w:bCs/>
          <w:color w:val="404040"/>
        </w:rPr>
        <w:t xml:space="preserve">Step 2: Identify Gaps Against the Target</w:t>
      </w:r>
    </w:p>
    <w:p>
      <w:pPr>
        <w:spacing w:after="120" w:line="300"/>
        <w:jc w:val="both"/>
      </w:pPr>
      <w:r>
        <w:t xml:space="preserve">Compare the inventory against the target architecture (the architecture being designed for the engagement). For each category in the reference model, ask: "What does the target need here that we don't currently have?" The output is a structured gap analysis organised by the reference model's categories — directly compatible with the Gap Analysis technique covered in Module 15.</w:t>
      </w:r>
    </w:p>
    <w:p>
      <w:pPr>
        <w:spacing w:after="120" w:line="300"/>
        <w:jc w:val="both"/>
      </w:pPr>
      <w:r>
        <w:t xml:space="preserve">Gaps fall into the standard three operations: Eliminate (we have something here that the target does not need), Retain (the current state is the target state for this category), New (the target needs something here that we do not currently have).</w:t>
      </w:r>
    </w:p>
    <w:p>
      <w:pPr>
        <w:pStyle w:val="Heading3"/>
        <w:spacing w:after="120" w:before="220"/>
      </w:pPr>
      <w:r>
        <w:rPr>
          <w:b/>
          <w:bCs/>
          <w:color w:val="404040"/>
        </w:rPr>
        <w:t xml:space="preserve">Step 3: Select Products to Fulfil Gaps</w:t>
      </w:r>
    </w:p>
    <w:p>
      <w:pPr>
        <w:spacing w:after="120" w:line="300"/>
        <w:jc w:val="both"/>
      </w:pPr>
      <w:r>
        <w:t xml:space="preserve">For each gap that requires a New entry, evaluate candidate products. This is where the reference model's taxonomic form (Module 16 Section 2) hands off to product selection: the reference model identified the category; product evaluation chooses the specific product that fulfils it. Multiple candidates are typically evaluated against criteria including cost, capability fit, vendor stability, integration with existing platform, alignment with Architecture Principles.</w:t>
      </w:r>
    </w:p>
    <w:p>
      <w:pPr>
        <w:spacing w:after="120" w:line="300"/>
        <w:jc w:val="both"/>
      </w:pPr>
      <w:r>
        <w:t xml:space="preserve">The output is a set of selected products — Solution Building Blocks (Module 9) — for each gap.</w:t>
      </w:r>
    </w:p>
    <w:p>
      <w:pPr>
        <w:pStyle w:val="Heading3"/>
        <w:spacing w:after="120" w:before="220"/>
      </w:pPr>
      <w:r>
        <w:rPr>
          <w:b/>
          <w:bCs/>
          <w:color w:val="404040"/>
        </w:rPr>
        <w:t xml:space="preserve">Step 4: Populate the SIB</w:t>
      </w:r>
    </w:p>
    <w:p>
      <w:pPr>
        <w:spacing w:after="120" w:line="300"/>
        <w:jc w:val="both"/>
      </w:pPr>
      <w:r>
        <w:t xml:space="preserve">Selected products and the standards they imply are entered into the Standards Information Base (Module 11) with their lifecycle states (Mandatory, Recommended, Emerging, Deprecated). Where a product is selected to fulfil a Foundation- or Common-Systems-level category, it typically becomes Mandatory or Recommended in the SIB. Where it fulfils a more specialised need, the lifecycle state may be more nuanced.</w:t>
      </w:r>
    </w:p>
    <w:p>
      <w:pPr>
        <w:spacing w:after="120" w:line="300"/>
        <w:jc w:val="both"/>
      </w:pPr>
      <w:r>
        <w:t xml:space="preserve">This is the step where the reference-model-driven analysis becomes operational governance: the SIB entries are what Compliance Reviews (Module 8) will reference when subsequent projects design their solutions.</w:t>
      </w:r>
    </w:p>
    <w:p>
      <w:pPr>
        <w:pStyle w:val="Heading3"/>
        <w:spacing w:after="120" w:before="220"/>
      </w:pPr>
      <w:r>
        <w:rPr>
          <w:b/>
          <w:bCs/>
          <w:color w:val="404040"/>
        </w:rPr>
        <w:t xml:space="preserve">Step 5: Drive Rationalisation</w:t>
      </w:r>
    </w:p>
    <w:p>
      <w:pPr>
        <w:spacing w:after="120" w:line="300"/>
        <w:jc w:val="both"/>
      </w:pPr>
      <w:r>
        <w:t xml:space="preserve">The inventory step (Step 1) typically surfaces redundancies — multiple products fulfilling the same category. The selected target (Step 3) typically identifies which of these products will continue and which will be retired. Step 5 turns these decisions into a rationalisation programme: a sequence of Work Packages (Module 7) that decommission redundant products, migrate dependents to the target product, and consolidate the platform around the chosen SBBs.</w:t>
      </w:r>
    </w:p>
    <w:p>
      <w:pPr>
        <w:spacing w:after="120" w:line="300"/>
        <w:jc w:val="both"/>
      </w:pPr>
      <w:r>
        <w:t xml:space="preserve">This is often the highest-value outcome of using reference models. The rationalisation programme typically delivers measurable cost savings (fewer licences, fewer operational teams), measurable risk reduction (fewer integration points, less complexity), and measurable agility improvements (consistent platform, easier onboarding of new applications).</w:t>
      </w:r>
    </w:p>
    <w:p>
      <w:pPr>
        <w:pStyle w:val="Heading2"/>
        <w:spacing w:after="160" w:before="280"/>
      </w:pPr>
      <w:r>
        <w:rPr>
          <w:b/>
          <w:bCs/>
          <w:color w:val="2E75B6"/>
        </w:rPr>
        <w:t xml:space="preserve">7.2 The Process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rPr>
          <w:tblHeader/>
        </w:trPr>
        <w:tc>
          <w:tcPr>
            <w:tcW w:type="dxa" w:w="6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Step</w:t>
            </w:r>
          </w:p>
        </w:tc>
        <w:tc>
          <w:tcPr>
            <w:tcW w:type="dxa" w:w="4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Activity</w:t>
            </w:r>
          </w:p>
        </w:tc>
        <w:tc>
          <w:tcPr>
            <w:tcW w:type="dxa" w:w="43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Output</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w:t>
            </w:r>
          </w:p>
        </w:tc>
        <w:tc>
          <w:tcPr>
            <w:tcW w:type="dxa" w:w="4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Inventory baseline against the model</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Structured inventory by category</w:t>
            </w:r>
          </w:p>
        </w:tc>
      </w:tr>
      <w:tr>
        <w:tc>
          <w:tcPr>
            <w:tcW w:type="dxa" w:w="6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w:t>
            </w:r>
          </w:p>
        </w:tc>
        <w:tc>
          <w:tcPr>
            <w:tcW w:type="dxa" w:w="4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Identify gaps against the target</w:t>
            </w:r>
          </w:p>
        </w:tc>
        <w:tc>
          <w:tcPr>
            <w:tcW w:type="dxa" w:w="4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Gap analysis by category — Eliminate / Retain / New</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w:t>
            </w:r>
          </w:p>
        </w:tc>
        <w:tc>
          <w:tcPr>
            <w:tcW w:type="dxa" w:w="4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Select products to fulfil gaps</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SBBs identified for each gap</w:t>
            </w:r>
          </w:p>
        </w:tc>
      </w:tr>
      <w:tr>
        <w:tc>
          <w:tcPr>
            <w:tcW w:type="dxa" w:w="6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4</w:t>
            </w:r>
          </w:p>
        </w:tc>
        <w:tc>
          <w:tcPr>
            <w:tcW w:type="dxa" w:w="4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Populate the SIB</w:t>
            </w:r>
          </w:p>
        </w:tc>
        <w:tc>
          <w:tcPr>
            <w:tcW w:type="dxa" w:w="4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SIB entries with lifecycle states</w:t>
            </w:r>
          </w:p>
        </w:tc>
      </w:tr>
      <w:tr>
        <w:tc>
          <w:tcPr>
            <w:tcW w:type="dxa" w:w="6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5</w:t>
            </w:r>
          </w:p>
        </w:tc>
        <w:tc>
          <w:tcPr>
            <w:tcW w:type="dxa" w:w="4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Drive rationalisation</w:t>
            </w:r>
          </w:p>
        </w:tc>
        <w:tc>
          <w:tcPr>
            <w:tcW w:type="dxa" w:w="4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Work Packages to decommission redundancies and consolidate platform</w:t>
            </w:r>
          </w:p>
        </w:tc>
      </w:tr>
    </w:tbl>
    <w:p>
      <w:pPr>
        <w:pStyle w:val="Heading2"/>
        <w:spacing w:after="160" w:before="280"/>
      </w:pPr>
      <w:r>
        <w:rPr>
          <w:b/>
          <w:bCs/>
          <w:color w:val="2E75B6"/>
        </w:rPr>
        <w:t xml:space="preserve">7.3 The Process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Applying the TRM to Acme Bank's Application Platform</w:t>
            </w:r>
          </w:p>
          <w:p>
            <w:pPr>
              <w:spacing w:after="60" w:line="280"/>
              <w:jc w:val="both"/>
            </w:pPr>
            <w:r>
              <w:t xml:space="preserve">Step 1 (Inventory): Acme walks through the TRM's twelve categories. Findings: Data Management — 47 instances spanning four database technologies (PostgreSQL, Oracle, SQL Server, Sybase). Data Interchange — fragmented (six different integration platforms across business units). User Interface — three principal patterns (web monoliths, modern SPAs, mobile native). Security — strong (consolidated on Okta + Vault) but the legacy estate uses pre-IDP authentication. Software Engineering — partial consolidation on GitHub Actions. Other categories assessed similarly.</w:t>
            </w:r>
          </w:p>
          <w:p>
            <w:pPr>
              <w:spacing w:after="60" w:line="280"/>
              <w:jc w:val="both"/>
            </w:pPr>
            <w:r>
              <w:t xml:space="preserve">Step 2 (Gaps): Target architecture wants: PostgreSQL as strategic Data Management; Kafka and Apigee as strategic Data Interchange; modern SPA stack for new UIs; full Okta coverage for Security; full GitHub Actions adoption for Software Engineering. Gaps: Eliminate Oracle (Migrate, Module 6 example); Eliminate Sybase (Eliminate, Module 6 example); Eliminate five of the six integration platforms; New Kafka (Invest); Retain Okta and grow it; Eliminate Jenkins legacy installations.</w:t>
            </w:r>
          </w:p>
          <w:p>
            <w:pPr>
              <w:spacing w:after="60" w:line="280"/>
              <w:jc w:val="both"/>
            </w:pPr>
            <w:r>
              <w:t xml:space="preserve">Step 3 (Product selection): for each New entry, evaluate. PostgreSQL's case made in ADR-0042 (Module 12 example). Kafka selected after evaluation against Pulsar and AWS Kinesis. Apigee selected after evaluation against Kong. Each selection becomes an SBB.</w:t>
            </w:r>
          </w:p>
          <w:p>
            <w:pPr>
              <w:spacing w:after="60" w:line="280"/>
              <w:jc w:val="both"/>
            </w:pPr>
            <w:r>
              <w:t xml:space="preserve">Step 4 (SIB): TLS 1.3 Mandatory; PostgreSQL Recommended (with Oracle Deprecated, Sybase Deprecated/Eliminate); Kafka Recommended; Apigee Recommended; OpenAPI 3.x Mandatory for APIs; Okta Mandatory for new authentication. Updates to the SIB approved by the Architecture Board.</w:t>
            </w:r>
          </w:p>
          <w:p>
            <w:pPr>
              <w:spacing w:after="60" w:line="280"/>
              <w:jc w:val="both"/>
            </w:pPr>
            <w:r>
              <w:t xml:space="preserve">Step 5 (Rationalisation): work packages to migrate Oracle to PostgreSQL (the £6.2m saving from ADR-0042); decommission five integration platforms in favour of Kafka + Apigee (£3m operational saving); fully retire Sybase (urgent, security-driven); migrate legacy Jenkins to GitHub Actions. Three-year programme delivering £14m in annual savings plus risk reduction.</w:t>
            </w:r>
          </w:p>
          <w:p>
            <w:pPr>
              <w:spacing w:after="60" w:line="280"/>
              <w:jc w:val="both"/>
            </w:pPr>
            <w:r>
              <w:t xml:space="preserve">Five steps, all five executed; the TRM has driven a substantial rationalisation programme that produces measurable enterprise value. This is what reference models do when applied operationally rather than ceremonially.</w:t>
            </w:r>
          </w:p>
        </w:tc>
      </w:tr>
    </w:tbl>
    <w:p>
      <w:r>
        <w:br w:type="page"/>
      </w:r>
    </w:p>
    <w:p>
      <w:pPr>
        <w:pStyle w:val="Heading1"/>
        <w:spacing w:after="200" w:before="360"/>
      </w:pPr>
      <w:r>
        <w:rPr>
          <w:b/>
          <w:bCs/>
          <w:color w:val="1F4E78"/>
        </w:rPr>
        <w:t xml:space="preserve">8. Summary and Review</w:t>
      </w:r>
    </w:p>
    <w:p>
      <w:pPr>
        <w:pStyle w:val="Heading2"/>
        <w:spacing w:after="160" w:before="280"/>
      </w:pPr>
      <w:r>
        <w:rPr>
          <w:b/>
          <w:bCs/>
          <w:color w:val="2E75B6"/>
        </w:rPr>
        <w:t xml:space="preserve">8.1 The Big Picture</w:t>
      </w:r>
    </w:p>
    <w:p>
      <w:pPr>
        <w:spacing w:after="120" w:line="300"/>
        <w:jc w:val="both"/>
      </w:pPr>
      <w:r>
        <w:t xml:space="preserve">Module 16 has covered TOGAF's reference models — the published, structured frameworks at specific levels of the Enterprise Continuum that architects can adopt rather than reinventing from scratch. The TRM is at the Foundation level (universal applicability) and is a taxonomy of platform service categories, not a product catalogue. The III-RM is at the Common Systems level (one step more specific than the TRM, addressing integrated information flow) and has three components: Brokerage Services, Managed Infrastructure, Federated Infrastructure. Industry reference models occupy the Industry level — BIAN for banking, eTOM for telecommunications, HL7 for healthcare, ARTS for retail, plus others. The standard process for using reference models is five steps: inventory baseline → identify gaps → select products → populate SIB → drive rationalisation. Done well, this process drives substantial enterprise value through platform consolidation and architectural coherence.</w:t>
      </w:r>
    </w:p>
    <w:p>
      <w:pPr>
        <w:pStyle w:val="Heading2"/>
        <w:spacing w:after="160" w:before="280"/>
      </w:pPr>
      <w:r>
        <w:rPr>
          <w:b/>
          <w:bCs/>
          <w:color w:val="2E75B6"/>
        </w:rPr>
        <w:t xml:space="preserve">8.2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Takeaway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TRM level</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Foundation (most generic). Universal applicability — every enterprise needs platform services.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TRM nature</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Taxonomy of service categories, NOT a product catalogue. Vendor-neutral. Survives product change.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TRM categories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12 standard: Data Management, Data Interchange, User Interface, System &amp; Network Management, Network, OS, Security, Software Engineering, Transaction Processing, Location &amp; Directory, Internationalisation, Graphics &amp; Imaging.</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III-RM level</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Common Systems (one step more specific than TRM). Built on TRM. Addresses integrated information flow.</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III-RM components — three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Brokerage Services (middleware between producers and consumers), Managed Infrastructure (centrally provided), Federated Infrastructure (distributed but coordinated).</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Industry models — level</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Industry level. More specific than III-RM.</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BIAN</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Banking. Service Landscape, Service Domains, API specs. Banking Industry Architecture Network.</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eTOM (Frameworx)</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Telecommunications. Process framework, SID information model, TAM application framework. TM Forum.</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HL7 (FHIR)</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Healthcare. Interoperability standards. HL7 International.</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ARTS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Retail. Data model, glossary, integration. Now under OMG.</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Other industry models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SCOR (supply chain), ACORD (insurance), FEAF (US government).</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Process — 5 steps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Inventory baseline → Identify gaps → Select products → Populate SIB → Drive rationalisation.</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Inheritance pattern</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TRM → III-RM → Industry models → Organization-Specific. Each level extends and inherits from the level below.</w:t>
            </w:r>
          </w:p>
        </w:tc>
      </w:tr>
    </w:tbl>
    <w:p>
      <w:pPr>
        <w:pStyle w:val="Heading2"/>
        <w:spacing w:after="160" w:before="280"/>
      </w:pPr>
      <w:r>
        <w:rPr>
          <w:b/>
          <w:bCs/>
          <w:color w:val="2E75B6"/>
        </w:rPr>
        <w:t xml:space="preserve">8.3 Self-Test Questions</w:t>
      </w:r>
    </w:p>
    <w:p>
      <w:pPr>
        <w:pStyle w:val="ListParagraph"/>
        <w:numPr>
          <w:ilvl w:val="0"/>
          <w:numId w:val="2"/>
        </w:numPr>
        <w:spacing w:after="80" w:line="280"/>
      </w:pPr>
      <w:r>
        <w:t xml:space="preserve">At which Continuum level does the TRM sit? Why?</w:t>
      </w:r>
    </w:p>
    <w:p>
      <w:pPr>
        <w:pStyle w:val="ListParagraph"/>
        <w:numPr>
          <w:ilvl w:val="0"/>
          <w:numId w:val="2"/>
        </w:numPr>
        <w:spacing w:after="80" w:line="280"/>
      </w:pPr>
      <w:r>
        <w:t xml:space="preserve">Why is the TRM a taxonomy rather than a product catalogue? Why does the distinction matter?</w:t>
      </w:r>
    </w:p>
    <w:p>
      <w:pPr>
        <w:pStyle w:val="ListParagraph"/>
        <w:numPr>
          <w:ilvl w:val="0"/>
          <w:numId w:val="2"/>
        </w:numPr>
        <w:spacing w:after="80" w:line="280"/>
      </w:pPr>
      <w:r>
        <w:t xml:space="preserve">Name eight of the twelve standard TRM service categories.</w:t>
      </w:r>
    </w:p>
    <w:p>
      <w:pPr>
        <w:pStyle w:val="ListParagraph"/>
        <w:numPr>
          <w:ilvl w:val="0"/>
          <w:numId w:val="2"/>
        </w:numPr>
        <w:spacing w:after="80" w:line="280"/>
      </w:pPr>
      <w:r>
        <w:t xml:space="preserve">At which Continuum level does the III-RM sit? How does it relate to the TRM?</w:t>
      </w:r>
    </w:p>
    <w:p>
      <w:pPr>
        <w:pStyle w:val="ListParagraph"/>
        <w:numPr>
          <w:ilvl w:val="0"/>
          <w:numId w:val="2"/>
        </w:numPr>
        <w:spacing w:after="80" w:line="280"/>
      </w:pPr>
      <w:r>
        <w:t xml:space="preserve">Name the three components of the III-RM. Define each in one sentence.</w:t>
      </w:r>
    </w:p>
    <w:p>
      <w:pPr>
        <w:pStyle w:val="ListParagraph"/>
        <w:numPr>
          <w:ilvl w:val="0"/>
          <w:numId w:val="2"/>
        </w:numPr>
        <w:spacing w:after="80" w:line="280"/>
      </w:pPr>
      <w:r>
        <w:t xml:space="preserve">What problem does Brokerage Services solve, and why is it called "brokerage"?</w:t>
      </w:r>
    </w:p>
    <w:p>
      <w:pPr>
        <w:pStyle w:val="ListParagraph"/>
        <w:numPr>
          <w:ilvl w:val="0"/>
          <w:numId w:val="2"/>
        </w:numPr>
        <w:spacing w:after="80" w:line="280"/>
      </w:pPr>
      <w:r>
        <w:t xml:space="preserve">Distinguish Managed Infrastructure from Federated Infrastructure with one example of each.</w:t>
      </w:r>
    </w:p>
    <w:p>
      <w:pPr>
        <w:pStyle w:val="ListParagraph"/>
        <w:numPr>
          <w:ilvl w:val="0"/>
          <w:numId w:val="2"/>
        </w:numPr>
        <w:spacing w:after="80" w:line="280"/>
      </w:pPr>
      <w:r>
        <w:t xml:space="preserve">Name an industry reference model for each of: banking, telecommunications, healthcare, retail.</w:t>
      </w:r>
    </w:p>
    <w:p>
      <w:pPr>
        <w:pStyle w:val="ListParagraph"/>
        <w:numPr>
          <w:ilvl w:val="0"/>
          <w:numId w:val="2"/>
        </w:numPr>
        <w:spacing w:after="80" w:line="280"/>
      </w:pPr>
      <w:r>
        <w:t xml:space="preserve">State the five steps in the standard process for using reference models.</w:t>
      </w:r>
    </w:p>
    <w:p>
      <w:pPr>
        <w:pStyle w:val="ListParagraph"/>
        <w:numPr>
          <w:ilvl w:val="0"/>
          <w:numId w:val="2"/>
        </w:numPr>
        <w:spacing w:after="80" w:line="280"/>
      </w:pPr>
      <w:r>
        <w:t xml:space="preserve">In the rationalisation step, what kind of value does the reference model typically drive?</w:t>
      </w:r>
    </w:p>
    <w:p>
      <w:pPr>
        <w:pStyle w:val="Heading2"/>
        <w:spacing w:after="160" w:before="280"/>
      </w:pPr>
      <w:r>
        <w:rPr>
          <w:b/>
          <w:bCs/>
          <w:color w:val="2E75B6"/>
        </w:rPr>
        <w:t xml:space="preserve">8.4 Closing Note</w:t>
      </w:r>
    </w:p>
    <w:p>
      <w:pPr>
        <w:spacing w:after="120" w:line="300"/>
        <w:jc w:val="both"/>
      </w:pPr>
      <w:r>
        <w:t xml:space="preserve">Module 16 has covered TOGAF's reference models and the Industry-level frameworks that build on them. The next module turns to security and risk architecture — how security is integrated across the four BDAT domains, how risks are identified and managed across the ADM, and how modern security paradigms (zero-trust, supply-chain security, regulatory regimes like DORA) shape architectural decisions. Make sure you can recite the TRM-as-taxonomy distinction, the twelve TRM categories, the three III-RM components, the four named industry models with their industries, and the five-step process from memory before moving on.</w:t>
      </w:r>
    </w:p>
    <w:p>
      <w:pPr>
        <w:spacing w:after="120"/>
      </w:pPr>
      <w:r>
        <w:t xml:space="preserve"/>
      </w:r>
    </w:p>
    <w:p>
      <w:pPr>
        <w:spacing w:before="400"/>
        <w:jc w:val="center"/>
      </w:pPr>
      <w:r>
        <w:rPr>
          <w:i/>
          <w:iCs/>
          <w:color w:val="808080"/>
        </w:rPr>
        <w:t xml:space="preserve">— End of Module 16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16: Reference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16 Study Guide</dc:title>
  <dc:creator>Claude</dc:creator>
  <dc:description>Comprehensive study guide for TRM, III-RM, and Industry Reference Models</dc:description>
  <cp:lastModifiedBy>Un-named</cp:lastModifiedBy>
  <cp:revision>1</cp:revision>
  <dcterms:created xsi:type="dcterms:W3CDTF">2026-05-02T17:06:49.214Z</dcterms:created>
  <dcterms:modified xsi:type="dcterms:W3CDTF">2026-05-02T17:06:49.271Z</dcterms:modified>
</cp:coreProperties>
</file>

<file path=docProps/custom.xml><?xml version="1.0" encoding="utf-8"?>
<Properties xmlns="http://schemas.openxmlformats.org/officeDocument/2006/custom-properties" xmlns:vt="http://schemas.openxmlformats.org/officeDocument/2006/docPropsVTypes"/>
</file>