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7: ADM Phases E &amp; F</w:t>
      </w:r>
    </w:p>
    <w:p>
      <w:pPr>
        <w:spacing w:after="200"/>
        <w:jc w:val="center"/>
      </w:pPr>
      <w:r>
        <w:rPr>
          <w:color w:val="595959"/>
          <w:sz w:val="28"/>
          <w:szCs w:val="28"/>
        </w:rPr>
        <w:t xml:space="preserve">Opportunities &amp; Solutions · Migration Planning</w:t>
      </w:r>
    </w:p>
    <w:p>
      <w:pPr>
        <w:spacing w:after="200"/>
        <w:jc w:val="center"/>
      </w:pPr>
      <w:r>
        <w:rPr>
          <w:color w:val="808080"/>
          <w:sz w:val="22"/>
          <w:szCs w:val="22"/>
        </w:rPr>
        <w:t xml:space="preserve">Transition Architectures · Capability Increments · Work Packages · Roadmap · Migration Plan</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7</w:t>
      </w:r>
    </w:p>
    <w:p>
      <w:pPr>
        <w:spacing w:after="120" w:line="300"/>
        <w:jc w:val="both"/>
      </w:pPr>
      <w:r>
        <w:t xml:space="preserve">Module 6 ended with the Architecture Definition Document complete: baseline architectures described, target architectures designed, gap analyses performed across all four BDAT domains. At that point the architecture is fully specified — but nothing has been built. The bridge between specification and delivery is what Phases E and F provide. Phase E identifies the work, structures it, and creates the initial Roadmap. Phase F finalises the Roadmap and produces the detailed Implementation and Migration Plan that authorises actual building work.</w:t>
      </w:r>
    </w:p>
    <w:p>
      <w:pPr>
        <w:spacing w:after="120" w:line="300"/>
        <w:jc w:val="both"/>
      </w:pPr>
      <w:r>
        <w:t xml:space="preserve">These two phases are sometimes called the Architecture-to-Delivery transition because they are where architecture stops being an exercise in description and becomes an act of commitment. From Phase E onward, decisions cost real money, consume real resources, and create real schedules. The discipline applied in these phases determines whether the months of work in B, C, and D translate into delivered value or remain a beautiful but uncommissioned blueprint.</w:t>
      </w:r>
    </w:p>
    <w:p>
      <w:pPr>
        <w:spacing w:after="120" w:line="300"/>
        <w:jc w:val="both"/>
      </w:pPr>
      <w:r>
        <w:t xml:space="preserve">Three points should be carried forward from earlier modules. First, the gap analyses produced in Phases B, C, and D are the principal input to Phase E — without them, Phase E has nothing concrete to consolidate. Second, Requirements Management at the centre continues to operate, capturing the negotiations and trade-offs that Phases E and F inevitably surface. Third, the architecture levels (Strategic, Segment, Capability) remain operational; Phases E and F may be performed at any level, with the level shaping the granularity of the resulting Roadmap and Migration Plan.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Key Vocabulary Distinctions</w:t>
            </w:r>
          </w:p>
          <w:p>
            <w:pPr>
              <w:spacing w:after="60" w:line="280"/>
              <w:jc w:val="both"/>
            </w:pPr>
            <w:r>
              <w:t xml:space="preserve">This module introduces vocabulary that the exam tests carefully: Transition Architecture, Capability Increment, Work Package, Architecture Roadmap, and Implementation and Migration Plan. The most-tested distinction is the last one: the Architecture Roadmap is NOT the Migration Plan. They are different artefacts, produced at different times, by different phases, for different audiences. Get that distinction wrong and you will lose marks. Get it right and the rest of the module becomes much easier.</w:t>
            </w:r>
          </w:p>
        </w:tc>
      </w:tr>
    </w:tbl>
    <w:p>
      <w:r>
        <w:br w:type="page"/>
      </w:r>
    </w:p>
    <w:p>
      <w:pPr>
        <w:pStyle w:val="Heading1"/>
        <w:spacing w:after="200" w:before="360"/>
      </w:pPr>
      <w:r>
        <w:rPr>
          <w:b/>
          <w:bCs/>
          <w:color w:val="1F4E78"/>
        </w:rPr>
        <w:t xml:space="preserve">1. Phase E — Opportunities and Solutions: Identifies and Creates</w:t>
      </w:r>
    </w:p>
    <w:p>
      <w:pPr>
        <w:spacing w:after="120" w:line="300"/>
        <w:jc w:val="both"/>
      </w:pPr>
      <w:r>
        <w:t xml:space="preserve">Phase E is the pivot point of the ADM. Up to this point the work has been descriptive: what is the business architecture, what are the data and applications, what is the technology platform. From Phase E onward, the work becomes prescriptive: what shall we actually do, in what order, to move from baseline to target. Phase E identifies the opportunities revealed by the gap analyses, structures them into work, and creates the initial Architecture Roadmap that frames everything that follows.</w:t>
      </w:r>
    </w:p>
    <w:p>
      <w:pPr>
        <w:pStyle w:val="Heading2"/>
        <w:spacing w:after="160" w:before="280"/>
      </w:pPr>
      <w:r>
        <w:rPr>
          <w:b/>
          <w:bCs/>
          <w:color w:val="2E75B6"/>
        </w:rPr>
        <w:t xml:space="preserve">1.1 The Defining Verb: Identify and Create</w:t>
      </w:r>
    </w:p>
    <w:p>
      <w:pPr>
        <w:spacing w:after="120" w:line="300"/>
        <w:jc w:val="both"/>
      </w:pPr>
      <w:r>
        <w:t xml:space="preserve">The exam-relevant phrasing is precise. Phase E identifies and creates the initial Architecture Roadmap. Phase F, by contrast, finalises it. The two verbs — identify/create vs finalise — encode the division of labour between the two phases.</w:t>
      </w:r>
    </w:p>
    <w:p>
      <w:pPr>
        <w:pStyle w:val="ListParagraph"/>
        <w:numPr>
          <w:ilvl w:val="0"/>
          <w:numId w:val="2"/>
        </w:numPr>
        <w:spacing w:after="80" w:line="280"/>
      </w:pPr>
      <w:r>
        <w:t xml:space="preserve">Identify means: read the gap analyses from B, C, and D; consolidate them; group related gaps; surface candidate work packages.</w:t>
      </w:r>
    </w:p>
    <w:p>
      <w:pPr>
        <w:pStyle w:val="ListParagraph"/>
        <w:numPr>
          <w:ilvl w:val="0"/>
          <w:numId w:val="2"/>
        </w:numPr>
        <w:spacing w:after="80" w:line="280"/>
      </w:pPr>
      <w:r>
        <w:t xml:space="preserve">Create means: assemble the work packages into Transition Architectures; sequence them at a high level; produce the first draft of the Architecture Roadmap as a strategic artefact.</w:t>
      </w:r>
    </w:p>
    <w:p>
      <w:pPr>
        <w:spacing w:after="120" w:line="300"/>
        <w:jc w:val="both"/>
      </w:pPr>
      <w:r>
        <w:t xml:space="preserve">What Phase E does NOT do: schedule work to specific weeks; assign specific resources; produce detailed business cases per work package; or commit funding. All of those are Phase F activities. Phase E produces the strategic shape; Phase F turns the strategic shape into a deliverable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Phase E (Opportunities and Solutions): </w:t>
            </w:r>
            <w:r>
              <w:t xml:space="preserve">The ADM phase that identifies and creates the initial Architecture Roadmap. It consolidates the gap analyses from Phases B, C, and D, structures the gaps into work packages and Transition Architectures, and produces the first draft of the Roadmap. It is the strategic-shape phase; Phase F is the detailed-planning phase.</w:t>
            </w:r>
          </w:p>
        </w:tc>
      </w:tr>
    </w:tbl>
    <w:p>
      <w:pPr>
        <w:pStyle w:val="Heading2"/>
        <w:spacing w:after="160" w:before="280"/>
      </w:pPr>
      <w:r>
        <w:rPr>
          <w:b/>
          <w:bCs/>
          <w:color w:val="2E75B6"/>
        </w:rPr>
        <w:t xml:space="preserve">1.2 Phase E Activities</w:t>
      </w:r>
    </w:p>
    <w:p>
      <w:pPr>
        <w:pStyle w:val="Heading3"/>
        <w:spacing w:after="120" w:before="220"/>
      </w:pPr>
      <w:r>
        <w:rPr>
          <w:b/>
          <w:bCs/>
          <w:color w:val="404040"/>
        </w:rPr>
        <w:t xml:space="preserve">Activity 1: Consolidate the Gap Analyses</w:t>
      </w:r>
    </w:p>
    <w:p>
      <w:pPr>
        <w:spacing w:after="120" w:line="300"/>
        <w:jc w:val="both"/>
      </w:pPr>
      <w:r>
        <w:t xml:space="preserve">The first task in Phase E is to take the gap analyses produced in Phase B (Business gaps), Phase C-Data (Data gaps), Phase C-Application (Application gaps including 6-Rs dispositions), and Phase D (Technology gaps including TIME classifications) and consolidate them. Most gaps will not stand alone — they cluster naturally. A new business capability requires data structures, applications to manipulate the data, and platforms to host the applications. Consolidation is the work of recognising those clusters and treating them as units.</w:t>
      </w:r>
    </w:p>
    <w:p>
      <w:pPr>
        <w:pStyle w:val="Heading3"/>
        <w:spacing w:after="120" w:before="220"/>
      </w:pPr>
      <w:r>
        <w:rPr>
          <w:b/>
          <w:bCs/>
          <w:color w:val="404040"/>
        </w:rPr>
        <w:t xml:space="preserve">Activity 2: Form Work Packages</w:t>
      </w:r>
    </w:p>
    <w:p>
      <w:pPr>
        <w:spacing w:after="120" w:line="300"/>
        <w:jc w:val="both"/>
      </w:pPr>
      <w:r>
        <w:t xml:space="preserve">From the consolidated gaps, the team forms Work Packages — bounded units of implementation work, each large enough to deliver something meaningful but small enough to be planned, estimated, and governed. Work Packages are covered in Section 5 of this module.</w:t>
      </w:r>
    </w:p>
    <w:p>
      <w:pPr>
        <w:pStyle w:val="Heading3"/>
        <w:spacing w:after="120" w:before="220"/>
      </w:pPr>
      <w:r>
        <w:rPr>
          <w:b/>
          <w:bCs/>
          <w:color w:val="404040"/>
        </w:rPr>
        <w:t xml:space="preserve">Activity 3: Identify Transition Architectures</w:t>
      </w:r>
    </w:p>
    <w:p>
      <w:pPr>
        <w:spacing w:after="120" w:line="300"/>
        <w:jc w:val="both"/>
      </w:pPr>
      <w:r>
        <w:t xml:space="preserve">Few transformations can move from baseline to ultimate target in a single step. Phase E identifies the intermediate states — Transition Architectures — through which the journey will pass. Transition Architectures are covered in Section 2.</w:t>
      </w:r>
    </w:p>
    <w:p>
      <w:pPr>
        <w:pStyle w:val="Heading3"/>
        <w:spacing w:after="120" w:before="220"/>
      </w:pPr>
      <w:r>
        <w:rPr>
          <w:b/>
          <w:bCs/>
          <w:color w:val="404040"/>
        </w:rPr>
        <w:t xml:space="preserve">Activity 4: Define Capability Increments</w:t>
      </w:r>
    </w:p>
    <w:p>
      <w:pPr>
        <w:spacing w:after="120" w:line="300"/>
        <w:jc w:val="both"/>
      </w:pPr>
      <w:r>
        <w:t xml:space="preserve">For each Transition Architecture, Phase E defines what business capability improvement is delivered — the Capability Increment. This anchors each transition to a specific, measurable business outcome. Capability Increments are covered in Section 4.</w:t>
      </w:r>
    </w:p>
    <w:p>
      <w:pPr>
        <w:pStyle w:val="Heading3"/>
        <w:spacing w:after="120" w:before="220"/>
      </w:pPr>
      <w:r>
        <w:rPr>
          <w:b/>
          <w:bCs/>
          <w:color w:val="404040"/>
        </w:rPr>
        <w:t xml:space="preserve">Activity 5: Assess Implementation Constraints</w:t>
      </w:r>
    </w:p>
    <w:p>
      <w:pPr>
        <w:spacing w:after="120" w:line="300"/>
        <w:jc w:val="both"/>
      </w:pPr>
      <w:r>
        <w:t xml:space="preserve">Phase E surfaces the constraints that will shape Phase F: budget envelopes, available resources, dependencies on initiatives outside this engagement, regulatory deadlines, vendor contract cycles, business cycle considerations (e.g., year-end change freezes). These constraints do not determine the answer at Phase E, but they shape the realistic options.</w:t>
      </w:r>
    </w:p>
    <w:p>
      <w:pPr>
        <w:pStyle w:val="Heading3"/>
        <w:spacing w:after="120" w:before="220"/>
      </w:pPr>
      <w:r>
        <w:rPr>
          <w:b/>
          <w:bCs/>
          <w:color w:val="404040"/>
        </w:rPr>
        <w:t xml:space="preserve">Activity 6: Produce the Initial Architecture Roadmap</w:t>
      </w:r>
    </w:p>
    <w:p>
      <w:pPr>
        <w:spacing w:after="120" w:line="300"/>
        <w:jc w:val="both"/>
      </w:pPr>
      <w:r>
        <w:t xml:space="preserve">All of the above is consolidated into the first draft of the Architecture Roadmap — the strategic artefact that names the work packages, sequences them through Transition Architectures, and shows the journey from baseline to target. This is the principal output of Phase E.</w:t>
      </w:r>
    </w:p>
    <w:p>
      <w:pPr>
        <w:pStyle w:val="Heading2"/>
        <w:spacing w:after="160" w:before="280"/>
      </w:pPr>
      <w:r>
        <w:rPr>
          <w:b/>
          <w:bCs/>
          <w:color w:val="2E75B6"/>
        </w:rPr>
        <w:t xml:space="preserve">1.3 Phase E Outputs</w:t>
      </w:r>
    </w:p>
    <w:p>
      <w:pPr>
        <w:pStyle w:val="ListParagraph"/>
        <w:numPr>
          <w:ilvl w:val="0"/>
          <w:numId w:val="2"/>
        </w:numPr>
        <w:spacing w:after="80" w:line="280"/>
      </w:pPr>
      <w:r>
        <w:t xml:space="preserve">Consolidated gap list — combining B, C, and D gap analyses into a single structured set.</w:t>
      </w:r>
    </w:p>
    <w:p>
      <w:pPr>
        <w:pStyle w:val="ListParagraph"/>
        <w:numPr>
          <w:ilvl w:val="0"/>
          <w:numId w:val="2"/>
        </w:numPr>
        <w:spacing w:after="80" w:line="280"/>
      </w:pPr>
      <w:r>
        <w:t xml:space="preserve">Work Package list — bounded units of implementation work, each linked to one or more gaps.</w:t>
      </w:r>
    </w:p>
    <w:p>
      <w:pPr>
        <w:pStyle w:val="ListParagraph"/>
        <w:numPr>
          <w:ilvl w:val="0"/>
          <w:numId w:val="2"/>
        </w:numPr>
        <w:spacing w:after="80" w:line="280"/>
      </w:pPr>
      <w:r>
        <w:t xml:space="preserve">Transition Architectures — intermediate stable states, each associated with a Capability Increment.</w:t>
      </w:r>
    </w:p>
    <w:p>
      <w:pPr>
        <w:pStyle w:val="ListParagraph"/>
        <w:numPr>
          <w:ilvl w:val="0"/>
          <w:numId w:val="2"/>
        </w:numPr>
        <w:spacing w:after="80" w:line="280"/>
      </w:pPr>
      <w:r>
        <w:t xml:space="preserve">Initial Architecture Roadmap — the sequenced, strategic view of the work.</w:t>
      </w:r>
    </w:p>
    <w:p>
      <w:pPr>
        <w:pStyle w:val="ListParagraph"/>
        <w:numPr>
          <w:ilvl w:val="0"/>
          <w:numId w:val="2"/>
        </w:numPr>
        <w:spacing w:after="80" w:line="280"/>
      </w:pPr>
      <w:r>
        <w:t xml:space="preserve">Implementation and Migration Strategy — the high-level approach to delivery (e.g., "big-bang" vs "incremental", in-house vs outsourced, sequence of business units).</w:t>
      </w:r>
    </w:p>
    <w:p>
      <w:pPr>
        <w:pStyle w:val="ListParagraph"/>
        <w:numPr>
          <w:ilvl w:val="0"/>
          <w:numId w:val="2"/>
        </w:numPr>
        <w:spacing w:after="80" w:line="280"/>
      </w:pPr>
      <w:r>
        <w:t xml:space="preserve">Updated Architecture Definition Document with Phase E sections.</w:t>
      </w:r>
    </w:p>
    <w:p>
      <w:pPr>
        <w:pStyle w:val="ListParagraph"/>
        <w:numPr>
          <w:ilvl w:val="0"/>
          <w:numId w:val="2"/>
        </w:numPr>
        <w:spacing w:after="80" w:line="280"/>
      </w:pPr>
      <w:r>
        <w:t xml:space="preserve">Updated Architecture Requirements Specification with refined and prioritised requirements.</w:t>
      </w:r>
    </w:p>
    <w:p>
      <w:pPr>
        <w:pStyle w:val="ListParagraph"/>
        <w:numPr>
          <w:ilvl w:val="0"/>
          <w:numId w:val="2"/>
        </w:numPr>
        <w:spacing w:after="80" w:line="280"/>
      </w:pPr>
      <w:r>
        <w:t xml:space="preserve">Identified risks, dependencies, and constraints that will shape Phase F.</w:t>
      </w:r>
    </w:p>
    <w:p>
      <w:r>
        <w:br w:type="page"/>
      </w:r>
    </w:p>
    <w:p>
      <w:pPr>
        <w:pStyle w:val="Heading1"/>
        <w:spacing w:after="200" w:before="360"/>
      </w:pPr>
      <w:r>
        <w:rPr>
          <w:b/>
          <w:bCs/>
          <w:color w:val="1F4E78"/>
        </w:rPr>
        <w:t xml:space="preserve">2. Transition Architectures</w:t>
      </w:r>
    </w:p>
    <w:p>
      <w:pPr>
        <w:spacing w:after="120" w:line="300"/>
        <w:jc w:val="both"/>
      </w:pPr>
      <w:r>
        <w:t xml:space="preserve">A Transition Architecture is one of TOGAF's most useful and most exam-tested concepts. It is the means by which long-running transformations are broken into deliverable steps, each of which is itself a coherent architecture state, each of which delivers value, each of which the enterprise could remain in indefinitely if the programme were paused.</w:t>
      </w:r>
    </w:p>
    <w:p>
      <w:pPr>
        <w:pStyle w:val="Heading2"/>
        <w:spacing w:after="160" w:before="280"/>
      </w:pPr>
      <w:r>
        <w:rPr>
          <w:b/>
          <w:bCs/>
          <w:color w:val="2E75B6"/>
        </w:rPr>
        <w:t xml:space="preserve">2.1 The Four-Word Definition</w:t>
      </w:r>
    </w:p>
    <w:p>
      <w:pPr>
        <w:spacing w:after="120" w:line="300"/>
        <w:jc w:val="both"/>
      </w:pPr>
      <w:r>
        <w:t xml:space="preserve">A Transition Architecture must be four things simultaneously: intermediate, stable, valuable, and achievable. Drop any one of these and it is not a Transition Architecture — it is something else, less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Transition Architecture: </w:t>
            </w:r>
            <w:r>
              <w:t xml:space="preserve">An intermediate, stable, valuable, achievable architecture state between the baseline and the ultimate target. Each Transition Architecture delivers a defined Capability Increment, can stand on its own if the programme were paused, and represents a meaningful business outcome — not just a technical milestone.</w:t>
            </w:r>
          </w:p>
        </w:tc>
      </w:tr>
    </w:tbl>
    <w:p>
      <w:pPr>
        <w:pStyle w:val="Heading2"/>
        <w:spacing w:after="160" w:before="280"/>
      </w:pPr>
      <w:r>
        <w:rPr>
          <w:b/>
          <w:bCs/>
          <w:color w:val="2E75B6"/>
        </w:rPr>
        <w:t xml:space="preserve">2.2 The Four Required Properties</w:t>
      </w:r>
    </w:p>
    <w:p>
      <w:pPr>
        <w:pStyle w:val="Heading3"/>
        <w:spacing w:after="120" w:before="220"/>
      </w:pPr>
      <w:r>
        <w:rPr>
          <w:b/>
          <w:bCs/>
          <w:color w:val="404040"/>
        </w:rPr>
        <w:t xml:space="preserve">Property 1: Intermediate</w:t>
      </w:r>
    </w:p>
    <w:p>
      <w:pPr>
        <w:spacing w:after="120" w:line="300"/>
        <w:jc w:val="both"/>
      </w:pPr>
      <w:r>
        <w:t xml:space="preserve">A Transition Architecture sits between the baseline and the ultimate target. It is not the start; it is not the end. Most realistic transformations require two to four Transition Architectures, although very large ones may have more. "Big-bang" transformations — single jumps from baseline to target — are usually feasible only for small engagements; for large ones they are impractical and risky, which is why TOGAF explicitly encourages decomposition into transitions.</w:t>
      </w:r>
    </w:p>
    <w:p>
      <w:pPr>
        <w:pStyle w:val="Heading3"/>
        <w:spacing w:after="120" w:before="220"/>
      </w:pPr>
      <w:r>
        <w:rPr>
          <w:b/>
          <w:bCs/>
          <w:color w:val="404040"/>
        </w:rPr>
        <w:t xml:space="preserve">Property 2: Stable</w:t>
      </w:r>
    </w:p>
    <w:p>
      <w:pPr>
        <w:spacing w:after="120" w:line="300"/>
        <w:jc w:val="both"/>
      </w:pPr>
      <w:r>
        <w:t xml:space="preserve">A Transition Architecture must be a coherent, self-consistent state that the enterprise can operate in. The architecture's elements must work together; the integrations must be complete; the dependencies must be satisfied. A state where, for example, "the new CRM is live but the data migration from the old one is half-done" is not a Transition Architecture — it is an in-flight migration, and it is dangerous to call it stable.</w:t>
      </w:r>
    </w:p>
    <w:p>
      <w:pPr>
        <w:spacing w:after="120" w:line="300"/>
        <w:jc w:val="both"/>
      </w:pPr>
      <w:r>
        <w:t xml:space="preserve">The test of stability: if the programme were paused at this transition for a year, could the enterprise function? If yes, the transition is stable. If no, it is a snapshot of work-in-progress, not a transition.</w:t>
      </w:r>
    </w:p>
    <w:p>
      <w:pPr>
        <w:pStyle w:val="Heading3"/>
        <w:spacing w:after="120" w:before="220"/>
      </w:pPr>
      <w:r>
        <w:rPr>
          <w:b/>
          <w:bCs/>
          <w:color w:val="404040"/>
        </w:rPr>
        <w:t xml:space="preserve">Property 3: Valuable</w:t>
      </w:r>
    </w:p>
    <w:p>
      <w:pPr>
        <w:spacing w:after="120" w:line="300"/>
        <w:jc w:val="both"/>
      </w:pPr>
      <w:r>
        <w:t xml:space="preserve">Each Transition Architecture must deliver standalone business value — value sufficient to justify the investment to reach it. This is the property that the syllabus flags most strongly: each TA must justify itself. The reason is simple: programmes get cancelled, defunded, or paused. If the only value delivered comes at the very end, all earlier investment is wasted when something goes wrong. If value is delivered at each transition, even a curtailed programme delivers some return.</w:t>
      </w:r>
    </w:p>
    <w:p>
      <w:pPr>
        <w:spacing w:after="120" w:line="300"/>
        <w:jc w:val="both"/>
      </w:pPr>
      <w:r>
        <w:t xml:space="preserve">Standalone business value typically means: a measurable improvement in a capability; a cost reduction realised; a risk meaningfully reduced; a regulatory deadline met; a customer outcome improved. "Technical refactoring complete" is not, on its own, business value — although it may enable later transitions to deliver value, the technical step itself does not justify the investment.</w:t>
      </w:r>
    </w:p>
    <w:p>
      <w:pPr>
        <w:pStyle w:val="Heading3"/>
        <w:spacing w:after="120" w:before="220"/>
      </w:pPr>
      <w:r>
        <w:rPr>
          <w:b/>
          <w:bCs/>
          <w:color w:val="404040"/>
        </w:rPr>
        <w:t xml:space="preserve">Property 4: Achievable</w:t>
      </w:r>
    </w:p>
    <w:p>
      <w:pPr>
        <w:spacing w:after="120" w:line="300"/>
        <w:jc w:val="both"/>
      </w:pPr>
      <w:r>
        <w:t xml:space="preserve">Each Transition Architecture must be reachable within the constraints — budget, time, available skills, organisational change capacity, dependency on external parties. An ambitious target architecture is meaningless if no Transition Architecture leading to it is achievable; the architect must close that gap by either lowering ambition, securing more resources, or extending the timeline.</w:t>
      </w:r>
    </w:p>
    <w:p>
      <w:pPr>
        <w:spacing w:after="120" w:line="300"/>
        <w:jc w:val="both"/>
      </w:pPr>
      <w:r>
        <w:t xml:space="preserve">Achievability is assessed through estimation, dependency analysis, risk assessment, and constraint validation. A Transition Architecture that ignores known constraints — "this requires a hiring round of 80 cloud engineers in the next quarter" when the market does not allow that — is not achievable, even if it would be valuable if it could be reached.</w:t>
      </w:r>
    </w:p>
    <w:p>
      <w:pPr>
        <w:pStyle w:val="Heading2"/>
        <w:spacing w:after="160" w:before="280"/>
      </w:pPr>
      <w:r>
        <w:rPr>
          <w:b/>
          <w:bCs/>
          <w:color w:val="2E75B6"/>
        </w:rPr>
        <w:t xml:space="preserve">2.3 The Four Properties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Property</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Test</w:t>
            </w:r>
          </w:p>
        </w:tc>
        <w:tc>
          <w:tcPr>
            <w:tcW w:type="dxa" w:w="3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Failure Mode If Missing</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Intermediate</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Does this sit between baseline and ultimate target?</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Either it's the baseline (no progress) or the target (single big-bang jump, too risky)</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Stable</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Could the enterprise pause here for a year and still operate?</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It's a snapshot of work-in-progress; pausing would leave half-finished migrations that break the enterprise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Valuable</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Does it deliver standalone business value sufficient to justify reaching it?</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Investment in this transition delivers nothing of its own; if the programme is curtailed, the spend is wasted</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Achievable</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Can it be reached within budget, time, and capacity constraints?</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It's a wish, not a transition; planning against it produces commitments that cannot be met</w:t>
            </w:r>
          </w:p>
        </w:tc>
      </w:tr>
    </w:tbl>
    <w:p>
      <w:pPr>
        <w:pStyle w:val="Heading2"/>
        <w:spacing w:after="160" w:before="280"/>
      </w:pPr>
      <w:r>
        <w:rPr>
          <w:b/>
          <w:bCs/>
          <w:color w:val="2E75B6"/>
        </w:rPr>
        <w:t xml:space="preserve">2.4 Transition Architectures vs Architectural Phases — A Common Confusion</w:t>
      </w:r>
    </w:p>
    <w:p>
      <w:pPr>
        <w:spacing w:after="120" w:line="300"/>
        <w:jc w:val="both"/>
      </w:pPr>
      <w:r>
        <w:t xml:space="preserve">Newcomers sometimes confuse Transition Architectures with the four BDAT architectures (Business, Data, Application, Technology). The two concepts are orthogonal:</w:t>
      </w:r>
    </w:p>
    <w:p>
      <w:pPr>
        <w:pStyle w:val="ListParagraph"/>
        <w:numPr>
          <w:ilvl w:val="0"/>
          <w:numId w:val="2"/>
        </w:numPr>
        <w:spacing w:after="80" w:line="280"/>
      </w:pPr>
      <w:r>
        <w:t xml:space="preserve">BDAT architectures are domains — slices of architecture by subject matter.</w:t>
      </w:r>
    </w:p>
    <w:p>
      <w:pPr>
        <w:pStyle w:val="ListParagraph"/>
        <w:numPr>
          <w:ilvl w:val="0"/>
          <w:numId w:val="2"/>
        </w:numPr>
        <w:spacing w:after="80" w:line="280"/>
      </w:pPr>
      <w:r>
        <w:t xml:space="preserve">Transition Architectures are time-based intermediate states — slices of architecture by when they exist.</w:t>
      </w:r>
    </w:p>
    <w:p>
      <w:pPr>
        <w:spacing w:after="120" w:line="300"/>
        <w:jc w:val="both"/>
      </w:pPr>
      <w:r>
        <w:t xml:space="preserve">Every Transition Architecture has a Business Architecture, a Data Architecture, an Application Architecture, and a Technology Architecture. Each transition therefore describes the state of all four BDAT domains at that intermediate point. The transitions are not a fifth domain — they are time-slices through the same four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Worked Example — Transition Architectures for Digital Onboarding</w:t>
            </w:r>
          </w:p>
          <w:p>
            <w:pPr>
              <w:spacing w:after="60" w:line="280"/>
              <w:jc w:val="both"/>
            </w:pPr>
            <w:r>
              <w:t xml:space="preserve">Baseline (now): paper-led onboarding, 18 minutes, 67% abandonment, three legacy systems.</w:t>
            </w:r>
          </w:p>
          <w:p>
            <w:pPr>
              <w:spacing w:after="60" w:line="280"/>
              <w:jc w:val="both"/>
            </w:pPr>
            <w:r>
              <w:t xml:space="preserve">Transition Architecture 1 (12 months): Identity verification capability modernised. Single new identity service in production, integrated with existing CRM. Onboarding moved partly online; abandonment falls to 50%; £4m annual saving begins. STABLE: enterprise can run here indefinitely. VALUABLE: £4m + abandonment improvement justifies the investment. ACHIEVABLE: identity work is well-scoped within budget. INTERMEDIATE: still uses two legacy systems on the back-end.</w:t>
            </w:r>
          </w:p>
          <w:p>
            <w:pPr>
              <w:spacing w:after="60" w:line="280"/>
              <w:jc w:val="both"/>
            </w:pPr>
            <w:r>
              <w:t xml:space="preserve">Transition Architecture 2 (24 months): Onboarding orchestrator added, end-to-end mobile journey live. Two of three legacy systems retired. Abandonment at 35%; full £8m saving realised. STABLE: enterprise operates here without further programme dependency. VALUABLE: target savings realised. ACHIEVABLE: builds on TA1 foundations. INTERMEDIATE: one legacy system still in use, scheduled for retirement in TA3.</w:t>
            </w:r>
          </w:p>
          <w:p>
            <w:pPr>
              <w:spacing w:after="60" w:line="280"/>
              <w:jc w:val="both"/>
            </w:pPr>
            <w:r>
              <w:t xml:space="preserve">Transition Architecture 3 = Target Architecture (30 months): Final legacy system retired. Full target architecture realised. The third TA is also the ultimate target.</w:t>
            </w:r>
          </w:p>
          <w:p>
            <w:pPr>
              <w:spacing w:after="60" w:line="280"/>
              <w:jc w:val="both"/>
            </w:pPr>
            <w:r>
              <w:t xml:space="preserve">Each TA has a Business Architecture (capability state), Data Architecture (entity state, MDM state), Application Architecture (portfolio state, 6-Rs progress), and Technology Architecture (platform state, TIME progress). The four BDAT domains are described at each TA point.</w:t>
            </w:r>
          </w:p>
          <w:p>
            <w:pPr>
              <w:spacing w:after="60" w:line="280"/>
              <w:jc w:val="both"/>
            </w:pPr>
            <w:r>
              <w:t xml:space="preserve">Each TA delivers standalone value: TA1 alone delivers £4m and a meaningful customer outcome. If the programme were cancelled after TA1, the £4m is realised, the abandonment improvement is sustained, and the enterprise has a defensible architecture state to operate from. This is what "justify itself" means in practice.</w:t>
            </w:r>
          </w:p>
        </w:tc>
      </w:tr>
    </w:tbl>
    <w:p>
      <w:r>
        <w:br w:type="page"/>
      </w:r>
    </w:p>
    <w:p>
      <w:pPr>
        <w:pStyle w:val="Heading1"/>
        <w:spacing w:after="200" w:before="360"/>
      </w:pPr>
      <w:r>
        <w:rPr>
          <w:b/>
          <w:bCs/>
          <w:color w:val="1F4E78"/>
        </w:rPr>
        <w:t xml:space="preserve">3. Each Transition Architecture Must Deliver Standalone Value</w:t>
      </w:r>
    </w:p>
    <w:p>
      <w:pPr>
        <w:spacing w:after="120" w:line="300"/>
        <w:jc w:val="both"/>
      </w:pPr>
      <w:r>
        <w:t xml:space="preserve">This is the property that the syllabus flags most strongly, and it deserves a section of its own. The rule is simple: every Transition Architecture must justify itself. The reasoning is hard-won industry experience and a regular subject of exam questions.</w:t>
      </w:r>
    </w:p>
    <w:p>
      <w:pPr>
        <w:pStyle w:val="Heading2"/>
        <w:spacing w:after="160" w:before="280"/>
      </w:pPr>
      <w:r>
        <w:rPr>
          <w:b/>
          <w:bCs/>
          <w:color w:val="2E75B6"/>
        </w:rPr>
        <w:t xml:space="preserve">3.1 Why Standalone Value Matters</w:t>
      </w:r>
    </w:p>
    <w:p>
      <w:pPr>
        <w:spacing w:after="120" w:line="300"/>
        <w:jc w:val="both"/>
      </w:pPr>
      <w:r>
        <w:t xml:space="preserve">Long-running transformation programmes have a high failure rate. Industry studies repeatedly show that 30–50% of large IT programmes either fail outright, are substantially descoped, or deliver materially less than promised. The reasons are well-known: strategic priorities shift, sponsors leave, budgets get cut, market conditions change, regulatory deadlines force pivots. None of these are unusual; all of them happen routinely.</w:t>
      </w:r>
    </w:p>
    <w:p>
      <w:pPr>
        <w:spacing w:after="120" w:line="300"/>
        <w:jc w:val="both"/>
      </w:pPr>
      <w:r>
        <w:t xml:space="preserve">The architecture practice cannot prevent these external events. What it can do is design the journey so that every intermediate point is itself a successful state. If each Transition Architecture delivers standalone value, then a programme that gets cut short still delivers something. If only the ultimate target is valuable and the transitions are merely waypoints, then a curtailed programme delivers nothing — the entire investment is wasted. The standalone-value principle is the architectural insurance policy against the inevitable disruptions of multi-year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Standalone Value Principle: </w:t>
            </w:r>
            <w:r>
              <w:t xml:space="preserve">Each Transition Architecture must deliver business value sufficient to justify the investment required to reach it, independent of whether subsequent transitions are ever delivered. This protects the enterprise from total loss when programmes are curtailed, defunded, or paused — which they routinely are.</w:t>
            </w:r>
          </w:p>
        </w:tc>
      </w:tr>
    </w:tbl>
    <w:p>
      <w:pPr>
        <w:pStyle w:val="Heading2"/>
        <w:spacing w:after="160" w:before="280"/>
      </w:pPr>
      <w:r>
        <w:rPr>
          <w:b/>
          <w:bCs/>
          <w:color w:val="2E75B6"/>
        </w:rPr>
        <w:t xml:space="preserve">3.2 What Counts as Standalone Value</w:t>
      </w:r>
    </w:p>
    <w:p>
      <w:pPr>
        <w:spacing w:after="120" w:line="300"/>
        <w:jc w:val="both"/>
      </w:pPr>
      <w:r>
        <w:t xml:space="preserve">Standalone value can take many forms, but it must be measurable and material. Acceptable categories include:</w:t>
      </w:r>
    </w:p>
    <w:p>
      <w:pPr>
        <w:pStyle w:val="ListParagraph"/>
        <w:numPr>
          <w:ilvl w:val="0"/>
          <w:numId w:val="2"/>
        </w:numPr>
        <w:spacing w:after="80" w:line="280"/>
      </w:pPr>
      <w:r>
        <w:t xml:space="preserve">Cost reduction — annual operating expense reduced by a defined amount, attributable to this transition.</w:t>
      </w:r>
    </w:p>
    <w:p>
      <w:pPr>
        <w:pStyle w:val="ListParagraph"/>
        <w:numPr>
          <w:ilvl w:val="0"/>
          <w:numId w:val="2"/>
        </w:numPr>
        <w:spacing w:after="80" w:line="280"/>
      </w:pPr>
      <w:r>
        <w:t xml:space="preserve">Revenue improvement — new revenue, increased sales, reduced churn, attributable to this transition.</w:t>
      </w:r>
    </w:p>
    <w:p>
      <w:pPr>
        <w:pStyle w:val="ListParagraph"/>
        <w:numPr>
          <w:ilvl w:val="0"/>
          <w:numId w:val="2"/>
        </w:numPr>
        <w:spacing w:after="80" w:line="280"/>
      </w:pPr>
      <w:r>
        <w:t xml:space="preserve">Customer experience improvement — measurable change in NPS, abandonment, time-to-serve, or similar metric.</w:t>
      </w:r>
    </w:p>
    <w:p>
      <w:pPr>
        <w:pStyle w:val="ListParagraph"/>
        <w:numPr>
          <w:ilvl w:val="0"/>
          <w:numId w:val="2"/>
        </w:numPr>
        <w:spacing w:after="80" w:line="280"/>
      </w:pPr>
      <w:r>
        <w:t xml:space="preserve">Risk reduction — material reduction in a measurable risk (regulatory, security, operational).</w:t>
      </w:r>
    </w:p>
    <w:p>
      <w:pPr>
        <w:pStyle w:val="ListParagraph"/>
        <w:numPr>
          <w:ilvl w:val="0"/>
          <w:numId w:val="2"/>
        </w:numPr>
        <w:spacing w:after="80" w:line="280"/>
      </w:pPr>
      <w:r>
        <w:t xml:space="preserve">Regulatory compliance — meeting a deadline that, if missed, would result in fines or operational restriction.</w:t>
      </w:r>
    </w:p>
    <w:p>
      <w:pPr>
        <w:pStyle w:val="ListParagraph"/>
        <w:numPr>
          <w:ilvl w:val="0"/>
          <w:numId w:val="2"/>
        </w:numPr>
        <w:spacing w:after="80" w:line="280"/>
      </w:pPr>
      <w:r>
        <w:t xml:space="preserve">Capability uplift — measurable improvement in a strategic business capability, scored against a defined maturity scale.</w:t>
      </w:r>
    </w:p>
    <w:p>
      <w:pPr>
        <w:pStyle w:val="Heading2"/>
        <w:spacing w:after="160" w:before="280"/>
      </w:pPr>
      <w:r>
        <w:rPr>
          <w:b/>
          <w:bCs/>
          <w:color w:val="2E75B6"/>
        </w:rPr>
        <w:t xml:space="preserve">3.3 What Does NOT Count as Standalone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Common Failures of the Standalone-Value Test</w:t>
            </w:r>
          </w:p>
          <w:p>
            <w:pPr>
              <w:spacing w:after="60" w:line="280"/>
              <w:jc w:val="both"/>
            </w:pPr>
            <w:r>
              <w:t xml:space="preserve">"Technical refactoring complete" — refactoring may enable future value but does not, on its own, deliver value to the business. It is an enabler, not a deliverable. A transition that consists only of refactoring fails the test.</w:t>
            </w:r>
          </w:p>
          <w:p>
            <w:pPr>
              <w:spacing w:after="60" w:line="280"/>
              <w:jc w:val="both"/>
            </w:pPr>
            <w:r>
              <w:t xml:space="preserve">"Architecture documents updated" — paperwork is not value. Documents may be necessary but they do not, by themselves, justify investment.</w:t>
            </w:r>
          </w:p>
          <w:p>
            <w:pPr>
              <w:spacing w:after="60" w:line="280"/>
              <w:jc w:val="both"/>
            </w:pPr>
            <w:r>
              <w:t xml:space="preserve">"Half the systems migrated" — partial migration is the worst possible state: cost incurred, both old and new systems running, double operational burden, no benefits realised. A transition cannot end in a half-migrated state and claim value.</w:t>
            </w:r>
          </w:p>
          <w:p>
            <w:pPr>
              <w:spacing w:after="60" w:line="280"/>
              <w:jc w:val="both"/>
            </w:pPr>
            <w:r>
              <w:t xml:space="preserve">"Cloud landing zone built" — infrastructure capability without workloads on it is not delivered value. The landing zone must be in use by something for the value to count.</w:t>
            </w:r>
          </w:p>
          <w:p>
            <w:pPr>
              <w:spacing w:after="60" w:line="280"/>
              <w:jc w:val="both"/>
            </w:pPr>
            <w:r>
              <w:t xml:space="preserve">"Vendor contract signed" — procurement is preparation, not delivery. The signing of a contract for a CRM does not constitute value; the running of the CRM in production with users on it does.</w:t>
            </w:r>
          </w:p>
          <w:p>
            <w:pPr>
              <w:spacing w:after="60" w:line="280"/>
              <w:jc w:val="both"/>
            </w:pPr>
            <w:r>
              <w:t xml:space="preserve">If a proposed Transition Architecture's value claim falls into any of these categories, the TA must be redesigned — typically by extending its scope until value is genuinely delivered.</w:t>
            </w:r>
          </w:p>
        </w:tc>
      </w:tr>
    </w:tbl>
    <w:p>
      <w:pPr>
        <w:pStyle w:val="Heading2"/>
        <w:spacing w:after="160" w:before="280"/>
      </w:pPr>
      <w:r>
        <w:rPr>
          <w:b/>
          <w:bCs/>
          <w:color w:val="2E75B6"/>
        </w:rPr>
        <w:t xml:space="preserve">3.4 Designing for Standalone Value</w:t>
      </w:r>
    </w:p>
    <w:p>
      <w:pPr>
        <w:spacing w:after="120" w:line="300"/>
        <w:jc w:val="both"/>
      </w:pPr>
      <w:r>
        <w:t xml:space="preserve">Designing Transition Architectures so that each delivers value is a craft. Three patterns recur:</w:t>
      </w:r>
    </w:p>
    <w:p>
      <w:pPr>
        <w:pStyle w:val="Heading3"/>
        <w:spacing w:after="120" w:before="220"/>
      </w:pPr>
      <w:r>
        <w:rPr>
          <w:b/>
          <w:bCs/>
          <w:color w:val="404040"/>
        </w:rPr>
        <w:t xml:space="preserve">Pattern 1: Value-First Slicing</w:t>
      </w:r>
    </w:p>
    <w:p>
      <w:pPr>
        <w:spacing w:after="120" w:line="300"/>
        <w:jc w:val="both"/>
      </w:pPr>
      <w:r>
        <w:t xml:space="preserve">Slice the work so that each transition addresses a complete capability or a complete value-stream stage rather than a horizontal layer. "Replace the customer onboarding capability end-to-end" delivers value; "Replace all the databases" does not. End-to-end slices can stand alone; horizontal layers cannot.</w:t>
      </w:r>
    </w:p>
    <w:p>
      <w:pPr>
        <w:pStyle w:val="Heading3"/>
        <w:spacing w:after="120" w:before="220"/>
      </w:pPr>
      <w:r>
        <w:rPr>
          <w:b/>
          <w:bCs/>
          <w:color w:val="404040"/>
        </w:rPr>
        <w:t xml:space="preserve">Pattern 2: Customer-Segment Sequencing</w:t>
      </w:r>
    </w:p>
    <w:p>
      <w:pPr>
        <w:spacing w:after="120" w:line="300"/>
        <w:jc w:val="both"/>
      </w:pPr>
      <w:r>
        <w:t xml:space="preserve">If end-to-end change is too large, slice by customer segment or business unit. "Migrate retail customers to the new platform" is a complete capability for that segment, even while wealth customers remain on the legacy. Each segment delivered is a transition that stands alone for that segment.</w:t>
      </w:r>
    </w:p>
    <w:p>
      <w:pPr>
        <w:pStyle w:val="Heading3"/>
        <w:spacing w:after="120" w:before="220"/>
      </w:pPr>
      <w:r>
        <w:rPr>
          <w:b/>
          <w:bCs/>
          <w:color w:val="404040"/>
        </w:rPr>
        <w:t xml:space="preserve">Pattern 3: Geography Sequencing</w:t>
      </w:r>
    </w:p>
    <w:p>
      <w:pPr>
        <w:spacing w:after="120" w:line="300"/>
        <w:jc w:val="both"/>
      </w:pPr>
      <w:r>
        <w:t xml:space="preserve">For multinational enterprises, slice by country or region. The UK launch is complete value for UK customers and the UK business; subsequent country launches are subsequent transitions. Each is independently justifiable.</w:t>
      </w:r>
    </w:p>
    <w:p>
      <w:pPr>
        <w:spacing w:after="120" w:line="300"/>
        <w:jc w:val="both"/>
      </w:pPr>
      <w:r>
        <w:t xml:space="preserve">The pattern that does NOT work is layered horizontal slicing — "first all data, then all applications, then all infrastructure". This is technically tidy but produces the half-migrated nightmare in which costs are incurred but no benefits land until the very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Value-First vs Layered Slicing</w:t>
            </w:r>
          </w:p>
          <w:p>
            <w:pPr>
              <w:spacing w:after="60" w:line="280"/>
              <w:jc w:val="both"/>
            </w:pPr>
            <w:r>
              <w:t xml:space="preserve">Bank programme: replace three legacy systems with one cloud-native platform.</w:t>
            </w:r>
          </w:p>
          <w:p>
            <w:pPr>
              <w:spacing w:after="60" w:line="280"/>
              <w:jc w:val="both"/>
            </w:pPr>
            <w:r>
              <w:t xml:space="preserve">Bad slicing (layered): TA1 = build the cloud platform; TA2 = migrate the data; TA3 = migrate the applications; TA4 = retire the legacy. Problem: TA1, TA2, TA3 each cost money but deliver no business value. Only TA4 delivers anything. If the programme is cancelled after TA2, two-thirds of the investment is wasted.</w:t>
            </w:r>
          </w:p>
          <w:p>
            <w:pPr>
              <w:spacing w:after="60" w:line="280"/>
              <w:jc w:val="both"/>
            </w:pPr>
            <w:r>
              <w:t xml:space="preserve">Good slicing (value-first): TA1 = current accounts on the new platform (legacy current-account system retired). TA2 = savings products migrated. TA3 = lending products migrated. Each TA retires legacy and realises value for a complete product family. Cancellation after TA1 leaves the enterprise with current accounts modernised — a defensible state, real value delivered.</w:t>
            </w:r>
          </w:p>
          <w:p>
            <w:pPr>
              <w:spacing w:after="60" w:line="280"/>
              <w:jc w:val="both"/>
            </w:pPr>
            <w:r>
              <w:t xml:space="preserve">Both approaches deliver the same end state. Only the second protects the enterprise against the inevitable disruption.</w:t>
            </w:r>
          </w:p>
        </w:tc>
      </w:tr>
    </w:tbl>
    <w:p>
      <w:r>
        <w:br w:type="page"/>
      </w:r>
    </w:p>
    <w:p>
      <w:pPr>
        <w:pStyle w:val="Heading1"/>
        <w:spacing w:after="200" w:before="360"/>
      </w:pPr>
      <w:r>
        <w:rPr>
          <w:b/>
          <w:bCs/>
          <w:color w:val="1F4E78"/>
        </w:rPr>
        <w:t xml:space="preserve">4. Capability Increments</w:t>
      </w:r>
    </w:p>
    <w:p>
      <w:pPr>
        <w:spacing w:after="120" w:line="300"/>
        <w:jc w:val="both"/>
      </w:pPr>
      <w:r>
        <w:t xml:space="preserve">A Capability Increment is the specific, measurable, time-boxed business-capability improvement that a Transition Architecture delivers. It is the link between the architectural state at the transition and the business outcome that justifies it. If a Transition Architecture is a state, a Capability Increment is the gain that reaching that state produces.</w:t>
      </w:r>
    </w:p>
    <w:p>
      <w:pPr>
        <w:pStyle w:val="Heading2"/>
        <w:spacing w:after="160" w:before="280"/>
      </w:pPr>
      <w:r>
        <w:rPr>
          <w:b/>
          <w:bCs/>
          <w:color w:val="2E75B6"/>
        </w:rPr>
        <w:t xml:space="preserve">4.1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 Increment: </w:t>
            </w:r>
            <w:r>
              <w:t xml:space="preserve">A discrete, measurable, time-boxed improvement in a defined business capability, delivered by a specific Transition Architecture. The Capability Increment is the business-facing statement of what the transition produces; the Transition Architecture is the technical-architectural state that makes the increment possible.</w:t>
            </w:r>
          </w:p>
        </w:tc>
      </w:tr>
    </w:tbl>
    <w:p>
      <w:pPr>
        <w:pStyle w:val="Heading2"/>
        <w:spacing w:after="160" w:before="280"/>
      </w:pPr>
      <w:r>
        <w:rPr>
          <w:b/>
          <w:bCs/>
          <w:color w:val="2E75B6"/>
        </w:rPr>
        <w:t xml:space="preserve">4.2 The Three Required Properties</w:t>
      </w:r>
    </w:p>
    <w:p>
      <w:pPr>
        <w:pStyle w:val="Heading3"/>
        <w:spacing w:after="120" w:before="220"/>
      </w:pPr>
      <w:r>
        <w:rPr>
          <w:b/>
          <w:bCs/>
          <w:color w:val="404040"/>
        </w:rPr>
        <w:t xml:space="preserve">Discrete</w:t>
      </w:r>
    </w:p>
    <w:p>
      <w:pPr>
        <w:spacing w:after="120" w:line="300"/>
        <w:jc w:val="both"/>
      </w:pPr>
      <w:r>
        <w:t xml:space="preserve">A Capability Increment must be a defined, identifiable improvement — not a vague aspiration. It addresses a named capability ("Customer Onboarding", "Fraud Detection", "Regulatory Reporting") and produces a defined change. "Better customer experience" is not discrete; "Customer Onboarding moves from 18 minutes to under 8 minutes" is.</w:t>
      </w:r>
    </w:p>
    <w:p>
      <w:pPr>
        <w:pStyle w:val="Heading3"/>
        <w:spacing w:after="120" w:before="220"/>
      </w:pPr>
      <w:r>
        <w:rPr>
          <w:b/>
          <w:bCs/>
          <w:color w:val="404040"/>
        </w:rPr>
        <w:t xml:space="preserve">Measurable</w:t>
      </w:r>
    </w:p>
    <w:p>
      <w:pPr>
        <w:spacing w:after="120" w:line="300"/>
        <w:jc w:val="both"/>
      </w:pPr>
      <w:r>
        <w:t xml:space="preserve">Every Capability Increment must have a metric — a number, a percentage, a time, a cost, a maturity score — that demonstrates whether the increment has been achieved. Without a metric, success cannot be claimed and the increment cannot be defended in governance reviews. Acceptable metrics include capability maturity scores (e.g., on a 1–5 scale), business KPIs (e.g., abandonment rate), operational metrics (e.g., mean time to resolve), and financial metrics (e.g., cost per transaction).</w:t>
      </w:r>
    </w:p>
    <w:p>
      <w:pPr>
        <w:pStyle w:val="Heading3"/>
        <w:spacing w:after="120" w:before="220"/>
      </w:pPr>
      <w:r>
        <w:rPr>
          <w:b/>
          <w:bCs/>
          <w:color w:val="404040"/>
        </w:rPr>
        <w:t xml:space="preserve">Time-boxed</w:t>
      </w:r>
    </w:p>
    <w:p>
      <w:pPr>
        <w:spacing w:after="120" w:line="300"/>
        <w:jc w:val="both"/>
      </w:pPr>
      <w:r>
        <w:t xml:space="preserve">Each Capability Increment is delivered by a specific date — the date the corresponding Transition Architecture is reached. This time-boxing is what allows planning, sequencing, and accountability. A Capability Increment with no delivery date is a wish, not an increment.</w:t>
      </w:r>
    </w:p>
    <w:p>
      <w:pPr>
        <w:pStyle w:val="Heading2"/>
        <w:spacing w:after="160" w:before="280"/>
      </w:pPr>
      <w:r>
        <w:rPr>
          <w:b/>
          <w:bCs/>
          <w:color w:val="2E75B6"/>
        </w:rPr>
        <w:t xml:space="preserve">4.3 Capability Increments vs Transition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Transition Architecture</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Capability Increment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it is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An intermediate architecture state</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 business-capability improvement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Expressed as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elements (apps, data, tech)</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outcome and metric</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Audience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Architects, implementers, governance</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 sponsors, executives, customers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Quantifies</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exists at this point</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changes for the business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Pairing</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Each TA delivers one or more Capability Increments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Each Capability Increment is enabled by exactly one TA</w:t>
            </w:r>
          </w:p>
        </w:tc>
      </w:tr>
    </w:tbl>
    <w:p>
      <w:pPr>
        <w:spacing w:after="120" w:line="300"/>
        <w:jc w:val="both"/>
      </w:pPr>
      <w:r>
        <w:t xml:space="preserve">The two concepts are paired: each Transition Architecture corresponds to one or more Capability Increments. A Transition Architecture without an associated Capability Increment is a technical milestone with no business meaning; a Capability Increment without an associated Transition Architecture is a wish without an architecture to deliver it.</w:t>
      </w:r>
    </w:p>
    <w:p>
      <w:pPr>
        <w:pStyle w:val="Heading2"/>
        <w:spacing w:after="160" w:before="280"/>
      </w:pPr>
      <w:r>
        <w:rPr>
          <w:b/>
          <w:bCs/>
          <w:color w:val="2E75B6"/>
        </w:rPr>
        <w:t xml:space="preserve">4.4 Capability Increments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Capability Increments Paired with Transition Architectures</w:t>
            </w:r>
          </w:p>
          <w:p>
            <w:pPr>
              <w:spacing w:after="60" w:line="280"/>
              <w:jc w:val="both"/>
            </w:pPr>
            <w:r>
              <w:t xml:space="preserve">Engagement: digital onboarding modernisation. Three TAs from Section 2.</w:t>
            </w:r>
          </w:p>
          <w:p>
            <w:pPr>
              <w:spacing w:after="60" w:line="280"/>
              <w:jc w:val="both"/>
            </w:pPr>
            <w:r>
              <w:t xml:space="preserve">TA1 (12 months) delivers Capability Increment 1: "Customer Onboarding capability — abandonment rate from 67% to 50%; cost per onboarding from £42 to £30; mobile-first journey for identity verification step." Discrete (one named capability), measurable (three metrics), time-boxed (12 months).</w:t>
            </w:r>
          </w:p>
          <w:p>
            <w:pPr>
              <w:spacing w:after="60" w:line="280"/>
              <w:jc w:val="both"/>
            </w:pPr>
            <w:r>
              <w:t xml:space="preserve">TA2 (24 months) delivers Capability Increment 2: "Customer Onboarding capability — abandonment from 50% to 35%; cost from £30 to £18; full end-to-end mobile journey; time from 18 minutes to under 8 minutes." Same capability, further increment.</w:t>
            </w:r>
          </w:p>
          <w:p>
            <w:pPr>
              <w:spacing w:after="60" w:line="280"/>
              <w:jc w:val="both"/>
            </w:pPr>
            <w:r>
              <w:t xml:space="preserve">TA3 (30 months) delivers Capability Increment 3: "Customer Onboarding capability — abandonment maintained at under 35%; legacy systems fully retired; ongoing operational cost reduced by £2m annually; improved Capability Maturity score from 2.5 to 4.0 on the corporate framework." Same capability, final increment.</w:t>
            </w:r>
          </w:p>
          <w:p>
            <w:pPr>
              <w:spacing w:after="60" w:line="280"/>
              <w:jc w:val="both"/>
            </w:pPr>
            <w:r>
              <w:t xml:space="preserve">Notice that the same capability — Customer Onboarding — receives three increments at three TAs. Each increment is a measurable step. The increments together describe the journey of the capability from baseline to target.</w:t>
            </w:r>
          </w:p>
          <w:p>
            <w:pPr>
              <w:spacing w:after="60" w:line="280"/>
              <w:jc w:val="both"/>
            </w:pPr>
            <w:r>
              <w:t xml:space="preserve">Equally, a single TA may deliver multiple increments. TA2 above might also deliver a Capability Increment for "Fraud Detection" if the new platform improves real-time fraud screening as a side-effect. Both increments are paired to TA2; both are measurable; both are time-boxed.</w:t>
            </w:r>
          </w:p>
        </w:tc>
      </w:tr>
    </w:tbl>
    <w:p>
      <w:r>
        <w:br w:type="page"/>
      </w:r>
    </w:p>
    <w:p>
      <w:pPr>
        <w:pStyle w:val="Heading1"/>
        <w:spacing w:after="200" w:before="360"/>
      </w:pPr>
      <w:r>
        <w:rPr>
          <w:b/>
          <w:bCs/>
          <w:color w:val="1F4E78"/>
        </w:rPr>
        <w:t xml:space="preserve">5. Work Packages</w:t>
      </w:r>
    </w:p>
    <w:p>
      <w:pPr>
        <w:spacing w:after="120" w:line="300"/>
        <w:jc w:val="both"/>
      </w:pPr>
      <w:r>
        <w:t xml:space="preserve">A Work Package is a bounded unit of implementation work — small enough to plan, estimate, govern, and assign to a delivery team; large enough to deliver something coherent. Work Packages are the unit of currency between architecture and delivery: architects produce them in Phase E; delivery functions consume them in Phase G.</w:t>
      </w:r>
    </w:p>
    <w:p>
      <w:pPr>
        <w:pStyle w:val="Heading2"/>
        <w:spacing w:after="160" w:before="280"/>
      </w:pPr>
      <w:r>
        <w:rPr>
          <w:b/>
          <w:bCs/>
          <w:color w:val="2E75B6"/>
        </w:rPr>
        <w:t xml:space="preserve">5.1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Work Package: </w:t>
            </w:r>
            <w:r>
              <w:t xml:space="preserve">A bounded unit of implementation work derived from architecture gaps, with a defined scope, a defined output, an estimated cost and duration, and a clear linkage to the Transition Architecture it contributes to and the Capability Increment it supports. Work Packages are the means by which architecture commitments become deliverable activities.</w:t>
            </w:r>
          </w:p>
        </w:tc>
      </w:tr>
    </w:tbl>
    <w:p>
      <w:pPr>
        <w:pStyle w:val="Heading2"/>
        <w:spacing w:after="160" w:before="280"/>
      </w:pPr>
      <w:r>
        <w:rPr>
          <w:b/>
          <w:bCs/>
          <w:color w:val="2E75B6"/>
        </w:rPr>
        <w:t xml:space="preserve">5.2 Standard Work Package Contents</w:t>
      </w:r>
    </w:p>
    <w:p>
      <w:pPr>
        <w:pStyle w:val="ListParagraph"/>
        <w:numPr>
          <w:ilvl w:val="0"/>
          <w:numId w:val="2"/>
        </w:numPr>
        <w:spacing w:after="80" w:line="280"/>
      </w:pPr>
      <w:r>
        <w:t xml:space="preserve">Identifier and name — short reference and descriptive title.</w:t>
      </w:r>
    </w:p>
    <w:p>
      <w:pPr>
        <w:pStyle w:val="ListParagraph"/>
        <w:numPr>
          <w:ilvl w:val="0"/>
          <w:numId w:val="2"/>
        </w:numPr>
        <w:spacing w:after="80" w:line="280"/>
      </w:pPr>
      <w:r>
        <w:t xml:space="preserve">Scope — what is in and out, expressed in terms of architecture elements affected.</w:t>
      </w:r>
    </w:p>
    <w:p>
      <w:pPr>
        <w:pStyle w:val="ListParagraph"/>
        <w:numPr>
          <w:ilvl w:val="0"/>
          <w:numId w:val="2"/>
        </w:numPr>
        <w:spacing w:after="80" w:line="280"/>
      </w:pPr>
      <w:r>
        <w:t xml:space="preserve">Source gaps — the specific gap-analysis entries from B, C, and D that this package addresses.</w:t>
      </w:r>
    </w:p>
    <w:p>
      <w:pPr>
        <w:pStyle w:val="ListParagraph"/>
        <w:numPr>
          <w:ilvl w:val="0"/>
          <w:numId w:val="2"/>
        </w:numPr>
        <w:spacing w:after="80" w:line="280"/>
      </w:pPr>
      <w:r>
        <w:t xml:space="preserve">Output / deliverable — what completion of the package produces (e.g., "new identity-verification service deployed and integrated").</w:t>
      </w:r>
    </w:p>
    <w:p>
      <w:pPr>
        <w:pStyle w:val="ListParagraph"/>
        <w:numPr>
          <w:ilvl w:val="0"/>
          <w:numId w:val="2"/>
        </w:numPr>
        <w:spacing w:after="80" w:line="280"/>
      </w:pPr>
      <w:r>
        <w:t xml:space="preserve">Linkage to Transition Architecture — which TA this package contributes to.</w:t>
      </w:r>
    </w:p>
    <w:p>
      <w:pPr>
        <w:pStyle w:val="ListParagraph"/>
        <w:numPr>
          <w:ilvl w:val="0"/>
          <w:numId w:val="2"/>
        </w:numPr>
        <w:spacing w:after="80" w:line="280"/>
      </w:pPr>
      <w:r>
        <w:t xml:space="preserve">Linkage to Capability Increment — which business outcome this package supports.</w:t>
      </w:r>
    </w:p>
    <w:p>
      <w:pPr>
        <w:pStyle w:val="ListParagraph"/>
        <w:numPr>
          <w:ilvl w:val="0"/>
          <w:numId w:val="2"/>
        </w:numPr>
        <w:spacing w:after="80" w:line="280"/>
      </w:pPr>
      <w:r>
        <w:t xml:space="preserve">Estimated cost and duration — high-level estimates, refined in Phase F.</w:t>
      </w:r>
    </w:p>
    <w:p>
      <w:pPr>
        <w:pStyle w:val="ListParagraph"/>
        <w:numPr>
          <w:ilvl w:val="0"/>
          <w:numId w:val="2"/>
        </w:numPr>
        <w:spacing w:after="80" w:line="280"/>
      </w:pPr>
      <w:r>
        <w:t xml:space="preserve">Dependencies — other work packages that must precede or run in parallel.</w:t>
      </w:r>
    </w:p>
    <w:p>
      <w:pPr>
        <w:pStyle w:val="ListParagraph"/>
        <w:numPr>
          <w:ilvl w:val="0"/>
          <w:numId w:val="2"/>
        </w:numPr>
        <w:spacing w:after="80" w:line="280"/>
      </w:pPr>
      <w:r>
        <w:t xml:space="preserve">Risks and assumptions — material uncertainties that could affect delivery.</w:t>
      </w:r>
    </w:p>
    <w:p>
      <w:pPr>
        <w:pStyle w:val="ListParagraph"/>
        <w:numPr>
          <w:ilvl w:val="0"/>
          <w:numId w:val="2"/>
        </w:numPr>
        <w:spacing w:after="80" w:line="280"/>
      </w:pPr>
      <w:r>
        <w:t xml:space="preserve">Suggested delivery model — in-house, outsourced, packaged, mixed.</w:t>
      </w:r>
    </w:p>
    <w:p>
      <w:pPr>
        <w:pStyle w:val="Heading2"/>
        <w:spacing w:after="160" w:before="280"/>
      </w:pPr>
      <w:r>
        <w:rPr>
          <w:b/>
          <w:bCs/>
          <w:color w:val="2E75B6"/>
        </w:rPr>
        <w:t xml:space="preserve">5.3 Granularity — Not Too Big, Not Too Small</w:t>
      </w:r>
    </w:p>
    <w:p>
      <w:pPr>
        <w:spacing w:after="120" w:line="300"/>
        <w:jc w:val="both"/>
      </w:pPr>
      <w:r>
        <w:t xml:space="preserve">The granularity of work packages is critical to the usefulness of the Roadmap. Two pathological cases recur:</w:t>
      </w:r>
    </w:p>
    <w:p>
      <w:pPr>
        <w:pStyle w:val="Heading3"/>
        <w:spacing w:after="120" w:before="220"/>
      </w:pPr>
      <w:r>
        <w:rPr>
          <w:b/>
          <w:bCs/>
          <w:color w:val="404040"/>
        </w:rPr>
        <w:t xml:space="preserve">Too Big</w:t>
      </w:r>
    </w:p>
    <w:p>
      <w:pPr>
        <w:spacing w:after="120" w:line="300"/>
        <w:jc w:val="both"/>
      </w:pPr>
      <w:r>
        <w:t xml:space="preserve">If work packages are too large, the Roadmap collapses into a small number of vague entries that cannot be planned, scheduled, or governed at any useful resolution. "Implement digital onboarding" is too big a package for a 30-month programme; it is the engagement, not a package within it. Sub-divisions are needed.</w:t>
      </w:r>
    </w:p>
    <w:p>
      <w:pPr>
        <w:pStyle w:val="Heading3"/>
        <w:spacing w:after="120" w:before="220"/>
      </w:pPr>
      <w:r>
        <w:rPr>
          <w:b/>
          <w:bCs/>
          <w:color w:val="404040"/>
        </w:rPr>
        <w:t xml:space="preserve">Too Small</w:t>
      </w:r>
    </w:p>
    <w:p>
      <w:pPr>
        <w:spacing w:after="120" w:line="300"/>
        <w:jc w:val="both"/>
      </w:pPr>
      <w:r>
        <w:t xml:space="preserve">If work packages are too small, the Roadmap explodes into hundreds of items at the granularity of individual user stories or sprint backlog entries. This is not architectural planning; it is project management masquerading as architecture. Phase E should produce dozens of packages, not hundreds.</w:t>
      </w:r>
    </w:p>
    <w:p>
      <w:pPr>
        <w:pStyle w:val="Heading3"/>
        <w:spacing w:after="120" w:before="220"/>
      </w:pPr>
      <w:r>
        <w:rPr>
          <w:b/>
          <w:bCs/>
          <w:color w:val="404040"/>
        </w:rPr>
        <w:t xml:space="preserve">Useful Granularity</w:t>
      </w:r>
    </w:p>
    <w:p>
      <w:pPr>
        <w:spacing w:after="120" w:line="300"/>
        <w:jc w:val="both"/>
      </w:pPr>
      <w:r>
        <w:t xml:space="preserve">A useful Work Package typically represents three to six months of work for a delivery team — large enough to be meaningful, small enough to plan. For very large engagements the average size may be larger; for small engagements smaller. The principle: a Work Package should correspond to roughly one initiative that a delivery team would treat as a single deliverable, with defined start and end.</w:t>
      </w:r>
    </w:p>
    <w:p>
      <w:pPr>
        <w:pStyle w:val="Heading2"/>
        <w:spacing w:after="160" w:before="280"/>
      </w:pPr>
      <w:r>
        <w:rPr>
          <w:b/>
          <w:bCs/>
          <w:color w:val="2E75B6"/>
        </w:rPr>
        <w:t xml:space="preserve">5.4 Work Packages and the 6 Rs / TIME</w:t>
      </w:r>
    </w:p>
    <w:p>
      <w:pPr>
        <w:spacing w:after="120" w:line="300"/>
        <w:jc w:val="both"/>
      </w:pPr>
      <w:r>
        <w:t xml:space="preserve">Work Packages are typically derived directly from the 6-Rs and TIME dispositions made in Phases C and D. Each disposition decision generates one or more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Disposition</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Work Package(s) Generated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 Rs: Repurchase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Procure replacement, configure, migrate data, retire legacy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 Rs: Refactor</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redesign, decomposition, parallel run, cutover</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 Rs: Replatform</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Migration of runtime, light code adjustment, validation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 Rs: Rehost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Lift-and-shift to new infrastructure, validation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 Rs: Retire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Decommissioning, data archival, dependency unwinding</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 Rs: Retain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Generally produces no work package (status quo)</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 Migrate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Migration to strategic alternative, re-validation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 Eliminate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Urgent removal, replacement, dependency assessment</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TIME: Invest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Adoption, skills build, tooling deployment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 Tolerate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Generally no package (status quo)</w:t>
            </w:r>
          </w:p>
        </w:tc>
      </w:tr>
    </w:tbl>
    <w:p>
      <w:pPr>
        <w:spacing w:after="120" w:line="300"/>
        <w:jc w:val="both"/>
      </w:pPr>
      <w:r>
        <w:t xml:space="preserve">This is the practical mechanism by which architectural decisions made in B, C, and D become deliverable activities in Phase E. The Roadmap is, in large part, the consolidation and sequencing of these disposition-driven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Sample Work Packages from the Onboarding Engagement</w:t>
            </w:r>
          </w:p>
          <w:p>
            <w:pPr>
              <w:spacing w:after="60" w:line="280"/>
              <w:jc w:val="both"/>
            </w:pPr>
            <w:r>
              <w:t xml:space="preserve">WP-001 — Identity Service Procurement and Integration. Sources: 6Rs(App)=Repurchase for legacy ID system; TIME(Tech)=Invest for the chosen vendor platform. Output: identity-verification service in production, integrated with CRM and onboarding journey. TA1. Capability Increment 1. Estimated 4 months, £900k. Dependencies: vendor selection complete (WP-000).</w:t>
            </w:r>
          </w:p>
          <w:p>
            <w:pPr>
              <w:spacing w:after="60" w:line="280"/>
              <w:jc w:val="both"/>
            </w:pPr>
            <w:r>
              <w:t xml:space="preserve">WP-002 — Onboarding Orchestrator Build. Sources: gap (App, NEW); 4 architecture requirements. Output: orchestrator service routing the seven-stage onboarding journey. TA2. Capability Increment 2. Estimated 6 months, £1.4m. Dependencies: WP-001, WP-005 (event platform).</w:t>
            </w:r>
          </w:p>
          <w:p>
            <w:pPr>
              <w:spacing w:after="60" w:line="280"/>
              <w:jc w:val="both"/>
            </w:pPr>
            <w:r>
              <w:t xml:space="preserve">WP-003 — Legacy Onboarding System 1 Decommissioning. Sources: 6Rs(App)=Retire. Output: system decommissioned, data archived, dependencies migrated. TA1. (Contributes to value of TA1 by realising savings.) Estimated 3 months, £200k. Dependencies: WP-001 live.</w:t>
            </w:r>
          </w:p>
          <w:p>
            <w:pPr>
              <w:spacing w:after="60" w:line="280"/>
              <w:jc w:val="both"/>
            </w:pPr>
            <w:r>
              <w:t xml:space="preserve">WP-004 — CRM API Extension. Sources: 6Rs(App)=Refactor (light) for CRM. Output: CRM API supports real-time customer creation. TA1. Estimated 2 months, £350k. Dependencies: none.</w:t>
            </w:r>
          </w:p>
          <w:p>
            <w:pPr>
              <w:spacing w:after="60" w:line="280"/>
              <w:jc w:val="both"/>
            </w:pPr>
            <w:r>
              <w:t xml:space="preserve">WP-005 — Event Streaming Platform Deployment. Sources: TIME(Tech)=Invest for Kafka. Output: enterprise event-streaming platform live. TA1. Estimated 3 months, £500k. Dependencies: cloud landing zone (WP-000a).</w:t>
            </w:r>
          </w:p>
          <w:p>
            <w:pPr>
              <w:spacing w:after="60" w:line="280"/>
              <w:jc w:val="both"/>
            </w:pPr>
            <w:r>
              <w:t xml:space="preserve">And so on for the remaining packages. Note how each links cleanly to TA, Capability Increment, source disposition, and dependencies — the structure that makes Phase F's planning work possible.</w:t>
            </w:r>
          </w:p>
        </w:tc>
      </w:tr>
    </w:tbl>
    <w:p>
      <w:r>
        <w:br w:type="page"/>
      </w:r>
    </w:p>
    <w:p>
      <w:pPr>
        <w:pStyle w:val="Heading1"/>
        <w:spacing w:after="200" w:before="360"/>
      </w:pPr>
      <w:r>
        <w:rPr>
          <w:b/>
          <w:bCs/>
          <w:color w:val="1F4E78"/>
        </w:rPr>
        <w:t xml:space="preserve">6. Phase F — Migration Planning: Finalises the Roadmap</w:t>
      </w:r>
    </w:p>
    <w:p>
      <w:pPr>
        <w:spacing w:after="120" w:line="300"/>
        <w:jc w:val="both"/>
      </w:pPr>
      <w:r>
        <w:t xml:space="preserve">Phase F takes the initial Architecture Roadmap from Phase E and turns it into something the enterprise can actually deliver. Where Phase E identified and created, Phase F finalises and plans. The two verbs encode the difference: Phase E produced the strategic shape; Phase F produces the implementable plan.</w:t>
      </w:r>
    </w:p>
    <w:p>
      <w:pPr>
        <w:pStyle w:val="Heading2"/>
        <w:spacing w:after="160" w:before="280"/>
      </w:pPr>
      <w:r>
        <w:rPr>
          <w:b/>
          <w:bCs/>
          <w:color w:val="2E75B6"/>
        </w:rPr>
        <w:t xml:space="preserve">6.1 Phase F Activities</w:t>
      </w:r>
    </w:p>
    <w:p>
      <w:pPr>
        <w:pStyle w:val="Heading3"/>
        <w:spacing w:after="120" w:before="220"/>
      </w:pPr>
      <w:r>
        <w:rPr>
          <w:b/>
          <w:bCs/>
          <w:color w:val="404040"/>
        </w:rPr>
        <w:t xml:space="preserve">Activity 1: Detailed Prioritisation</w:t>
      </w:r>
    </w:p>
    <w:p>
      <w:pPr>
        <w:spacing w:after="120" w:line="300"/>
        <w:jc w:val="both"/>
      </w:pPr>
      <w:r>
        <w:t xml:space="preserve">Phase E produced an initial sequencing; Phase F prioritises rigorously using one or more techniques (covered in Section 8). Prioritisation considers value delivered, cost, risk, dependencies, capability impact, and alignment with strategic goals. Where Phase E may have grouped packages by Transition Architecture, Phase F orders them within each transition and across transitions where parallelism allows.</w:t>
      </w:r>
    </w:p>
    <w:p>
      <w:pPr>
        <w:pStyle w:val="Heading3"/>
        <w:spacing w:after="120" w:before="220"/>
      </w:pPr>
      <w:r>
        <w:rPr>
          <w:b/>
          <w:bCs/>
          <w:color w:val="404040"/>
        </w:rPr>
        <w:t xml:space="preserve">Activity 2: Detailed Scheduling</w:t>
      </w:r>
    </w:p>
    <w:p>
      <w:pPr>
        <w:spacing w:after="120" w:line="300"/>
        <w:jc w:val="both"/>
      </w:pPr>
      <w:r>
        <w:t xml:space="preserve">Each Work Package receives a start date, an end date, a delivery team assignment, and an integration point with other work. Dependencies that were noted in Phase E are now scheduled: WP-002 cannot start until WP-001 finishes; WP-003 starts when WP-001 reaches a defined milestone. The result is a full programme schedule, not just a sequence.</w:t>
      </w:r>
    </w:p>
    <w:p>
      <w:pPr>
        <w:pStyle w:val="Heading3"/>
        <w:spacing w:after="120" w:before="220"/>
      </w:pPr>
      <w:r>
        <w:rPr>
          <w:b/>
          <w:bCs/>
          <w:color w:val="404040"/>
        </w:rPr>
        <w:t xml:space="preserve">Activity 3: Resource Planning</w:t>
      </w:r>
    </w:p>
    <w:p>
      <w:pPr>
        <w:spacing w:after="120" w:line="300"/>
        <w:jc w:val="both"/>
      </w:pPr>
      <w:r>
        <w:t xml:space="preserve">What teams, with what skills, in what numbers, are needed when. This includes architecture team continuation through Phase G, delivery team formation or hiring, vendor engagement scheduling, and skills development plans. Resource planning often forces re-sequencing of Work Packages — the ideal sequence may be infeasible given hiring constraints, and the realistic sequence accommodates the supply of skills.</w:t>
      </w:r>
    </w:p>
    <w:p>
      <w:pPr>
        <w:pStyle w:val="Heading3"/>
        <w:spacing w:after="120" w:before="220"/>
      </w:pPr>
      <w:r>
        <w:rPr>
          <w:b/>
          <w:bCs/>
          <w:color w:val="404040"/>
        </w:rPr>
        <w:t xml:space="preserve">Activity 4: Detailed Cost Planning and Business Case Refinement</w:t>
      </w:r>
    </w:p>
    <w:p>
      <w:pPr>
        <w:spacing w:after="120" w:line="300"/>
        <w:jc w:val="both"/>
      </w:pPr>
      <w:r>
        <w:t xml:space="preserve">Phase E provided rough estimates; Phase F refines them. Each Work Package receives a detailed cost estimate; the costs are aggregated by Transition Architecture and across the engagement; the business case from Phase A is updated with refined cost and value figures. Funding requests are formalised.</w:t>
      </w:r>
    </w:p>
    <w:p>
      <w:pPr>
        <w:pStyle w:val="Heading3"/>
        <w:spacing w:after="120" w:before="220"/>
      </w:pPr>
      <w:r>
        <w:rPr>
          <w:b/>
          <w:bCs/>
          <w:color w:val="404040"/>
        </w:rPr>
        <w:t xml:space="preserve">Activity 5: Risk and Mitigation Planning</w:t>
      </w:r>
    </w:p>
    <w:p>
      <w:pPr>
        <w:spacing w:after="120" w:line="300"/>
        <w:jc w:val="both"/>
      </w:pPr>
      <w:r>
        <w:t xml:space="preserve">Risks identified in earlier phases are now sized, prioritised, and assigned mitigation owners. New risks surfaced by detailed planning are added. The risk register becomes a live document used in Phase G governance.</w:t>
      </w:r>
    </w:p>
    <w:p>
      <w:pPr>
        <w:pStyle w:val="Heading3"/>
        <w:spacing w:after="120" w:before="220"/>
      </w:pPr>
      <w:r>
        <w:rPr>
          <w:b/>
          <w:bCs/>
          <w:color w:val="404040"/>
        </w:rPr>
        <w:t xml:space="preserve">Activity 6: Implementation Governance Definition</w:t>
      </w:r>
    </w:p>
    <w:p>
      <w:pPr>
        <w:spacing w:after="120" w:line="300"/>
        <w:jc w:val="both"/>
      </w:pPr>
      <w:r>
        <w:t xml:space="preserve">How will the architecture be governed during implementation? Phase F defines the Architecture Compliance Review schedule, the dispensation process, the Architecture Contract template, and the cadence of programme-level architecture engagement. This governance model is the one that runs through Phase G.</w:t>
      </w:r>
    </w:p>
    <w:p>
      <w:pPr>
        <w:pStyle w:val="Heading3"/>
        <w:spacing w:after="120" w:before="220"/>
      </w:pPr>
      <w:r>
        <w:rPr>
          <w:b/>
          <w:bCs/>
          <w:color w:val="404040"/>
        </w:rPr>
        <w:t xml:space="preserve">Activity 7: Production of the Implementation and Migration Plan</w:t>
      </w:r>
    </w:p>
    <w:p>
      <w:pPr>
        <w:spacing w:after="120" w:line="300"/>
        <w:jc w:val="both"/>
      </w:pPr>
      <w:r>
        <w:t xml:space="preserve">All of the above is consolidated into the Implementation and Migration Plan — the principal output of Phase F and the document that authorises actual building work. This plan is detailed: schedule, resources, costs, risks, governance, dependencies. It is the working document that programme management uses to drive delivery.</w:t>
      </w:r>
    </w:p>
    <w:p>
      <w:pPr>
        <w:pStyle w:val="Heading2"/>
        <w:spacing w:after="160" w:before="280"/>
      </w:pPr>
      <w:r>
        <w:rPr>
          <w:b/>
          <w:bCs/>
          <w:color w:val="2E75B6"/>
        </w:rPr>
        <w:t xml:space="preserve">6.2 Phase F Outputs</w:t>
      </w:r>
    </w:p>
    <w:p>
      <w:pPr>
        <w:pStyle w:val="ListParagraph"/>
        <w:numPr>
          <w:ilvl w:val="0"/>
          <w:numId w:val="2"/>
        </w:numPr>
        <w:spacing w:after="80" w:line="280"/>
      </w:pPr>
      <w:r>
        <w:t xml:space="preserve">Finalised Architecture Roadmap — the Phase E roadmap, refined and confirmed.</w:t>
      </w:r>
    </w:p>
    <w:p>
      <w:pPr>
        <w:pStyle w:val="ListParagraph"/>
        <w:numPr>
          <w:ilvl w:val="0"/>
          <w:numId w:val="2"/>
        </w:numPr>
        <w:spacing w:after="80" w:line="280"/>
      </w:pPr>
      <w:r>
        <w:t xml:space="preserve">Implementation and Migration Plan — the detailed delivery plan.</w:t>
      </w:r>
    </w:p>
    <w:p>
      <w:pPr>
        <w:pStyle w:val="ListParagraph"/>
        <w:numPr>
          <w:ilvl w:val="0"/>
          <w:numId w:val="2"/>
        </w:numPr>
        <w:spacing w:after="80" w:line="280"/>
      </w:pPr>
      <w:r>
        <w:t xml:space="preserve">Detailed cost plan and refined business case.</w:t>
      </w:r>
    </w:p>
    <w:p>
      <w:pPr>
        <w:pStyle w:val="ListParagraph"/>
        <w:numPr>
          <w:ilvl w:val="0"/>
          <w:numId w:val="2"/>
        </w:numPr>
        <w:spacing w:after="80" w:line="280"/>
      </w:pPr>
      <w:r>
        <w:t xml:space="preserve">Resource and skills plan.</w:t>
      </w:r>
    </w:p>
    <w:p>
      <w:pPr>
        <w:pStyle w:val="ListParagraph"/>
        <w:numPr>
          <w:ilvl w:val="0"/>
          <w:numId w:val="2"/>
        </w:numPr>
        <w:spacing w:after="80" w:line="280"/>
      </w:pPr>
      <w:r>
        <w:t xml:space="preserve">Risk register with mitigation owners and status.</w:t>
      </w:r>
    </w:p>
    <w:p>
      <w:pPr>
        <w:pStyle w:val="ListParagraph"/>
        <w:numPr>
          <w:ilvl w:val="0"/>
          <w:numId w:val="2"/>
        </w:numPr>
        <w:spacing w:after="80" w:line="280"/>
      </w:pPr>
      <w:r>
        <w:t xml:space="preserve">Implementation Governance Model — Compliance Review schedule, dispensation process, Architecture Contracts.</w:t>
      </w:r>
    </w:p>
    <w:p>
      <w:pPr>
        <w:pStyle w:val="ListParagraph"/>
        <w:numPr>
          <w:ilvl w:val="0"/>
          <w:numId w:val="2"/>
        </w:numPr>
        <w:spacing w:after="80" w:line="280"/>
      </w:pPr>
      <w:r>
        <w:t xml:space="preserve">Updated Architecture Definition Document with Phase F additions.</w:t>
      </w:r>
    </w:p>
    <w:p>
      <w:pPr>
        <w:pStyle w:val="ListParagraph"/>
        <w:numPr>
          <w:ilvl w:val="0"/>
          <w:numId w:val="2"/>
        </w:numPr>
        <w:spacing w:after="80" w:line="280"/>
      </w:pPr>
      <w:r>
        <w:t xml:space="preserve">Funding requests for approval, typically by an Investment Committee or equivalent.</w:t>
      </w:r>
    </w:p>
    <w:p>
      <w:pPr>
        <w:pStyle w:val="Heading2"/>
        <w:spacing w:after="160" w:before="280"/>
      </w:pPr>
      <w:r>
        <w:rPr>
          <w:b/>
          <w:bCs/>
          <w:color w:val="2E75B6"/>
        </w:rPr>
        <w:t xml:space="preserve">6.3 The Verb Distinction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Phase E creates / Phase F finalises</w:t>
            </w:r>
          </w:p>
          <w:p>
            <w:pPr>
              <w:spacing w:after="60" w:line="280"/>
              <w:jc w:val="both"/>
            </w:pPr>
            <w:r>
              <w:t xml:space="preserve">Phase E identifies and creates the initial Architecture Roadmap. Phase F finalises the Roadmap and produces the detailed Implementation and Migration Plan. This is the most exam-relevant verb distinction in the module. If an exam question asks which phase 'produces the initial roadmap', the answer is Phase E. If it asks which phase 'produces the migration plan', the answer is Phase F. If it asks which phase 'finalises' the roadmap, the answer is Phase F.</w:t>
            </w:r>
          </w:p>
        </w:tc>
      </w:tr>
    </w:tbl>
    <w:p>
      <w:r>
        <w:br w:type="page"/>
      </w:r>
    </w:p>
    <w:p>
      <w:pPr>
        <w:pStyle w:val="Heading1"/>
        <w:spacing w:after="200" w:before="360"/>
      </w:pPr>
      <w:r>
        <w:rPr>
          <w:b/>
          <w:bCs/>
          <w:color w:val="1F4E78"/>
        </w:rPr>
        <w:t xml:space="preserve">7. The Architecture Roadmap Is NOT the Migration Plan</w:t>
      </w:r>
    </w:p>
    <w:p>
      <w:pPr>
        <w:spacing w:after="120" w:line="300"/>
        <w:jc w:val="both"/>
      </w:pPr>
      <w:r>
        <w:t xml:space="preserve">This is the most-tested distinction in the module, and one of the most-tested distinctions in the entire ADM syllabus. The Architecture Roadmap and the Implementation and Migration Plan are different artefacts, produced at different times, by different phases, for different audiences. Confusing them is a classic mistake; recognising the difference is essential.</w:t>
      </w:r>
    </w:p>
    <w:p>
      <w:pPr>
        <w:pStyle w:val="Heading2"/>
        <w:spacing w:after="160" w:before="280"/>
      </w:pPr>
      <w:r>
        <w:rPr>
          <w:b/>
          <w:bCs/>
          <w:color w:val="2E75B6"/>
        </w:rPr>
        <w:t xml:space="preserve">7.1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Roadmap</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Implementation and Migration Plan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produced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Initial in Phase E; finalised in Phase F</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F</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Nature</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 shape of the journey</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Detailed delivery — schedule, resources, costs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Audience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Board, executive sponsors, strategic stakeholders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Programme management, delivery teams, finance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 horizon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Full duration of the engagement (often years)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Detailed for near-term; less detailed for far-term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Granularity</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Transition Architectures and Work Packages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Tasks, milestones, dates, owners, costs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Decision supported</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Is this the right journey to take?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How exactly will we deliver each step?</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Updated when</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Whenever a Transition Architecture is reached or strategy shifts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Continuously through delivery as plans evolve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Lifespan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Stable across the engagement; updated occasionally</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Living document, updated monthly or more often</w:t>
            </w:r>
          </w:p>
        </w:tc>
      </w:tr>
    </w:tbl>
    <w:p>
      <w:pPr>
        <w:pStyle w:val="Heading2"/>
        <w:spacing w:after="160" w:before="280"/>
      </w:pPr>
      <w:r>
        <w:rPr>
          <w:b/>
          <w:bCs/>
          <w:color w:val="2E75B6"/>
        </w:rPr>
        <w:t xml:space="preserve">7.2 What the Architecture Roadmap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Roadmap: </w:t>
            </w:r>
            <w:r>
              <w:t xml:space="preserve">A strategic artefact that lists the Work Packages and Transition Architectures, sequenced over time, showing the journey from baseline to target architecture. It is produced initially in Phase E and finalised in Phase F. Its audience is the Architecture Board and executive sponsors; its purpose is to communicate the shape of the journey.</w:t>
            </w:r>
          </w:p>
        </w:tc>
      </w:tr>
    </w:tbl>
    <w:p>
      <w:pPr>
        <w:spacing w:after="120" w:line="300"/>
        <w:jc w:val="both"/>
      </w:pPr>
      <w:r>
        <w:t xml:space="preserve">The Roadmap typically takes the form of a horizontally-laid-out diagram: time on the X axis, Transition Architectures shown as vertical bars or milestone markers, Work Packages shown as horizontal blocks positioned on the timeline. It is visual, strategic, and intentionally abstract. It does not show specific dates beyond quarter-level granularity, and it does not show task-level detail.</w:t>
      </w:r>
    </w:p>
    <w:p>
      <w:pPr>
        <w:spacing w:after="120" w:line="300"/>
        <w:jc w:val="both"/>
      </w:pPr>
      <w:r>
        <w:t xml:space="preserve">The Roadmap is read by people who are deciding whether the journey makes sense — not by people scheduling daily work. It is referenced at every Architecture Board meeting and every programme-level executive review. Its stability is a feature: a Roadmap that changes weekly is one no one will trust.</w:t>
      </w:r>
    </w:p>
    <w:p>
      <w:pPr>
        <w:pStyle w:val="Heading2"/>
        <w:spacing w:after="160" w:before="280"/>
      </w:pPr>
      <w:r>
        <w:rPr>
          <w:b/>
          <w:bCs/>
          <w:color w:val="2E75B6"/>
        </w:rPr>
        <w:t xml:space="preserve">7.3 What the Implementation and Migration Plan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Implementation and Migration Plan: </w:t>
            </w:r>
            <w:r>
              <w:t xml:space="preserve">The detailed delivery plan produced in Phase F that translates the Architecture Roadmap into actionable activity. It includes detailed schedules, resource assignments, cost plans, dependency management, risk mitigations, and the implementation governance model. Its audience is programme management and delivery teams; its purpose is to drive the actual building work.</w:t>
            </w:r>
          </w:p>
        </w:tc>
      </w:tr>
    </w:tbl>
    <w:p>
      <w:pPr>
        <w:spacing w:after="120" w:line="300"/>
        <w:jc w:val="both"/>
      </w:pPr>
      <w:r>
        <w:t xml:space="preserve">The Migration Plan is operational. It contains specific dates, specific people, specific costs, specific deliverables. It is updated continuously as delivery progresses — work slips, dependencies emerge, scope adjusts, and the Plan reflects each change. Where the Roadmap is strategic and stable, the Plan is detailed and dynamic.</w:t>
      </w:r>
    </w:p>
    <w:p>
      <w:pPr>
        <w:spacing w:after="120" w:line="300"/>
        <w:jc w:val="both"/>
      </w:pPr>
      <w:r>
        <w:t xml:space="preserve">The Plan is the document that programme managers use day-to-day. It is the document that finance reconciles spend against. It is the document that delivery teams pick their work from. It is the document that the Architecture Board references when conducting Compliance Reviews — the Plan tells them what is happening; the Roadmap tells them whether what is happening is still right.</w:t>
      </w:r>
    </w:p>
    <w:p>
      <w:pPr>
        <w:pStyle w:val="Heading2"/>
        <w:spacing w:after="160" w:before="280"/>
      </w:pPr>
      <w:r>
        <w:rPr>
          <w:b/>
          <w:bCs/>
          <w:color w:val="2E75B6"/>
        </w:rPr>
        <w:t xml:space="preserve">7.4 Why the Distinction Matters</w:t>
      </w:r>
    </w:p>
    <w:p>
      <w:pPr>
        <w:spacing w:after="120" w:line="300"/>
        <w:jc w:val="both"/>
      </w:pPr>
      <w:r>
        <w:t xml:space="preserve">Three reasons the distinction is enforced:</w:t>
      </w:r>
    </w:p>
    <w:p>
      <w:pPr>
        <w:pStyle w:val="ListParagraph"/>
        <w:numPr>
          <w:ilvl w:val="0"/>
          <w:numId w:val="3"/>
        </w:numPr>
        <w:spacing w:after="80" w:line="280"/>
      </w:pPr>
      <w:r>
        <w:t xml:space="preserve">Different audiences need different views. Executives reading the Migration Plan are overwhelmed by the detail; delivery teams reading the Roadmap have no actionable instruction. Each artefact is right for its audience.</w:t>
      </w:r>
    </w:p>
    <w:p>
      <w:pPr>
        <w:pStyle w:val="ListParagraph"/>
        <w:numPr>
          <w:ilvl w:val="0"/>
          <w:numId w:val="3"/>
        </w:numPr>
        <w:spacing w:after="80" w:line="280"/>
      </w:pPr>
      <w:r>
        <w:t xml:space="preserve">Different change cadences are needed. The Roadmap should be stable — frequent change destroys executive trust. The Plan should be responsive — pretending it is fixed produces denial about delivery reality. The two artefacts allow the architecture's strategic shape to remain steady while delivery details adapt.</w:t>
      </w:r>
    </w:p>
    <w:p>
      <w:pPr>
        <w:pStyle w:val="ListParagraph"/>
        <w:numPr>
          <w:ilvl w:val="0"/>
          <w:numId w:val="3"/>
        </w:numPr>
        <w:spacing w:after="80" w:line="280"/>
      </w:pPr>
      <w:r>
        <w:t xml:space="preserve">Different governance roles. The Architecture Board governs the Roadmap; programme management governs the Plan. Conflating them produces governance confusion — either the Architecture Board gets dragged into delivery details, or the programme manager gets pushed into strategic decisions outside their remit.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How the Confusion Manifests</w:t>
            </w:r>
          </w:p>
          <w:p>
            <w:pPr>
              <w:spacing w:after="60" w:line="280"/>
              <w:jc w:val="both"/>
            </w:pPr>
            <w:r>
              <w:t xml:space="preserve">Symptom 1: "The Roadmap is too detailed." Often the Roadmap has been overloaded with Plan content — specific dates, named individuals, daily tasks. The fix is to extract the detail into the Plan and leave the Roadmap strategic.</w:t>
            </w:r>
          </w:p>
          <w:p>
            <w:pPr>
              <w:spacing w:after="60" w:line="280"/>
              <w:jc w:val="both"/>
            </w:pPr>
            <w:r>
              <w:t xml:space="preserve">Symptom 2: "The Plan keeps changing the strategy." Often the Plan has been allowed to drive the Roadmap — when delivery slips, the Roadmap is altered to match. The fix is to keep the Roadmap stable and adapt the Plan within it; only fundamental strategy shifts justify Roadmap change.</w:t>
            </w:r>
          </w:p>
          <w:p>
            <w:pPr>
              <w:spacing w:after="60" w:line="280"/>
              <w:jc w:val="both"/>
            </w:pPr>
            <w:r>
              <w:t xml:space="preserve">Symptom 3: "We have one document called 'the plan' for everything." Often a single artefact is being used for both purposes, serving neither audience well. The fix is to split it: a strategic Roadmap document, separate from a detailed Migration Plan.</w:t>
            </w:r>
          </w:p>
          <w:p>
            <w:pPr>
              <w:spacing w:after="60" w:line="280"/>
              <w:jc w:val="both"/>
            </w:pPr>
            <w:r>
              <w:t xml:space="preserve">Symptom 4: An exam question asks "in which phase is the Migration Plan produced?" Answer: Phase F. Not Phase E. Phase E produces the Roadmap; Phase F produces the Plan.</w:t>
            </w:r>
          </w:p>
        </w:tc>
      </w:tr>
    </w:tbl>
    <w:p>
      <w:r>
        <w:br w:type="page"/>
      </w:r>
    </w:p>
    <w:p>
      <w:pPr>
        <w:pStyle w:val="Heading1"/>
        <w:spacing w:after="200" w:before="360"/>
      </w:pPr>
      <w:r>
        <w:rPr>
          <w:b/>
          <w:bCs/>
          <w:color w:val="1F4E78"/>
        </w:rPr>
        <w:t xml:space="preserve">8. Prioritisation Tools</w:t>
      </w:r>
    </w:p>
    <w:p>
      <w:pPr>
        <w:spacing w:after="120" w:line="300"/>
        <w:jc w:val="both"/>
      </w:pPr>
      <w:r>
        <w:t xml:space="preserve">Phase F's most consequential activity is prioritisation — deciding the order in which Work Packages will be delivered. Several formal prioritisation techniques are commonly applied. TOGAF does not mandate any single one; it expects the architect to choose appropriately for the engagement. Four techniques are the most commonly used and most exam-relevant: Value vs Effort, WSJF, MoSCoW, and Weighted Scoring.</w:t>
      </w:r>
    </w:p>
    <w:p>
      <w:pPr>
        <w:pStyle w:val="Heading2"/>
        <w:spacing w:after="160" w:before="280"/>
      </w:pPr>
      <w:r>
        <w:rPr>
          <w:b/>
          <w:bCs/>
          <w:color w:val="2E75B6"/>
        </w:rPr>
        <w:t xml:space="preserve">8.1 Tool 1: Value vs Effort</w:t>
      </w:r>
    </w:p>
    <w:p>
      <w:pPr>
        <w:spacing w:after="120" w:line="300"/>
        <w:jc w:val="both"/>
      </w:pPr>
      <w:r>
        <w:t xml:space="preserve">The simplest and most widely-used prioritisation technique. Each Work Package is plotted on a 2x2 matrix with Business Value on one axis and Effort on the other. Four quadrants emerge with characteristic implications:</w:t>
      </w:r>
    </w:p>
    <w:p>
      <w:pPr>
        <w:pStyle w:val="ListParagraph"/>
        <w:numPr>
          <w:ilvl w:val="0"/>
          <w:numId w:val="2"/>
        </w:numPr>
        <w:spacing w:after="80" w:line="280"/>
      </w:pPr>
      <w:r>
        <w:t xml:space="preserve">High Value, Low Effort — "Quick Wins". Do these first.</w:t>
      </w:r>
    </w:p>
    <w:p>
      <w:pPr>
        <w:pStyle w:val="ListParagraph"/>
        <w:numPr>
          <w:ilvl w:val="0"/>
          <w:numId w:val="2"/>
        </w:numPr>
        <w:spacing w:after="80" w:line="280"/>
      </w:pPr>
      <w:r>
        <w:t xml:space="preserve">High Value, High Effort — "Major Projects". Do these but plan carefully.</w:t>
      </w:r>
    </w:p>
    <w:p>
      <w:pPr>
        <w:pStyle w:val="ListParagraph"/>
        <w:numPr>
          <w:ilvl w:val="0"/>
          <w:numId w:val="2"/>
        </w:numPr>
        <w:spacing w:after="80" w:line="280"/>
      </w:pPr>
      <w:r>
        <w:t xml:space="preserve">Low Value, Low Effort — "Fill-Ins". Do them if capacity allows; not strategic.</w:t>
      </w:r>
    </w:p>
    <w:p>
      <w:pPr>
        <w:pStyle w:val="ListParagraph"/>
        <w:numPr>
          <w:ilvl w:val="0"/>
          <w:numId w:val="2"/>
        </w:numPr>
        <w:spacing w:after="80" w:line="280"/>
      </w:pPr>
      <w:r>
        <w:t xml:space="preserve">Low Value, High Effort — "Avoid". Strong candidates for descope or deferral.</w:t>
      </w:r>
    </w:p>
    <w:p>
      <w:pPr>
        <w:pStyle w:val="Heading3"/>
        <w:spacing w:after="120" w:before="220"/>
      </w:pPr>
      <w:r>
        <w:rPr>
          <w:b/>
          <w:bCs/>
          <w:color w:val="404040"/>
        </w:rPr>
        <w:t xml:space="preserve">Strengths</w:t>
      </w:r>
    </w:p>
    <w:p>
      <w:pPr>
        <w:spacing w:after="120" w:line="300"/>
        <w:jc w:val="both"/>
      </w:pPr>
      <w:r>
        <w:t xml:space="preserve">Visual, intuitive, easy to communicate to executives. Forces explicit value and effort assessment. Good first-pass tool to filter the obvious priorities.</w:t>
      </w:r>
    </w:p>
    <w:p>
      <w:pPr>
        <w:pStyle w:val="Heading3"/>
        <w:spacing w:after="120" w:before="220"/>
      </w:pPr>
      <w:r>
        <w:rPr>
          <w:b/>
          <w:bCs/>
          <w:color w:val="404040"/>
        </w:rPr>
        <w:t xml:space="preserve">Weaknesses</w:t>
      </w:r>
    </w:p>
    <w:p>
      <w:pPr>
        <w:spacing w:after="120" w:line="300"/>
        <w:jc w:val="both"/>
      </w:pPr>
      <w:r>
        <w:t xml:space="preserve">Two-dimensional only — does not account for dependencies, risk, time-criticality, or strategic alignment. Can be subjective in scoring. Best used as a first-pass filter, then supplemented by more rigorous techniques for the harder choices.</w:t>
      </w:r>
    </w:p>
    <w:p>
      <w:pPr>
        <w:pStyle w:val="Heading2"/>
        <w:spacing w:after="160" w:before="280"/>
      </w:pPr>
      <w:r>
        <w:rPr>
          <w:b/>
          <w:bCs/>
          <w:color w:val="2E75B6"/>
        </w:rPr>
        <w:t xml:space="preserve">8.2 Tool 2: WSJF (Weighted Shortest Job First)</w:t>
      </w:r>
    </w:p>
    <w:p>
      <w:pPr>
        <w:spacing w:after="120" w:line="300"/>
        <w:jc w:val="both"/>
      </w:pPr>
      <w:r>
        <w:t xml:space="preserve">WSJF is a prioritisation formula popularised by SAFe (Scaled Agile Framework) and increasingly used in Phase F prioritisation, particularly where the engagement uses Agile delivery.</w:t>
      </w:r>
    </w:p>
    <w:p>
      <w:pPr>
        <w:pStyle w:val="Heading3"/>
        <w:spacing w:after="120" w:before="220"/>
      </w:pPr>
      <w:r>
        <w:rPr>
          <w:b/>
          <w:bCs/>
          <w:color w:val="404040"/>
        </w:rPr>
        <w:t xml:space="preserve">The Formula</w:t>
      </w:r>
    </w:p>
    <w:p>
      <w:pPr>
        <w:spacing w:after="120" w:line="300"/>
        <w:jc w:val="both"/>
      </w:pPr>
      <w:r>
        <w:t xml:space="preserve">WSJF = Cost of Delay ÷ Job Size.</w:t>
      </w:r>
    </w:p>
    <w:p>
      <w:pPr>
        <w:spacing w:after="120" w:line="300"/>
        <w:jc w:val="both"/>
      </w:pPr>
      <w:r>
        <w:t xml:space="preserve">Where Cost of Delay is composed of three sub-scores summed together: Business Value (the user/customer value of the work), Time Criticality (how much value decays if delayed), and Risk Reduction or Opportunity Enablement (what risks this work removes or what future opportunities it unlocks). Job Size is the relative effort to deliver.</w:t>
      </w:r>
    </w:p>
    <w:p>
      <w:pPr>
        <w:pStyle w:val="Heading3"/>
        <w:spacing w:after="120" w:before="220"/>
      </w:pPr>
      <w:r>
        <w:rPr>
          <w:b/>
          <w:bCs/>
          <w:color w:val="404040"/>
        </w:rPr>
        <w:t xml:space="preserve">How It Is Applied</w:t>
      </w:r>
    </w:p>
    <w:p>
      <w:pPr>
        <w:pStyle w:val="ListParagraph"/>
        <w:numPr>
          <w:ilvl w:val="0"/>
          <w:numId w:val="3"/>
        </w:numPr>
        <w:spacing w:after="80" w:line="280"/>
      </w:pPr>
      <w:r>
        <w:t xml:space="preserve">For each Work Package, score Business Value, Time Criticality, and Risk/Opportunity on a relative scale (typically Fibonacci: 1, 2, 3, 5, 8, 13).</w:t>
      </w:r>
    </w:p>
    <w:p>
      <w:pPr>
        <w:pStyle w:val="ListParagraph"/>
        <w:numPr>
          <w:ilvl w:val="0"/>
          <w:numId w:val="3"/>
        </w:numPr>
        <w:spacing w:after="80" w:line="280"/>
      </w:pPr>
      <w:r>
        <w:t xml:space="preserve">Sum the three scores to produce Cost of Delay.</w:t>
      </w:r>
    </w:p>
    <w:p>
      <w:pPr>
        <w:pStyle w:val="ListParagraph"/>
        <w:numPr>
          <w:ilvl w:val="0"/>
          <w:numId w:val="3"/>
        </w:numPr>
        <w:spacing w:after="80" w:line="280"/>
      </w:pPr>
      <w:r>
        <w:t xml:space="preserve">Score Job Size on the same scale.</w:t>
      </w:r>
    </w:p>
    <w:p>
      <w:pPr>
        <w:pStyle w:val="ListParagraph"/>
        <w:numPr>
          <w:ilvl w:val="0"/>
          <w:numId w:val="3"/>
        </w:numPr>
        <w:spacing w:after="80" w:line="280"/>
      </w:pPr>
      <w:r>
        <w:t xml:space="preserve">Compute WSJF = Cost of Delay / Job Size.</w:t>
      </w:r>
    </w:p>
    <w:p>
      <w:pPr>
        <w:pStyle w:val="ListParagraph"/>
        <w:numPr>
          <w:ilvl w:val="0"/>
          <w:numId w:val="3"/>
        </w:numPr>
        <w:spacing w:after="80" w:line="280"/>
      </w:pPr>
      <w:r>
        <w:t xml:space="preserve">Sequence Work Packages in descending order of WSJF — highest first.</w:t>
      </w:r>
    </w:p>
    <w:p>
      <w:pPr>
        <w:pStyle w:val="Heading3"/>
        <w:spacing w:after="120" w:before="220"/>
      </w:pPr>
      <w:r>
        <w:rPr>
          <w:b/>
          <w:bCs/>
          <w:color w:val="404040"/>
        </w:rPr>
        <w:t xml:space="preserve">Strengths</w:t>
      </w:r>
    </w:p>
    <w:p>
      <w:pPr>
        <w:spacing w:after="120" w:line="300"/>
        <w:jc w:val="both"/>
      </w:pPr>
      <w:r>
        <w:t xml:space="preserve">Captures more than just Value vs Effort — explicitly accounts for time criticality and risk/opportunity. Quantitative and reproducible. Aligns well with Agile delivery where work is sequenced into iterations.</w:t>
      </w:r>
    </w:p>
    <w:p>
      <w:pPr>
        <w:pStyle w:val="Heading3"/>
        <w:spacing w:after="120" w:before="220"/>
      </w:pPr>
      <w:r>
        <w:rPr>
          <w:b/>
          <w:bCs/>
          <w:color w:val="404040"/>
        </w:rPr>
        <w:t xml:space="preserve">Weaknesses</w:t>
      </w:r>
    </w:p>
    <w:p>
      <w:pPr>
        <w:spacing w:after="120" w:line="300"/>
        <w:jc w:val="both"/>
      </w:pPr>
      <w:r>
        <w:t xml:space="preserve">Relative scores can be debated. Treating it mechanically produces ordering that violates dependencies. Best used in combination with dependency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WSJF Applied to Three Work Packages</w:t>
            </w:r>
          </w:p>
          <w:p>
            <w:pPr>
              <w:spacing w:after="60" w:line="280"/>
              <w:jc w:val="both"/>
            </w:pPr>
            <w:r>
              <w:t xml:space="preserve">WP-001 (Identity Service): Business Value 8, Time Criticality 5, Risk Reduction 5. Cost of Delay = 18. Job Size = 5. WSJF = 18/5 = 3.6</w:t>
            </w:r>
          </w:p>
          <w:p>
            <w:pPr>
              <w:spacing w:after="60" w:line="280"/>
              <w:jc w:val="both"/>
            </w:pPr>
            <w:r>
              <w:t xml:space="preserve">WP-002 (Onboarding Orchestrator): Business Value 13, Time Criticality 3, Risk Reduction 3. Cost of Delay = 19. Job Size = 13. WSJF = 19/13 = 1.46</w:t>
            </w:r>
          </w:p>
          <w:p>
            <w:pPr>
              <w:spacing w:after="60" w:line="280"/>
              <w:jc w:val="both"/>
            </w:pPr>
            <w:r>
              <w:t xml:space="preserve">WP-003 (CRM API Extension): Business Value 3, Time Criticality 5, Risk Reduction 5. Cost of Delay = 13. Job Size = 3. WSJF = 13/3 = 4.33</w:t>
            </w:r>
          </w:p>
          <w:p>
            <w:pPr>
              <w:spacing w:after="60" w:line="280"/>
              <w:jc w:val="both"/>
            </w:pPr>
            <w:r>
              <w:t xml:space="preserve">Sequencing: WP-003 first (highest WSJF), then WP-001, then WP-002. WP-002 has the highest absolute Cost of Delay but is so large that smaller packages with comparable urgency win the ratio.</w:t>
            </w:r>
          </w:p>
          <w:p>
            <w:pPr>
              <w:spacing w:after="60" w:line="280"/>
              <w:jc w:val="both"/>
            </w:pPr>
            <w:r>
              <w:t xml:space="preserve">However: dependencies must still be respected. If WP-002 cannot start until WP-001 finishes, the WSJF ordering bows to the dependency. WSJF informs sequencing but does not override architecture.</w:t>
            </w:r>
          </w:p>
        </w:tc>
      </w:tr>
    </w:tbl>
    <w:p>
      <w:pPr>
        <w:pStyle w:val="Heading2"/>
        <w:spacing w:after="160" w:before="280"/>
      </w:pPr>
      <w:r>
        <w:rPr>
          <w:b/>
          <w:bCs/>
          <w:color w:val="2E75B6"/>
        </w:rPr>
        <w:t xml:space="preserve">8.3 Tool 3: MoSCoW</w:t>
      </w:r>
    </w:p>
    <w:p>
      <w:pPr>
        <w:spacing w:after="120" w:line="300"/>
        <w:jc w:val="both"/>
      </w:pPr>
      <w:r>
        <w:t xml:space="preserve">MoSCoW is a prioritisation classification method used widely in requirements management and adopted in TOGAF Phase F for both requirements and Work Packages. The four classifications are:</w:t>
      </w:r>
    </w:p>
    <w:p>
      <w:pPr>
        <w:pStyle w:val="ListParagraph"/>
        <w:numPr>
          <w:ilvl w:val="0"/>
          <w:numId w:val="2"/>
        </w:numPr>
        <w:spacing w:after="80" w:line="280"/>
      </w:pPr>
      <w:r>
        <w:t xml:space="preserve">Must — required for the engagement to deliver value at all. Without these, the engagement fails.</w:t>
      </w:r>
    </w:p>
    <w:p>
      <w:pPr>
        <w:pStyle w:val="ListParagraph"/>
        <w:numPr>
          <w:ilvl w:val="0"/>
          <w:numId w:val="2"/>
        </w:numPr>
        <w:spacing w:after="80" w:line="280"/>
      </w:pPr>
      <w:r>
        <w:t xml:space="preserve">Should — important and adds significant value, but the engagement could deliver without them in extremis.</w:t>
      </w:r>
    </w:p>
    <w:p>
      <w:pPr>
        <w:pStyle w:val="ListParagraph"/>
        <w:numPr>
          <w:ilvl w:val="0"/>
          <w:numId w:val="2"/>
        </w:numPr>
        <w:spacing w:after="80" w:line="280"/>
      </w:pPr>
      <w:r>
        <w:t xml:space="preserve">Could — desirable; nice to have; included if capacity allows.</w:t>
      </w:r>
    </w:p>
    <w:p>
      <w:pPr>
        <w:pStyle w:val="ListParagraph"/>
        <w:numPr>
          <w:ilvl w:val="0"/>
          <w:numId w:val="2"/>
        </w:numPr>
        <w:spacing w:after="80" w:line="280"/>
      </w:pPr>
      <w:r>
        <w:t xml:space="preserve">Won't (this time) — explicitly out of scope for the current engagement; may be revisited later.</w:t>
      </w:r>
    </w:p>
    <w:p>
      <w:pPr>
        <w:pStyle w:val="Heading3"/>
        <w:spacing w:after="120" w:before="220"/>
      </w:pPr>
      <w:r>
        <w:rPr>
          <w:b/>
          <w:bCs/>
          <w:color w:val="404040"/>
        </w:rPr>
        <w:t xml:space="preserve">Strengths</w:t>
      </w:r>
    </w:p>
    <w:p>
      <w:pPr>
        <w:spacing w:after="120" w:line="300"/>
        <w:jc w:val="both"/>
      </w:pPr>
      <w:r>
        <w:t xml:space="preserve">Forces explicit prioritisation conversation. Helpful at scope-setting time when the question is what to commit to vs what to defer. Easy to communicate. The "Won't (this time)" category is particularly valuable: it captures things that have been discussed and explicitly deferred, preventing them from creeping back in unnoticed.</w:t>
      </w:r>
    </w:p>
    <w:p>
      <w:pPr>
        <w:pStyle w:val="Heading3"/>
        <w:spacing w:after="120" w:before="220"/>
      </w:pPr>
      <w:r>
        <w:rPr>
          <w:b/>
          <w:bCs/>
          <w:color w:val="404040"/>
        </w:rPr>
        <w:t xml:space="preserve">Weaknesses</w:t>
      </w:r>
    </w:p>
    <w:p>
      <w:pPr>
        <w:spacing w:after="120" w:line="300"/>
        <w:jc w:val="both"/>
      </w:pPr>
      <w:r>
        <w:t xml:space="preserve">Coarse-grained — only four categories, with no ordering within a category. Tends to produce too many Musts (everyone wants their item to be a Must). Best used as a coarse filter combined with finer-grained ordering within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MoSCoW: </w:t>
            </w:r>
            <w:r>
              <w:t xml:space="preserve">A four-category prioritisation classification: Must, Should, Could, Won't (this time). Each Work Package or requirement is assigned exactly one category. Forces explicit prioritisation discussion and captures explicit deferrals.</w:t>
            </w:r>
          </w:p>
        </w:tc>
      </w:tr>
    </w:tbl>
    <w:p>
      <w:pPr>
        <w:pStyle w:val="Heading2"/>
        <w:spacing w:after="160" w:before="280"/>
      </w:pPr>
      <w:r>
        <w:rPr>
          <w:b/>
          <w:bCs/>
          <w:color w:val="2E75B6"/>
        </w:rPr>
        <w:t xml:space="preserve">8.4 Tool 4: Weighted Scoring</w:t>
      </w:r>
    </w:p>
    <w:p>
      <w:pPr>
        <w:spacing w:after="120" w:line="300"/>
        <w:jc w:val="both"/>
      </w:pPr>
      <w:r>
        <w:t xml:space="preserve">Weighted Scoring is the most rigorous of the four techniques. Each Work Package is scored against a defined set of criteria, each criterion weighted, the weighted scores summed, and the packages ranked by total.</w:t>
      </w:r>
    </w:p>
    <w:p>
      <w:pPr>
        <w:pStyle w:val="Heading3"/>
        <w:spacing w:after="120" w:before="220"/>
      </w:pPr>
      <w:r>
        <w:rPr>
          <w:b/>
          <w:bCs/>
          <w:color w:val="404040"/>
        </w:rPr>
        <w:t xml:space="preserve">Steps</w:t>
      </w:r>
    </w:p>
    <w:p>
      <w:pPr>
        <w:pStyle w:val="ListParagraph"/>
        <w:numPr>
          <w:ilvl w:val="0"/>
          <w:numId w:val="3"/>
        </w:numPr>
        <w:spacing w:after="80" w:line="280"/>
      </w:pPr>
      <w:r>
        <w:t xml:space="preserve">Define the criteria — typically five to ten: business value, strategic alignment, regulatory pressure, risk reduction, customer impact, technical risk, dependency simplicity, cost, time criticality, capability impact.</w:t>
      </w:r>
    </w:p>
    <w:p>
      <w:pPr>
        <w:pStyle w:val="ListParagraph"/>
        <w:numPr>
          <w:ilvl w:val="0"/>
          <w:numId w:val="3"/>
        </w:numPr>
        <w:spacing w:after="80" w:line="280"/>
      </w:pPr>
      <w:r>
        <w:t xml:space="preserve">Weight the criteria — assign a weight to each, summing to 100% or some other agreed total. The weights encode the relative importance of each criterion to the engagement.</w:t>
      </w:r>
    </w:p>
    <w:p>
      <w:pPr>
        <w:pStyle w:val="ListParagraph"/>
        <w:numPr>
          <w:ilvl w:val="0"/>
          <w:numId w:val="3"/>
        </w:numPr>
        <w:spacing w:after="80" w:line="280"/>
      </w:pPr>
      <w:r>
        <w:t xml:space="preserve">Score each Work Package on each criterion, typically 1–5 or 1–10.</w:t>
      </w:r>
    </w:p>
    <w:p>
      <w:pPr>
        <w:pStyle w:val="ListParagraph"/>
        <w:numPr>
          <w:ilvl w:val="0"/>
          <w:numId w:val="3"/>
        </w:numPr>
        <w:spacing w:after="80" w:line="280"/>
      </w:pPr>
      <w:r>
        <w:t xml:space="preserve">Compute weighted total per package: sum of (score × weight).</w:t>
      </w:r>
    </w:p>
    <w:p>
      <w:pPr>
        <w:pStyle w:val="ListParagraph"/>
        <w:numPr>
          <w:ilvl w:val="0"/>
          <w:numId w:val="3"/>
        </w:numPr>
        <w:spacing w:after="80" w:line="280"/>
      </w:pPr>
      <w:r>
        <w:t xml:space="preserve">Rank packages by weighted total.</w:t>
      </w:r>
    </w:p>
    <w:p>
      <w:pPr>
        <w:pStyle w:val="Heading3"/>
        <w:spacing w:after="120" w:before="220"/>
      </w:pPr>
      <w:r>
        <w:rPr>
          <w:b/>
          <w:bCs/>
          <w:color w:val="404040"/>
        </w:rPr>
        <w:t xml:space="preserve">Strengths</w:t>
      </w:r>
    </w:p>
    <w:p>
      <w:pPr>
        <w:spacing w:after="120" w:line="300"/>
        <w:jc w:val="both"/>
      </w:pPr>
      <w:r>
        <w:t xml:space="preserve">Most rigorous; transparent; reproducible; debate happens at the criteria-and-weights level (the structural discussion) rather than at every individual scoring (the repetitive discussion). Good for engagements where prioritisation is contested or auditable.</w:t>
      </w:r>
    </w:p>
    <w:p>
      <w:pPr>
        <w:pStyle w:val="Heading3"/>
        <w:spacing w:after="120" w:before="220"/>
      </w:pPr>
      <w:r>
        <w:rPr>
          <w:b/>
          <w:bCs/>
          <w:color w:val="404040"/>
        </w:rPr>
        <w:t xml:space="preserve">Weaknesses</w:t>
      </w:r>
    </w:p>
    <w:p>
      <w:pPr>
        <w:spacing w:after="120" w:line="300"/>
        <w:jc w:val="both"/>
      </w:pPr>
      <w:r>
        <w:t xml:space="preserve">Slow to set up. Falsely precise — the weighted total looks objective but rests on subjective scores. Can be gamed by parties who learn what scores yield favourable totals. Requires Architecture Board oversight to remain credible.</w:t>
      </w:r>
    </w:p>
    <w:p>
      <w:pPr>
        <w:pStyle w:val="Heading2"/>
        <w:spacing w:after="160" w:before="280"/>
      </w:pPr>
      <w:r>
        <w:rPr>
          <w:b/>
          <w:bCs/>
          <w:color w:val="2E75B6"/>
        </w:rPr>
        <w:t xml:space="preserve">8.5 Choosing the Right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Tool</w:t>
            </w:r>
          </w:p>
        </w:tc>
        <w:tc>
          <w:tcPr>
            <w:tcW w:type="dxa" w:w="4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Best For</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Avoid When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Value vs Effort</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Quick first-pass triage; executive communication; small numbers of packages</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Many packages with similar value/effort profiles; high-stakes contested decisions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WSJF</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Agile delivery; many packages; need to balance value, urgency, and size</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Many strong dependencies that override the formula; non-Agile delivery contexts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MoSCoW</w:t>
            </w:r>
          </w:p>
        </w:tc>
        <w:tc>
          <w:tcPr>
            <w:tcW w:type="dxa" w:w="4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Scope-setting; commitment vs deferral conversations; coarse filtering</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Need to order within a category; risk of "all Musts"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Weighted Scoring</w:t>
            </w:r>
          </w:p>
        </w:tc>
        <w:tc>
          <w:tcPr>
            <w:tcW w:type="dxa" w:w="4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Contested or auditable decisions; engagements with many criteria; regulated environments</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Time-pressured Phase F; small numbers of packages where simpler tools suffice</w:t>
            </w:r>
          </w:p>
        </w:tc>
      </w:tr>
    </w:tbl>
    <w:p>
      <w:pPr>
        <w:spacing w:after="120" w:line="300"/>
        <w:jc w:val="both"/>
      </w:pPr>
      <w:r>
        <w:t xml:space="preserve">Sophisticated Phase F prioritisation often combines tools. A common pattern: MoSCoW first to set the Must/Should boundary; Value vs Effort for executive communication of the high-level set; WSJF for fine-grained ordering within the Must and Should categories; Weighted Scoring reserved for the most contested individual decisions.</w:t>
      </w:r>
    </w:p>
    <w:p>
      <w:r>
        <w:br w:type="page"/>
      </w:r>
    </w:p>
    <w:p>
      <w:pPr>
        <w:pStyle w:val="Heading1"/>
        <w:spacing w:after="200" w:before="360"/>
      </w:pPr>
      <w:r>
        <w:rPr>
          <w:b/>
          <w:bCs/>
          <w:color w:val="1F4E78"/>
        </w:rPr>
        <w:t xml:space="preserve">9. Summary and Review</w:t>
      </w:r>
    </w:p>
    <w:p>
      <w:pPr>
        <w:pStyle w:val="Heading2"/>
        <w:spacing w:after="160" w:before="280"/>
      </w:pPr>
      <w:r>
        <w:rPr>
          <w:b/>
          <w:bCs/>
          <w:color w:val="2E75B6"/>
        </w:rPr>
        <w:t xml:space="preserve">9.1 The Big Picture</w:t>
      </w:r>
    </w:p>
    <w:p>
      <w:pPr>
        <w:spacing w:after="120" w:line="300"/>
        <w:jc w:val="both"/>
      </w:pPr>
      <w:r>
        <w:t xml:space="preserve">Phases E and F bridge architecture description and implementation delivery. Phase E identifies and creates the initial Architecture Roadmap by consolidating the gap analyses from B, C, and D, structuring them into Work Packages, grouping the packages into Transition Architectures, and pairing each Transition Architecture with its delivered Capability Increment. Phase F finalises the Roadmap and produces the detailed Implementation and Migration Plan that authorises actual delivery work. The two artefacts — Roadmap and Plan — are different things for different audiences. Each Transition Architecture must be intermediate, stable, valuable, and achievable, and each must deliver standalone business value sufficient to justify reaching it. Prioritisation in Phase F uses one or more formal techniques: Value vs Effort, WSJF, MoSCoW, Weighted Scoring.</w:t>
      </w:r>
    </w:p>
    <w:p>
      <w:pPr>
        <w:pStyle w:val="Heading2"/>
        <w:spacing w:after="160" w:before="280"/>
      </w:pPr>
      <w:r>
        <w:rPr>
          <w:b/>
          <w:bCs/>
          <w:color w:val="2E75B6"/>
        </w:rPr>
        <w:t xml:space="preserve">9.2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E verb</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Identifies and CREATES the initial Architecture Roadmap.</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Phase F verb</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FINALISES the Roadmap and produces the Implementation and Migration Plan.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Transition Architecture — four properties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Intermediate, Stable, Valuable, Achievable. All four must be present.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Standalone Value Principle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Each TA must justify itself. Programmes get curtailed; if value is back-loaded, curtailment wastes everything.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does NOT count as standalone value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Refactoring, paperwork, half-migrations, infrastructure without workloads, signed contracts.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Increment — three properties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Discrete (named capability), Measurable (defined metric), Time-boxed (defined date).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 vs Capability Increment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TA is the architectural state; CI is the business capability improvement that state delivers. Paired but distinct.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Work Package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 bounded unit of implementation work; 3–6 months typical; linked to gaps, TA, CI.</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 Packages from dispositions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 Rs and TIME classifications generate Work Packages directly.</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Roadmap</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Phase E creates, Phase F finalises. For executives and Architecture Board. Stable.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Implementation and Migration Plan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DETAILED. Phase F produces. For programme management and delivery teams. Living document.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Roadmap vs Plan</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Different artefacts, different times, different audiences. Confusing them is a classic exam mistake.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Prioritisation tools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Value vs Effort (visual, simple); WSJF (CoD/Job Size, Agile); MoSCoW (Must/Should/Could/Won't); Weighted Scoring (rigorous, criteria-based).</w:t>
            </w:r>
          </w:p>
        </w:tc>
      </w:tr>
    </w:tbl>
    <w:p>
      <w:pPr>
        <w:pStyle w:val="Heading2"/>
        <w:spacing w:after="160" w:before="280"/>
      </w:pPr>
      <w:r>
        <w:rPr>
          <w:b/>
          <w:bCs/>
          <w:color w:val="2E75B6"/>
        </w:rPr>
        <w:t xml:space="preserve">9.3 Self-Test Questions</w:t>
      </w:r>
    </w:p>
    <w:p>
      <w:pPr>
        <w:pStyle w:val="ListParagraph"/>
        <w:numPr>
          <w:ilvl w:val="0"/>
          <w:numId w:val="3"/>
        </w:numPr>
        <w:spacing w:after="80" w:line="280"/>
      </w:pPr>
      <w:r>
        <w:t xml:space="preserve">State the verb associated with Phase E and the verb associated with Phase F. Why does the distinction matter?</w:t>
      </w:r>
    </w:p>
    <w:p>
      <w:pPr>
        <w:pStyle w:val="ListParagraph"/>
        <w:numPr>
          <w:ilvl w:val="0"/>
          <w:numId w:val="3"/>
        </w:numPr>
        <w:spacing w:after="80" w:line="280"/>
      </w:pPr>
      <w:r>
        <w:t xml:space="preserve">Name the four required properties of a Transition Architecture and give a one-sentence test for each.</w:t>
      </w:r>
    </w:p>
    <w:p>
      <w:pPr>
        <w:pStyle w:val="ListParagraph"/>
        <w:numPr>
          <w:ilvl w:val="0"/>
          <w:numId w:val="3"/>
        </w:numPr>
        <w:spacing w:after="80" w:line="280"/>
      </w:pPr>
      <w:r>
        <w:t xml:space="preserve">Why must each Transition Architecture deliver standalone business value? Give two examples of "value" that do NOT count and explain why.</w:t>
      </w:r>
    </w:p>
    <w:p>
      <w:pPr>
        <w:pStyle w:val="ListParagraph"/>
        <w:numPr>
          <w:ilvl w:val="0"/>
          <w:numId w:val="3"/>
        </w:numPr>
        <w:spacing w:after="80" w:line="280"/>
      </w:pPr>
      <w:r>
        <w:t xml:space="preserve">Define a Capability Increment and name its three required properties.</w:t>
      </w:r>
    </w:p>
    <w:p>
      <w:pPr>
        <w:pStyle w:val="ListParagraph"/>
        <w:numPr>
          <w:ilvl w:val="0"/>
          <w:numId w:val="3"/>
        </w:numPr>
        <w:spacing w:after="80" w:line="280"/>
      </w:pPr>
      <w:r>
        <w:t xml:space="preserve">Distinguish a Transition Architecture from a Capability Increment.</w:t>
      </w:r>
    </w:p>
    <w:p>
      <w:pPr>
        <w:pStyle w:val="ListParagraph"/>
        <w:numPr>
          <w:ilvl w:val="0"/>
          <w:numId w:val="3"/>
        </w:numPr>
        <w:spacing w:after="80" w:line="280"/>
      </w:pPr>
      <w:r>
        <w:t xml:space="preserve">Define a Work Package. What is the typical granularity, and why?</w:t>
      </w:r>
    </w:p>
    <w:p>
      <w:pPr>
        <w:pStyle w:val="ListParagraph"/>
        <w:numPr>
          <w:ilvl w:val="0"/>
          <w:numId w:val="3"/>
        </w:numPr>
        <w:spacing w:after="80" w:line="280"/>
      </w:pPr>
      <w:r>
        <w:t xml:space="preserve">Give five differences between the Architecture Roadmap and the Implementation and Migration Plan.</w:t>
      </w:r>
    </w:p>
    <w:p>
      <w:pPr>
        <w:pStyle w:val="ListParagraph"/>
        <w:numPr>
          <w:ilvl w:val="0"/>
          <w:numId w:val="3"/>
        </w:numPr>
        <w:spacing w:after="80" w:line="280"/>
      </w:pPr>
      <w:r>
        <w:t xml:space="preserve">In which phase is the initial Roadmap created? In which phase is it finalised? In which phase is the Migration Plan produced?</w:t>
      </w:r>
    </w:p>
    <w:p>
      <w:pPr>
        <w:pStyle w:val="ListParagraph"/>
        <w:numPr>
          <w:ilvl w:val="0"/>
          <w:numId w:val="3"/>
        </w:numPr>
        <w:spacing w:after="80" w:line="280"/>
      </w:pPr>
      <w:r>
        <w:t xml:space="preserve">State the WSJF formula. Compute WSJF for a Work Package with Business Value 8, Time Criticality 3, Risk Reduction 5, Job Size 8.</w:t>
      </w:r>
    </w:p>
    <w:p>
      <w:pPr>
        <w:pStyle w:val="ListParagraph"/>
        <w:numPr>
          <w:ilvl w:val="0"/>
          <w:numId w:val="3"/>
        </w:numPr>
        <w:spacing w:after="80" w:line="280"/>
      </w:pPr>
      <w:r>
        <w:t xml:space="preserve">Name the four MoSCoW categories. Which category is most often misused, and how?</w:t>
      </w:r>
    </w:p>
    <w:p>
      <w:pPr>
        <w:pStyle w:val="Heading2"/>
        <w:spacing w:after="160" w:before="280"/>
      </w:pPr>
      <w:r>
        <w:rPr>
          <w:b/>
          <w:bCs/>
          <w:color w:val="2E75B6"/>
        </w:rPr>
        <w:t xml:space="preserve">9.4 Closing Note</w:t>
      </w:r>
    </w:p>
    <w:p>
      <w:pPr>
        <w:spacing w:after="120" w:line="300"/>
        <w:jc w:val="both"/>
      </w:pPr>
      <w:r>
        <w:t xml:space="preserve">Module 7 has covered the bridge between description and delivery. The next module turns to Phases G and H — Implementation Governance and Architecture Change Management — in which the Roadmap and Migration Plan are governed through actual implementation, the architecture is monitored once live, and the cycle is closed back to Phase A when material change demands it. The crucial input from Module 7 to Module 8 is the Implementation Governance Model defined in Phase F; everything in Phase G operates against it. Make sure you can state the four Transition Architecture properties, the three Capability Increment properties, the verbs of Phase E and F, the Roadmap-vs-Plan distinction, and the four prioritisation tools from memory before moving on.</w:t>
      </w:r>
    </w:p>
    <w:p>
      <w:pPr>
        <w:spacing w:after="120"/>
      </w:pPr>
      <w:r>
        <w:t xml:space="preserve"/>
      </w:r>
    </w:p>
    <w:p>
      <w:pPr>
        <w:spacing w:before="400"/>
        <w:jc w:val="center"/>
      </w:pPr>
      <w:r>
        <w:rPr>
          <w:i/>
          <w:iCs/>
          <w:color w:val="808080"/>
        </w:rPr>
        <w:t xml:space="preserve">— End of Module 7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7: ADM Phases E &amp; 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7 Study Guide</dc:title>
  <dc:creator>Claude</dc:creator>
  <dc:description>Comprehensive study guide for ADM Phases E and F</dc:description>
  <cp:lastModifiedBy>Un-named</cp:lastModifiedBy>
  <cp:revision>1</cp:revision>
  <dcterms:created xsi:type="dcterms:W3CDTF">2026-05-02T04:30:07.170Z</dcterms:created>
  <dcterms:modified xsi:type="dcterms:W3CDTF">2026-05-02T04:30:07.187Z</dcterms:modified>
</cp:coreProperties>
</file>

<file path=docProps/custom.xml><?xml version="1.0" encoding="utf-8"?>
<Properties xmlns="http://schemas.openxmlformats.org/officeDocument/2006/custom-properties" xmlns:vt="http://schemas.openxmlformats.org/officeDocument/2006/docPropsVTypes"/>
</file>