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b/>
          <w:bCs/>
          <w:color w:val="1F4E78"/>
          <w:sz w:val="96"/>
          <w:szCs w:val="96"/>
        </w:rPr>
        <w:t xml:space="preserve">TOGAF</w:t>
      </w:r>
    </w:p>
    <w:p>
      <w:pPr>
        <w:spacing w:after="400"/>
        <w:jc w:val="center"/>
      </w:pPr>
      <w:r>
        <w:rPr>
          <w:b/>
          <w:bCs/>
          <w:color w:val="2E75B6"/>
          <w:sz w:val="44"/>
          <w:szCs w:val="44"/>
        </w:rPr>
        <w:t xml:space="preserve">Enterprise Architecture Study Guide</w:t>
      </w:r>
    </w:p>
    <w:p>
      <w:pPr>
        <w:spacing w:after="1600"/>
        <w:jc w:val="center"/>
      </w:pPr>
      <w:r>
        <w:rPr>
          <w:i/>
          <w:iCs/>
          <w:color w:val="595959"/>
          <w:sz w:val="36"/>
          <w:szCs w:val="36"/>
        </w:rPr>
        <w:t xml:space="preserve">Module 8: ADM Phases G &amp; H</w:t>
      </w:r>
    </w:p>
    <w:p>
      <w:pPr>
        <w:spacing w:after="200"/>
        <w:jc w:val="center"/>
      </w:pPr>
      <w:r>
        <w:rPr>
          <w:color w:val="595959"/>
          <w:sz w:val="28"/>
          <w:szCs w:val="28"/>
        </w:rPr>
        <w:t xml:space="preserve">Implementation Governance · Architecture Change Management</w:t>
      </w:r>
    </w:p>
    <w:p>
      <w:pPr>
        <w:spacing w:after="200"/>
        <w:jc w:val="center"/>
      </w:pPr>
      <w:r>
        <w:rPr>
          <w:color w:val="808080"/>
          <w:sz w:val="22"/>
          <w:szCs w:val="22"/>
        </w:rPr>
        <w:t xml:space="preserve">Architecture Contracts · Compliance Levels · Dispensations · Change Classification · Impact Assessment</w:t>
      </w:r>
    </w:p>
    <w:p>
      <w:pPr>
        <w:spacing w:before="2400"/>
        <w:jc w:val="center"/>
      </w:pPr>
      <w:r>
        <w:rPr>
          <w:i/>
          <w:iCs/>
          <w:color w:val="808080"/>
          <w:sz w:val="22"/>
          <w:szCs w:val="22"/>
        </w:rPr>
        <w:t xml:space="preserve">Aligned with TOGAF® Standard, 10th Edition (The Open Group)</w:t>
      </w:r>
    </w:p>
    <w:p>
      <w:r>
        <w:br w:type="page"/>
      </w:r>
    </w:p>
    <w:p>
      <w:pPr>
        <w:pStyle w:val="Heading1"/>
        <w:spacing w:after="200" w:before="360"/>
      </w:pPr>
      <w:r>
        <w:rPr>
          <w:b/>
          <w:bCs/>
          <w:color w:val="1F4E78"/>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b/>
          <w:bCs/>
          <w:color w:val="1F4E78"/>
        </w:rPr>
        <w:t xml:space="preserve">Introduction to Module 8</w:t>
      </w:r>
    </w:p>
    <w:p>
      <w:pPr>
        <w:spacing w:after="120" w:line="300"/>
        <w:jc w:val="both"/>
      </w:pPr>
      <w:r>
        <w:t xml:space="preserve">Modules 5, 6, and 7 walked through the substantive architecture work — from the practice-establishing Preliminary Phase, through the engagement-launching Phase A, the architecture-developing Phases B, C, and D, and finally the bridge-to-delivery Phases E and F. At the end of Phase F the enterprise has a finalised Roadmap, a detailed Implementation and Migration Plan, a refined business case, signed funding, and an Implementation Governance Model ready to operate. What it does not yet have is anything actually built. That work happens in Phase G.</w:t>
      </w:r>
    </w:p>
    <w:p>
      <w:pPr>
        <w:spacing w:after="120" w:line="300"/>
        <w:jc w:val="both"/>
      </w:pPr>
      <w:r>
        <w:t xml:space="preserve">Module 8 covers the final two phases of the ADM: Phase G (Implementation Governance), in which the architecture team oversees the actual delivery of the architecture by implementation projects; and Phase H (Architecture Change Management), in which the architecture is monitored continuously after going live and the cycle is closed back to Phase A when material change demands a new engagement. Together these two phases account for the longest elapsed time in any architecture cycle — Phase G typically runs for years, and Phase H runs continuously thereafter.</w:t>
      </w:r>
    </w:p>
    <w:p>
      <w:pPr>
        <w:spacing w:after="120" w:line="300"/>
        <w:jc w:val="both"/>
      </w:pPr>
      <w:r>
        <w:t xml:space="preserve">The exam-relevant insights of this module are several. First, Phase G is about governing implementation, not doing it — architects oversee, review, and contract; they do not write code. Second, the six compliance levels (Irrelevant, Consistent, Compliant, Conformant, Fully Conformant, Non-Conformant) form a precise vocabulary that the exam tests carefully. Third, dispensations are formal time-bounded exceptions with named owners and expiry — not informal exceptions. Fourth, Phase H is continuous and runs in parallel with operations; it is not a one-time hand-over event. Fifth, when change is large enough, Phase H produces a new Statement of Architecture Work that re-enters Phase A and starts a new cycle.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8"/>
              <w:left w:val="single" w:color="C9A227" w:sz="24"/>
              <w:bottom w:val="single" w:color="C9A227" w:sz="8"/>
              <w:right w:val="single" w:color="C9A227" w:sz="4"/>
            </w:tcBorders>
            <w:shd w:fill="FFF4CE" w:val="clear"/>
            <w:tcMar>
              <w:top w:type="dxa" w:w="160"/>
              <w:left w:type="dxa" w:w="200"/>
              <w:bottom w:type="dxa" w:w="160"/>
              <w:right w:type="dxa" w:w="200"/>
            </w:tcMar>
          </w:tcPr>
          <w:p>
            <w:pPr>
              <w:spacing w:after="80"/>
            </w:pPr>
            <w:r>
              <w:rPr>
                <w:b/>
                <w:bCs/>
                <w:color w:val="7C5800"/>
              </w:rPr>
              <w:t xml:space="preserve">How to Read This Module</w:t>
            </w:r>
          </w:p>
          <w:p>
            <w:pPr>
              <w:spacing w:after="60" w:line="280"/>
              <w:jc w:val="both"/>
            </w:pPr>
            <w:r>
              <w:t xml:space="preserve">Phases G and H share a deceptive simplicity. They appear, on first reading, to be "the easy phases" because no new architecture is developed in them. This is misleading. Phase G is where the architecture meets reality, and reality is harder than design. Phase H is where the architecture meets time, and time is harder than reality. The discipline applied in these phases determines whether the architecture survives delivery and remains current; without that discipline, even the best Phase B/C/D work decays into a museum exhibit while the actual systems drift away.</w:t>
            </w:r>
          </w:p>
        </w:tc>
      </w:tr>
    </w:tbl>
    <w:p>
      <w:r>
        <w:br w:type="page"/>
      </w:r>
    </w:p>
    <w:p>
      <w:pPr>
        <w:pStyle w:val="Heading1"/>
        <w:spacing w:after="200" w:before="360"/>
      </w:pPr>
      <w:r>
        <w:rPr>
          <w:b/>
          <w:bCs/>
          <w:color w:val="1F4E78"/>
        </w:rPr>
        <w:t xml:space="preserve">1. Phase G — Implementation Governance</w:t>
      </w:r>
    </w:p>
    <w:p>
      <w:pPr>
        <w:spacing w:after="120" w:line="300"/>
        <w:jc w:val="both"/>
      </w:pPr>
      <w:r>
        <w:t xml:space="preserve">Phase G is the phase in which the architecture is implemented — but the architects are not the implementers. Phase G is about governing implementation work to ensure it conforms to the approved architecture. The architects oversee, review, contract, advise, and decide; the implementation projects build.</w:t>
      </w:r>
    </w:p>
    <w:p>
      <w:pPr>
        <w:pStyle w:val="Heading2"/>
        <w:spacing w:after="160" w:before="280"/>
      </w:pPr>
      <w:r>
        <w:rPr>
          <w:b/>
          <w:bCs/>
          <w:color w:val="2E75B6"/>
        </w:rPr>
        <w:t xml:space="preserve">1.1 Purpose and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Phase G — Implementation Governance: </w:t>
            </w:r>
            <w:r>
              <w:t xml:space="preserve">The ADM phase in which the architecture function provides architectural oversight of implementation projects, conducting Architecture Compliance Reviews, signing Architecture Contracts, issuing or refusing dispensations, and updating the architecture as implementation reveals new constraints. The longest phase in elapsed time for most engagements; typically runs for years.</w:t>
            </w:r>
          </w:p>
        </w:tc>
      </w:tr>
    </w:tbl>
    <w:p>
      <w:pPr>
        <w:spacing w:after="120" w:line="300"/>
        <w:jc w:val="both"/>
      </w:pPr>
      <w:r>
        <w:t xml:space="preserve">The objectives of Phase G are: to ensure that what gets built conforms to what was approved; to update the architecture when implementation reveals genuinely new constraints; to provide architectural advice to delivery teams when they hit decision points not anticipated in the architecture; and to capture lessons learned that will feed back into Phase H and future cycles.</w:t>
      </w:r>
    </w:p>
    <w:p>
      <w:pPr>
        <w:pStyle w:val="Heading2"/>
        <w:spacing w:after="160" w:before="280"/>
      </w:pPr>
      <w:r>
        <w:rPr>
          <w:b/>
          <w:bCs/>
          <w:color w:val="2E75B6"/>
        </w:rPr>
        <w:t xml:space="preserve">1.2 The Three Pillars of Phase G Activity</w:t>
      </w:r>
    </w:p>
    <w:p>
      <w:pPr>
        <w:spacing w:after="120" w:line="300"/>
        <w:jc w:val="both"/>
      </w:pPr>
      <w:r>
        <w:t xml:space="preserve">Phase G activity centres on three pillars: Architecture Contracts (the formal agreements between architecture and delivery teams), Compliance Reviews (the formal evaluations of project work against the architecture), and Dispensations (the formal exceptions when conformance is not achievable). Each is treated in detail in subsequent sections.</w:t>
      </w:r>
    </w:p>
    <w:p>
      <w:pPr>
        <w:spacing w:after="120" w:line="300"/>
        <w:jc w:val="both"/>
      </w:pPr>
      <w:r>
        <w:t xml:space="preserve">In addition to these three pillars, Phase G involves continuous lighter-touch engagement: attending project design reviews, advising solution architects, responding to ad-hoc questions, and interpreting principles and standards in the specific contexts that arise during build. The formal artefacts (Contracts, Reviews, Dispensations) are the visible governance; the continuous engagement is the day-to-day reality.</w:t>
      </w:r>
    </w:p>
    <w:p>
      <w:pPr>
        <w:pStyle w:val="Heading2"/>
        <w:spacing w:after="160" w:before="280"/>
      </w:pPr>
      <w:r>
        <w:rPr>
          <w:b/>
          <w:bCs/>
          <w:color w:val="2E75B6"/>
        </w:rPr>
        <w:t xml:space="preserve">1.3 Phase G Inputs and Outputs</w:t>
      </w:r>
    </w:p>
    <w:p>
      <w:pPr>
        <w:pStyle w:val="Heading3"/>
        <w:spacing w:after="120" w:before="220"/>
      </w:pPr>
      <w:r>
        <w:rPr>
          <w:b/>
          <w:bCs/>
          <w:color w:val="404040"/>
        </w:rPr>
        <w:t xml:space="preserve">Principal Inputs</w:t>
      </w:r>
    </w:p>
    <w:p>
      <w:pPr>
        <w:pStyle w:val="ListParagraph"/>
        <w:numPr>
          <w:ilvl w:val="0"/>
          <w:numId w:val="2"/>
        </w:numPr>
        <w:spacing w:after="80" w:line="280"/>
      </w:pPr>
      <w:r>
        <w:t xml:space="preserve">The Architecture Definition Document (the approved design baseline).</w:t>
      </w:r>
    </w:p>
    <w:p>
      <w:pPr>
        <w:pStyle w:val="ListParagraph"/>
        <w:numPr>
          <w:ilvl w:val="0"/>
          <w:numId w:val="2"/>
        </w:numPr>
        <w:spacing w:after="80" w:line="280"/>
      </w:pPr>
      <w:r>
        <w:t xml:space="preserve">The Architecture Requirements Specification (the requirements being satisfied).</w:t>
      </w:r>
    </w:p>
    <w:p>
      <w:pPr>
        <w:pStyle w:val="ListParagraph"/>
        <w:numPr>
          <w:ilvl w:val="0"/>
          <w:numId w:val="2"/>
        </w:numPr>
        <w:spacing w:after="80" w:line="280"/>
      </w:pPr>
      <w:r>
        <w:t xml:space="preserve">The Architecture Roadmap and Implementation and Migration Plan (the work being delivered).</w:t>
      </w:r>
    </w:p>
    <w:p>
      <w:pPr>
        <w:pStyle w:val="ListParagraph"/>
        <w:numPr>
          <w:ilvl w:val="0"/>
          <w:numId w:val="2"/>
        </w:numPr>
        <w:spacing w:after="80" w:line="280"/>
      </w:pPr>
      <w:r>
        <w:t xml:space="preserve">The Implementation Governance Model from Phase F (the governance arrangements).</w:t>
      </w:r>
    </w:p>
    <w:p>
      <w:pPr>
        <w:pStyle w:val="ListParagraph"/>
        <w:numPr>
          <w:ilvl w:val="0"/>
          <w:numId w:val="2"/>
        </w:numPr>
        <w:spacing w:after="80" w:line="280"/>
      </w:pPr>
      <w:r>
        <w:t xml:space="preserve">The Architecture Principles, Standards, and tailored framework from the Preliminary Phase.</w:t>
      </w:r>
    </w:p>
    <w:p>
      <w:pPr>
        <w:pStyle w:val="Heading3"/>
        <w:spacing w:after="120" w:before="220"/>
      </w:pPr>
      <w:r>
        <w:rPr>
          <w:b/>
          <w:bCs/>
          <w:color w:val="404040"/>
        </w:rPr>
        <w:t xml:space="preserve">Principal Outputs</w:t>
      </w:r>
    </w:p>
    <w:p>
      <w:pPr>
        <w:pStyle w:val="ListParagraph"/>
        <w:numPr>
          <w:ilvl w:val="0"/>
          <w:numId w:val="2"/>
        </w:numPr>
        <w:spacing w:after="80" w:line="280"/>
      </w:pPr>
      <w:r>
        <w:t xml:space="preserve">Signed Architecture Contracts with each implementation project.</w:t>
      </w:r>
    </w:p>
    <w:p>
      <w:pPr>
        <w:pStyle w:val="ListParagraph"/>
        <w:numPr>
          <w:ilvl w:val="0"/>
          <w:numId w:val="2"/>
        </w:numPr>
        <w:spacing w:after="80" w:line="280"/>
      </w:pPr>
      <w:r>
        <w:t xml:space="preserve">Completed Architecture Compliance Reviews with documented outcomes.</w:t>
      </w:r>
    </w:p>
    <w:p>
      <w:pPr>
        <w:pStyle w:val="ListParagraph"/>
        <w:numPr>
          <w:ilvl w:val="0"/>
          <w:numId w:val="2"/>
        </w:numPr>
        <w:spacing w:after="80" w:line="280"/>
      </w:pPr>
      <w:r>
        <w:t xml:space="preserve">Issued or refused Dispensations, each with expiry and remediation.</w:t>
      </w:r>
    </w:p>
    <w:p>
      <w:pPr>
        <w:pStyle w:val="ListParagraph"/>
        <w:numPr>
          <w:ilvl w:val="0"/>
          <w:numId w:val="2"/>
        </w:numPr>
        <w:spacing w:after="80" w:line="280"/>
      </w:pPr>
      <w:r>
        <w:t xml:space="preserve">Architecture updates — typically minor — triggered by lessons from implementation.</w:t>
      </w:r>
    </w:p>
    <w:p>
      <w:pPr>
        <w:pStyle w:val="ListParagraph"/>
        <w:numPr>
          <w:ilvl w:val="0"/>
          <w:numId w:val="2"/>
        </w:numPr>
        <w:spacing w:after="80" w:line="280"/>
      </w:pPr>
      <w:r>
        <w:t xml:space="preserve">Updated Governance Log in the Architecture Repository.</w:t>
      </w:r>
    </w:p>
    <w:p>
      <w:pPr>
        <w:pStyle w:val="ListParagraph"/>
        <w:numPr>
          <w:ilvl w:val="0"/>
          <w:numId w:val="2"/>
        </w:numPr>
        <w:spacing w:after="80" w:line="280"/>
      </w:pPr>
      <w:r>
        <w:t xml:space="preserve">Implementation lessons learned, feeding into Phase H and the practice's continuous improvement.</w:t>
      </w:r>
    </w:p>
    <w:p>
      <w:r>
        <w:br w:type="page"/>
      </w:r>
    </w:p>
    <w:p>
      <w:pPr>
        <w:pStyle w:val="Heading1"/>
        <w:spacing w:after="200" w:before="360"/>
      </w:pPr>
      <w:r>
        <w:rPr>
          <w:b/>
          <w:bCs/>
          <w:color w:val="1F4E78"/>
        </w:rPr>
        <w:t xml:space="preserve">2. Architecture Contracts</w:t>
      </w:r>
    </w:p>
    <w:p>
      <w:pPr>
        <w:spacing w:after="120" w:line="300"/>
        <w:jc w:val="both"/>
      </w:pPr>
      <w:r>
        <w:t xml:space="preserve">An Architecture Contract is the formal binding agreement between the architecture function and an implementation team that codifies what the team will build, what conformance the architecture function will require, and what support the architecture function will provide in return. It is the primary instrument by which architectural intent translates into delivery commitment.</w:t>
      </w:r>
    </w:p>
    <w:p>
      <w:pPr>
        <w:pStyle w:val="Heading2"/>
        <w:spacing w:after="160" w:before="280"/>
      </w:pPr>
      <w:r>
        <w:rPr>
          <w:b/>
          <w:bCs/>
          <w:color w:val="2E75B6"/>
        </w:rPr>
        <w:t xml:space="preserve">2.1 What an Architecture Contract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Architecture Contract: </w:t>
            </w:r>
            <w:r>
              <w:t xml:space="preserve">A formal, signed agreement between the architecture function and an implementation team. It defines the architectural baseline the team will build to, the conformance expected, the architecture's support obligations to the team, the change-control mechanism for architectural changes during build, and the acceptance criteria for the delivered architecture. Issued at the start of Phase G for each implementation project; honoured throughout build.</w:t>
            </w:r>
          </w:p>
        </w:tc>
      </w:tr>
    </w:tbl>
    <w:p>
      <w:pPr>
        <w:spacing w:after="120" w:line="300"/>
        <w:jc w:val="both"/>
      </w:pPr>
      <w:r>
        <w:t xml:space="preserve">The Architecture Contract is a contract in the substantive sense, not just a heading on a document. It binds both parties: the implementation team commits to building to the agreed architecture; the architecture function commits to providing the artefacts, decisions, and support the team needs. Either party failing on its commitments is a breach to be escalated, not a friction to be tolerated.</w:t>
      </w:r>
    </w:p>
    <w:p>
      <w:pPr>
        <w:pStyle w:val="Heading2"/>
        <w:spacing w:after="160" w:before="280"/>
      </w:pPr>
      <w:r>
        <w:rPr>
          <w:b/>
          <w:bCs/>
          <w:color w:val="2E75B6"/>
        </w:rPr>
        <w:t xml:space="preserve">2.2 Why Contracts Are Used</w:t>
      </w:r>
    </w:p>
    <w:p>
      <w:pPr>
        <w:spacing w:after="120" w:line="300"/>
        <w:jc w:val="both"/>
      </w:pPr>
      <w:r>
        <w:t xml:space="preserve">Three reasons the formal Contract instrument exists rather than informal architecture-team-to-delivery-team understanding:</w:t>
      </w:r>
    </w:p>
    <w:p>
      <w:pPr>
        <w:pStyle w:val="ListParagraph"/>
        <w:numPr>
          <w:ilvl w:val="0"/>
          <w:numId w:val="3"/>
        </w:numPr>
        <w:spacing w:after="80" w:line="280"/>
      </w:pPr>
      <w:r>
        <w:t xml:space="preserve">Memory. Implementation projects run for months or years; team members change; sponsors rotate; understandings fade. The Contract is the written record that survives personnel change and provides authoritative reference when memory diverges.</w:t>
      </w:r>
    </w:p>
    <w:p>
      <w:pPr>
        <w:pStyle w:val="ListParagraph"/>
        <w:numPr>
          <w:ilvl w:val="0"/>
          <w:numId w:val="3"/>
        </w:numPr>
        <w:spacing w:after="80" w:line="280"/>
      </w:pPr>
      <w:r>
        <w:t xml:space="preserve">Mutual obligation. Without formal contract, governance becomes one-sided — architects review delivery work but delivery teams have no symmetrical claim on architects. The Contract makes the obligation mutual: architecture must deliver what it promised the team in return.</w:t>
      </w:r>
    </w:p>
    <w:p>
      <w:pPr>
        <w:pStyle w:val="ListParagraph"/>
        <w:numPr>
          <w:ilvl w:val="0"/>
          <w:numId w:val="3"/>
        </w:numPr>
        <w:spacing w:after="80" w:line="280"/>
      </w:pPr>
      <w:r>
        <w:t xml:space="preserve">Escalation basis. When tensions arise (delivery wants to deviate; architecture wants stricter compliance), the Contract is the basis for escalation. Without it, escalation conversations are arguments about subjective views; with it, they are evaluations against agreed terms.</w:t>
      </w:r>
    </w:p>
    <w:p>
      <w:pPr>
        <w:pStyle w:val="Heading2"/>
        <w:spacing w:after="160" w:before="280"/>
      </w:pPr>
      <w:r>
        <w:rPr>
          <w:b/>
          <w:bCs/>
          <w:color w:val="2E75B6"/>
        </w:rPr>
        <w:t xml:space="preserve">2.3 Standard Architecture Contract Contents</w:t>
      </w:r>
    </w:p>
    <w:p>
      <w:pPr>
        <w:pStyle w:val="ListParagraph"/>
        <w:numPr>
          <w:ilvl w:val="0"/>
          <w:numId w:val="2"/>
        </w:numPr>
        <w:spacing w:after="80" w:line="280"/>
      </w:pPr>
      <w:r>
        <w:t xml:space="preserve">Identification and parties — engagement name, project name, architecture function representative, project lead, signing dates.</w:t>
      </w:r>
    </w:p>
    <w:p>
      <w:pPr>
        <w:pStyle w:val="ListParagraph"/>
        <w:numPr>
          <w:ilvl w:val="0"/>
          <w:numId w:val="2"/>
        </w:numPr>
        <w:spacing w:after="80" w:line="280"/>
      </w:pPr>
      <w:r>
        <w:t xml:space="preserve">Architectural baseline — the specific version of the Architecture Definition Document and Requirements Specification that the project will build to.</w:t>
      </w:r>
    </w:p>
    <w:p>
      <w:pPr>
        <w:pStyle w:val="ListParagraph"/>
        <w:numPr>
          <w:ilvl w:val="0"/>
          <w:numId w:val="2"/>
        </w:numPr>
        <w:spacing w:after="80" w:line="280"/>
      </w:pPr>
      <w:r>
        <w:t xml:space="preserve">Architecture Principles applicable — the principles the project must conform to, with any project-specific interpretation.</w:t>
      </w:r>
    </w:p>
    <w:p>
      <w:pPr>
        <w:pStyle w:val="ListParagraph"/>
        <w:numPr>
          <w:ilvl w:val="0"/>
          <w:numId w:val="2"/>
        </w:numPr>
        <w:spacing w:after="80" w:line="280"/>
      </w:pPr>
      <w:r>
        <w:t xml:space="preserve">Standards applicable — the technology standards (e.g., TIME-classified) that the project must use.</w:t>
      </w:r>
    </w:p>
    <w:p>
      <w:pPr>
        <w:pStyle w:val="ListParagraph"/>
        <w:numPr>
          <w:ilvl w:val="0"/>
          <w:numId w:val="2"/>
        </w:numPr>
        <w:spacing w:after="80" w:line="280"/>
      </w:pPr>
      <w:r>
        <w:t xml:space="preserve">Conformance expected — the level of compliance required (typically Conformant or Fully Conformant; Compliant for less strategic projects).</w:t>
      </w:r>
    </w:p>
    <w:p>
      <w:pPr>
        <w:pStyle w:val="ListParagraph"/>
        <w:numPr>
          <w:ilvl w:val="0"/>
          <w:numId w:val="2"/>
        </w:numPr>
        <w:spacing w:after="80" w:line="280"/>
      </w:pPr>
      <w:r>
        <w:t xml:space="preserve">Compliance Review schedule — at which gates the project will be reviewed, with what artefacts.</w:t>
      </w:r>
    </w:p>
    <w:p>
      <w:pPr>
        <w:pStyle w:val="ListParagraph"/>
        <w:numPr>
          <w:ilvl w:val="0"/>
          <w:numId w:val="2"/>
        </w:numPr>
        <w:spacing w:after="80" w:line="280"/>
      </w:pPr>
      <w:r>
        <w:t xml:space="preserve">Architecture support obligations — what the architecture function will provide: turnaround on advisory questions, decision SLAs, attendance at project ceremonies, documentation.</w:t>
      </w:r>
    </w:p>
    <w:p>
      <w:pPr>
        <w:pStyle w:val="ListParagraph"/>
        <w:numPr>
          <w:ilvl w:val="0"/>
          <w:numId w:val="2"/>
        </w:numPr>
        <w:spacing w:after="80" w:line="280"/>
      </w:pPr>
      <w:r>
        <w:t xml:space="preserve">Change control — how changes to the architecture during the project life are agreed; how project-driven architectural change requests are handled.</w:t>
      </w:r>
    </w:p>
    <w:p>
      <w:pPr>
        <w:pStyle w:val="ListParagraph"/>
        <w:numPr>
          <w:ilvl w:val="0"/>
          <w:numId w:val="2"/>
        </w:numPr>
        <w:spacing w:after="80" w:line="280"/>
      </w:pPr>
      <w:r>
        <w:t xml:space="preserve">Dispensation procedures — how dispensations may be requested by the project; standard turnaround and approval authority.</w:t>
      </w:r>
    </w:p>
    <w:p>
      <w:pPr>
        <w:pStyle w:val="ListParagraph"/>
        <w:numPr>
          <w:ilvl w:val="0"/>
          <w:numId w:val="2"/>
        </w:numPr>
        <w:spacing w:after="80" w:line="280"/>
      </w:pPr>
      <w:r>
        <w:t xml:space="preserve">Acceptance criteria — what completion of the project means from an architectural perspective; the final architecture sign-off.</w:t>
      </w:r>
    </w:p>
    <w:p>
      <w:pPr>
        <w:pStyle w:val="ListParagraph"/>
        <w:numPr>
          <w:ilvl w:val="0"/>
          <w:numId w:val="2"/>
        </w:numPr>
        <w:spacing w:after="80" w:line="280"/>
      </w:pPr>
      <w:r>
        <w:t xml:space="preserve">Signatures — architecture lead and project lead; witnessed by the Architecture Board chair for high-criticality projects.</w:t>
      </w:r>
    </w:p>
    <w:p>
      <w:pPr>
        <w:pStyle w:val="Heading2"/>
        <w:spacing w:after="160" w:before="280"/>
      </w:pPr>
      <w:r>
        <w:rPr>
          <w:b/>
          <w:bCs/>
          <w:color w:val="2E75B6"/>
        </w:rPr>
        <w:t xml:space="preserve">2.4 Architecture Contracts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4"/>
            </w:tcBorders>
            <w:shd w:fill="EAF1F8" w:val="clear"/>
            <w:tcMar>
              <w:top w:type="dxa" w:w="160"/>
              <w:left w:type="dxa" w:w="200"/>
              <w:bottom w:type="dxa" w:w="160"/>
              <w:right w:type="dxa" w:w="200"/>
            </w:tcMar>
          </w:tcPr>
          <w:p>
            <w:pPr>
              <w:spacing w:after="100"/>
            </w:pPr>
            <w:r>
              <w:rPr>
                <w:b/>
                <w:bCs/>
                <w:color w:val="1F4E78"/>
              </w:rPr>
              <w:t xml:space="preserve">▶ An Architecture Contract in Action</w:t>
            </w:r>
          </w:p>
          <w:p>
            <w:pPr>
              <w:spacing w:after="60" w:line="280"/>
              <w:jc w:val="both"/>
            </w:pPr>
            <w:r>
              <w:t xml:space="preserve">Engagement: digital onboarding modernisation. Project: WP-001 Identity Service Procurement and Integration.</w:t>
            </w:r>
          </w:p>
          <w:p>
            <w:pPr>
              <w:spacing w:after="60" w:line="280"/>
              <w:jc w:val="both"/>
            </w:pPr>
            <w:r>
              <w:t xml:space="preserve">Parties: Architecture Lead (A. Patel) and Project Lead (R. Singh). Witnessed by Architecture Board Chair.</w:t>
            </w:r>
          </w:p>
          <w:p>
            <w:pPr>
              <w:spacing w:after="60" w:line="280"/>
              <w:jc w:val="both"/>
            </w:pPr>
            <w:r>
              <w:t xml:space="preserve">Architectural baseline: Architecture Definition Document v2.3, dated 15 March 2025; Architecture Requirements Specification entries AR-101 to AR-107.</w:t>
            </w:r>
          </w:p>
          <w:p>
            <w:pPr>
              <w:spacing w:after="60" w:line="280"/>
              <w:jc w:val="both"/>
            </w:pPr>
            <w:r>
              <w:t xml:space="preserve">Conformance expected: Fully Conformant (this is a strategic capability; partial conformance unacceptable).</w:t>
            </w:r>
          </w:p>
          <w:p>
            <w:pPr>
              <w:spacing w:after="60" w:line="280"/>
              <w:jc w:val="both"/>
            </w:pPr>
            <w:r>
              <w:t xml:space="preserve">Architecture support obligations: 48-hour turnaround on advisory questions; Architecture Lead attends fortnightly steering meeting; Solution Architect available 50% time during Sprints 1–4 and 25% thereafter.</w:t>
            </w:r>
          </w:p>
          <w:p>
            <w:pPr>
              <w:spacing w:after="60" w:line="280"/>
              <w:jc w:val="both"/>
            </w:pPr>
            <w:r>
              <w:t xml:space="preserve">Change control: any architecture change with cross-project impact is escalated to the Architecture Board; project-internal interpretation decisions can be agreed by Architecture Lead and Solution Architect.</w:t>
            </w:r>
          </w:p>
          <w:p>
            <w:pPr>
              <w:spacing w:after="60" w:line="280"/>
              <w:jc w:val="both"/>
            </w:pPr>
            <w:r>
              <w:t xml:space="preserve">Compliance Reviews: at solution design (week 4), at integration design (week 12), at pre-go-live (week 22), and at post-implementation (week 32). Each Review produces a documented outcome.</w:t>
            </w:r>
          </w:p>
          <w:p>
            <w:pPr>
              <w:spacing w:after="60" w:line="280"/>
              <w:jc w:val="both"/>
            </w:pPr>
            <w:r>
              <w:t xml:space="preserve">Acceptance: Architecture Board sign-off following the post-implementation Review.</w:t>
            </w:r>
          </w:p>
          <w:p>
            <w:pPr>
              <w:spacing w:after="60" w:line="280"/>
              <w:jc w:val="both"/>
            </w:pPr>
            <w:r>
              <w:t xml:space="preserve">Signed by both leads on 1 April 2025. The Contract becomes the reference document for all governance interactions on this project for the next 32 weeks. Either party can cite it; neither can unilaterally change it without re-signature.</w:t>
            </w:r>
          </w:p>
        </w:tc>
      </w:tr>
    </w:tbl>
    <w:p>
      <w:r>
        <w:br w:type="page"/>
      </w:r>
    </w:p>
    <w:p>
      <w:pPr>
        <w:pStyle w:val="Heading1"/>
        <w:spacing w:after="200" w:before="360"/>
      </w:pPr>
      <w:r>
        <w:rPr>
          <w:b/>
          <w:bCs/>
          <w:color w:val="1F4E78"/>
        </w:rPr>
        <w:t xml:space="preserve">3. Architecture Compliance Reviews</w:t>
      </w:r>
    </w:p>
    <w:p>
      <w:pPr>
        <w:spacing w:after="120" w:line="300"/>
        <w:jc w:val="both"/>
      </w:pPr>
      <w:r>
        <w:t xml:space="preserve">The Architecture Compliance Review is the principal governance instrument of Phase G. It is a formal review by the architecture function of an implementation project's design and delivery against the approved architecture. Its outcomes are recorded in the Architecture Repository's Governance Log and become part of the project's audit trail.</w:t>
      </w:r>
    </w:p>
    <w:p>
      <w:pPr>
        <w:pStyle w:val="Heading2"/>
        <w:spacing w:after="160" w:before="280"/>
      </w:pPr>
      <w:r>
        <w:rPr>
          <w:b/>
          <w:bCs/>
          <w:color w:val="2E75B6"/>
        </w:rPr>
        <w:t xml:space="preserve">3.1 What a Compliance Review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Architecture Compliance Review: </w:t>
            </w:r>
            <w:r>
              <w:t xml:space="preserve">A formal review by the architecture function (typically a sub-team of the Architecture Board) of an implementation project's design and delivery against the approved architecture. Conducted at agreed gate points defined in the Architecture Contract. Produces a documented outcome: one of the six compliance levels, plus any required remediation, dispensations, or escalations.</w:t>
            </w:r>
          </w:p>
        </w:tc>
      </w:tr>
    </w:tbl>
    <w:p>
      <w:pPr>
        <w:pStyle w:val="Heading2"/>
        <w:spacing w:after="160" w:before="280"/>
      </w:pPr>
      <w:r>
        <w:rPr>
          <w:b/>
          <w:bCs/>
          <w:color w:val="2E75B6"/>
        </w:rPr>
        <w:t xml:space="preserve">3.2 When Compliance Reviews Happen</w:t>
      </w:r>
    </w:p>
    <w:p>
      <w:pPr>
        <w:spacing w:after="120" w:line="300"/>
        <w:jc w:val="both"/>
      </w:pPr>
      <w:r>
        <w:t xml:space="preserve">Compliance Reviews occur at defined gate points in each project's lifecycle, scheduled in the Architecture Contract. Typical points include:</w:t>
      </w:r>
    </w:p>
    <w:p>
      <w:pPr>
        <w:pStyle w:val="ListParagraph"/>
        <w:numPr>
          <w:ilvl w:val="0"/>
          <w:numId w:val="2"/>
        </w:numPr>
        <w:spacing w:after="80" w:line="280"/>
      </w:pPr>
      <w:r>
        <w:t xml:space="preserve">Solution Design Review — early, after the project has produced its initial solution design but before significant build work begins. The cheapest point at which to identify and correct conformance issues.</w:t>
      </w:r>
    </w:p>
    <w:p>
      <w:pPr>
        <w:pStyle w:val="ListParagraph"/>
        <w:numPr>
          <w:ilvl w:val="0"/>
          <w:numId w:val="2"/>
        </w:numPr>
        <w:spacing w:after="80" w:line="280"/>
      </w:pPr>
      <w:r>
        <w:t xml:space="preserve">Integration Design Review — once integration patterns and APIs are designed, before they are coded. Critical because integrations are the hardest layer to retrofit.</w:t>
      </w:r>
    </w:p>
    <w:p>
      <w:pPr>
        <w:pStyle w:val="ListParagraph"/>
        <w:numPr>
          <w:ilvl w:val="0"/>
          <w:numId w:val="2"/>
        </w:numPr>
        <w:spacing w:after="80" w:line="280"/>
      </w:pPr>
      <w:r>
        <w:t xml:space="preserve">Pre-Go-Live Review — before the solution moves to production. The last point at which architectural concerns can be addressed before the change goes live.</w:t>
      </w:r>
    </w:p>
    <w:p>
      <w:pPr>
        <w:pStyle w:val="ListParagraph"/>
        <w:numPr>
          <w:ilvl w:val="0"/>
          <w:numId w:val="2"/>
        </w:numPr>
        <w:spacing w:after="80" w:line="280"/>
      </w:pPr>
      <w:r>
        <w:t xml:space="preserve">Post-Implementation Review — after the solution has been live for a defined period (typically 90 days). Captures actual conformance, lessons learned, and any unexpected behaviour.</w:t>
      </w:r>
    </w:p>
    <w:p>
      <w:pPr>
        <w:spacing w:after="120" w:line="300"/>
        <w:jc w:val="both"/>
      </w:pPr>
      <w:r>
        <w:t xml:space="preserve">Different projects may have more or fewer Reviews depending on criticality; the Contract specifies the schedule for each project.</w:t>
      </w:r>
    </w:p>
    <w:p>
      <w:pPr>
        <w:pStyle w:val="Heading2"/>
        <w:spacing w:after="160" w:before="280"/>
      </w:pPr>
      <w:r>
        <w:rPr>
          <w:b/>
          <w:bCs/>
          <w:color w:val="2E75B6"/>
        </w:rPr>
        <w:t xml:space="preserve">3.3 The Six Compliance Levels</w:t>
      </w:r>
    </w:p>
    <w:p>
      <w:pPr>
        <w:spacing w:after="120" w:line="300"/>
        <w:jc w:val="both"/>
      </w:pPr>
      <w:r>
        <w:t xml:space="preserve">Every Architecture Compliance Review produces an outcome on a defined scale of six levels. The exam tests the levels carefully; they are listed in increasing order of conformance, with one terminal Non-Conformant outcome at the end. Memorise them: Irrelevant, Consistent, Compliant, Conformant, Fully Conformant, Non-Conformant.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Six Compliance Levels: </w:t>
            </w:r>
            <w:r>
              <w:t xml:space="preserve">The standard outcomes of an Architecture Compliance Review: (1) Irrelevant — architecture does not apply to this work; (2) Consistent — work does not contradict architecture but does not actively follow it; (3) Compliant — work follows architecture in some elements but not all; (4) Conformant — work follows architecture in all relevant elements; (5) Fully Conformant — work follows all elements including optional and recommended; (6) Non-Conformant — work contradicts architecture and remediation is required.</w:t>
            </w:r>
          </w:p>
        </w:tc>
      </w:tr>
    </w:tbl>
    <w:p>
      <w:pPr>
        <w:pStyle w:val="Heading2"/>
        <w:spacing w:after="160" w:before="280"/>
      </w:pPr>
      <w:r>
        <w:rPr>
          <w:b/>
          <w:bCs/>
          <w:color w:val="2E75B6"/>
        </w:rPr>
        <w:t xml:space="preserve">3.4 Each Compliance Level in Detail</w:t>
      </w:r>
    </w:p>
    <w:p>
      <w:pPr>
        <w:pStyle w:val="Heading3"/>
        <w:spacing w:after="120" w:before="220"/>
      </w:pPr>
      <w:r>
        <w:rPr>
          <w:b/>
          <w:bCs/>
          <w:color w:val="404040"/>
        </w:rPr>
        <w:t xml:space="preserve">Level 1: Irrelevant</w:t>
      </w:r>
    </w:p>
    <w:p>
      <w:pPr>
        <w:spacing w:after="120" w:line="300"/>
        <w:jc w:val="both"/>
      </w:pPr>
      <w:r>
        <w:t xml:space="preserve">The architecture has no applicability to the project under review. This outcome is rare but legitimate: it occurs when, on review, the work falls entirely outside the scope addressed by the architecture. The correct response is not to force conformance but to acknowledge that this work is governed by other means (or perhaps requires its own architecture engagement). An Irrelevant outcome should trigger a question: should the architecture's scope be extended to cover this kind of work in future?</w:t>
      </w:r>
    </w:p>
    <w:p>
      <w:pPr>
        <w:pStyle w:val="Heading3"/>
        <w:spacing w:after="120" w:before="220"/>
      </w:pPr>
      <w:r>
        <w:rPr>
          <w:b/>
          <w:bCs/>
          <w:color w:val="404040"/>
        </w:rPr>
        <w:t xml:space="preserve">Level 2: Consistent</w:t>
      </w:r>
    </w:p>
    <w:p>
      <w:pPr>
        <w:spacing w:after="120" w:line="300"/>
        <w:jc w:val="both"/>
      </w:pPr>
      <w:r>
        <w:t xml:space="preserve">The work does not contradict the architecture, but neither does it actively follow it. This is the lowest level of conformance — the work is technically not breaking the rules, but it is not embracing them either. Consistent often arises with packaged products configured by their vendors: the product runs in the enterprise without breaking principles, but it does not implement the architecture's preferred patterns.</w:t>
      </w:r>
    </w:p>
    <w:p>
      <w:pPr>
        <w:pStyle w:val="Heading3"/>
        <w:spacing w:after="120" w:before="220"/>
      </w:pPr>
      <w:r>
        <w:rPr>
          <w:b/>
          <w:bCs/>
          <w:color w:val="404040"/>
        </w:rPr>
        <w:t xml:space="preserve">Level 3: Compliant</w:t>
      </w:r>
    </w:p>
    <w:p>
      <w:pPr>
        <w:spacing w:after="120" w:line="300"/>
        <w:jc w:val="both"/>
      </w:pPr>
      <w:r>
        <w:t xml:space="preserve">The work follows some elements of the architecture but not all. There is partial alignment: the project has adopted the patterns and standards that fit easily but has skipped or substituted others. Compliant is the level at which a Compliance Review must surface specific deviations, ask whether they are justified, and decide whether to require remediation, grant a dispensation, or accept the partial conformance.</w:t>
      </w:r>
    </w:p>
    <w:p>
      <w:pPr>
        <w:pStyle w:val="Heading3"/>
        <w:spacing w:after="120" w:before="220"/>
      </w:pPr>
      <w:r>
        <w:rPr>
          <w:b/>
          <w:bCs/>
          <w:color w:val="404040"/>
        </w:rPr>
        <w:t xml:space="preserve">Level 4: Conformant</w:t>
      </w:r>
    </w:p>
    <w:p>
      <w:pPr>
        <w:spacing w:after="120" w:line="300"/>
        <w:jc w:val="both"/>
      </w:pPr>
      <w:r>
        <w:t xml:space="preserve">The work follows the architecture in all elements that are mandatory or strongly recommended. Optional or aspirational elements may not be followed but every binding rule is. Conformant is the standard target outcome for most projects: it represents successful adherence without imposing unrealistic perfection.</w:t>
      </w:r>
    </w:p>
    <w:p>
      <w:pPr>
        <w:pStyle w:val="Heading3"/>
        <w:spacing w:after="120" w:before="220"/>
      </w:pPr>
      <w:r>
        <w:rPr>
          <w:b/>
          <w:bCs/>
          <w:color w:val="404040"/>
        </w:rPr>
        <w:t xml:space="preserve">Level 5: Fully Conformant</w:t>
      </w:r>
    </w:p>
    <w:p>
      <w:pPr>
        <w:spacing w:after="120" w:line="300"/>
        <w:jc w:val="both"/>
      </w:pPr>
      <w:r>
        <w:t xml:space="preserve">The work follows the architecture in every element including optional, recommended, and aspirational. Fully Conformant is rare and is typically reserved for strategic flagship projects where exemplary conformance is itself a goal. It is also the target for projects that establish patterns for others to follow — being Fully Conformant makes them safe to copy.</w:t>
      </w:r>
    </w:p>
    <w:p>
      <w:pPr>
        <w:pStyle w:val="Heading3"/>
        <w:spacing w:after="120" w:before="220"/>
      </w:pPr>
      <w:r>
        <w:rPr>
          <w:b/>
          <w:bCs/>
          <w:color w:val="404040"/>
        </w:rPr>
        <w:t xml:space="preserve">Level 6: Non-Conformant</w:t>
      </w:r>
    </w:p>
    <w:p>
      <w:pPr>
        <w:spacing w:after="120" w:line="300"/>
        <w:jc w:val="both"/>
      </w:pPr>
      <w:r>
        <w:t xml:space="preserve">The work contradicts the architecture in one or more material elements. Non-Conformant is not a level on the same scale as the others — it is a terminal outcome that demands action. Three responses are possible: remediation (the project changes to become Conformant); dispensation (the deviation is formally accepted with conditions); or escalation (the Architecture Board decides). Non-Conformant work cannot simply proceed unchanged once identified.</w:t>
      </w:r>
    </w:p>
    <w:p>
      <w:pPr>
        <w:pStyle w:val="Heading2"/>
        <w:spacing w:after="160" w:before="280"/>
      </w:pPr>
      <w:r>
        <w:rPr>
          <w:b/>
          <w:bCs/>
          <w:color w:val="2E75B6"/>
        </w:rPr>
        <w:t xml:space="preserve">3.5 The Levels Visualised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4000"/>
        <w:gridCol w:w="3060"/>
      </w:tblGrid>
      <w:tr>
        <w:trPr>
          <w:tblHeader/>
        </w:trPr>
        <w:tc>
          <w:tcPr>
            <w:tcW w:type="dxa" w:w="6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Level</w:t>
            </w:r>
          </w:p>
        </w:tc>
        <w:tc>
          <w:tcPr>
            <w:tcW w:type="dxa" w:w="1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Name</w:t>
            </w:r>
          </w:p>
        </w:tc>
        <w:tc>
          <w:tcPr>
            <w:tcW w:type="dxa" w:w="40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Meaning</w:t>
            </w:r>
          </w:p>
        </w:tc>
        <w:tc>
          <w:tcPr>
            <w:tcW w:type="dxa" w:w="30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Typical Action</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1</w:t>
            </w:r>
          </w:p>
        </w:tc>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Irrelevant</w:t>
            </w:r>
          </w:p>
        </w:tc>
        <w:tc>
          <w:tcPr>
            <w:tcW w:type="dxa" w:w="4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Architecture does not apply</w:t>
            </w:r>
          </w:p>
        </w:tc>
        <w:tc>
          <w:tcPr>
            <w:tcW w:type="dxa" w:w="30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Acknowledge; consider extending scope</w:t>
            </w:r>
          </w:p>
        </w:tc>
      </w:tr>
      <w:tr>
        <w:tc>
          <w:tcPr>
            <w:tcW w:type="dxa" w:w="6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2</w:t>
            </w:r>
          </w:p>
        </w:tc>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Consistent</w:t>
            </w:r>
          </w:p>
        </w:tc>
        <w:tc>
          <w:tcPr>
            <w:tcW w:type="dxa" w:w="4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Does not contradict, does not actively follow</w:t>
            </w:r>
          </w:p>
        </w:tc>
        <w:tc>
          <w:tcPr>
            <w:tcW w:type="dxa" w:w="30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Note; consider whether stronger conformance is needed</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3</w:t>
            </w:r>
          </w:p>
        </w:tc>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Compliant</w:t>
            </w:r>
          </w:p>
        </w:tc>
        <w:tc>
          <w:tcPr>
            <w:tcW w:type="dxa" w:w="4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Follows some elements</w:t>
            </w:r>
          </w:p>
        </w:tc>
        <w:tc>
          <w:tcPr>
            <w:tcW w:type="dxa" w:w="30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Surface deviations; require remediation or dispensation</w:t>
            </w:r>
          </w:p>
        </w:tc>
      </w:tr>
      <w:tr>
        <w:tc>
          <w:tcPr>
            <w:tcW w:type="dxa" w:w="6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4</w:t>
            </w:r>
          </w:p>
        </w:tc>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Conformant</w:t>
            </w:r>
          </w:p>
        </w:tc>
        <w:tc>
          <w:tcPr>
            <w:tcW w:type="dxa" w:w="4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Follows all mandatory / strongly recommended elements</w:t>
            </w:r>
          </w:p>
        </w:tc>
        <w:tc>
          <w:tcPr>
            <w:tcW w:type="dxa" w:w="30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Approve — standard target outcome</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5</w:t>
            </w:r>
          </w:p>
        </w:tc>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Fully Conformant</w:t>
            </w:r>
          </w:p>
        </w:tc>
        <w:tc>
          <w:tcPr>
            <w:tcW w:type="dxa" w:w="4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Follows all elements including optional</w:t>
            </w:r>
          </w:p>
        </w:tc>
        <w:tc>
          <w:tcPr>
            <w:tcW w:type="dxa" w:w="30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Approve and celebrate — exemplary; pattern-setter</w:t>
            </w:r>
          </w:p>
        </w:tc>
      </w:tr>
      <w:tr>
        <w:tc>
          <w:tcPr>
            <w:tcW w:type="dxa" w:w="6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6</w:t>
            </w:r>
          </w:p>
        </w:tc>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Non-Conformant</w:t>
            </w:r>
          </w:p>
        </w:tc>
        <w:tc>
          <w:tcPr>
            <w:tcW w:type="dxa" w:w="4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Contradicts architecture</w:t>
            </w:r>
          </w:p>
        </w:tc>
        <w:tc>
          <w:tcPr>
            <w:tcW w:type="dxa" w:w="30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Remediate, grant dispensation, or escalate to Board</w:t>
            </w:r>
          </w:p>
        </w:tc>
      </w:tr>
    </w:tbl>
    <w:p>
      <w:pPr>
        <w:pStyle w:val="Heading2"/>
        <w:spacing w:after="160" w:before="280"/>
      </w:pPr>
      <w:r>
        <w:rPr>
          <w:b/>
          <w:bCs/>
          <w:color w:val="2E75B6"/>
        </w:rPr>
        <w:t xml:space="preserve">3.6 The Levels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4"/>
            </w:tcBorders>
            <w:shd w:fill="EAF1F8" w:val="clear"/>
            <w:tcMar>
              <w:top w:type="dxa" w:w="160"/>
              <w:left w:type="dxa" w:w="200"/>
              <w:bottom w:type="dxa" w:w="160"/>
              <w:right w:type="dxa" w:w="200"/>
            </w:tcMar>
          </w:tcPr>
          <w:p>
            <w:pPr>
              <w:spacing w:after="100"/>
            </w:pPr>
            <w:r>
              <w:rPr>
                <w:b/>
                <w:bCs/>
                <w:color w:val="1F4E78"/>
              </w:rPr>
              <w:t xml:space="preserve">▶ Six Compliance Levels Across Six Projects</w:t>
            </w:r>
          </w:p>
          <w:p>
            <w:pPr>
              <w:spacing w:after="60" w:line="280"/>
              <w:jc w:val="both"/>
            </w:pPr>
            <w:r>
              <w:t xml:space="preserve">Project 1 (HR system local config): Irrelevant. The change is purely user-permission tweaking; the enterprise architecture does not address it. Outcome noted in Governance Log; no further action.</w:t>
            </w:r>
          </w:p>
          <w:p>
            <w:pPr>
              <w:spacing w:after="60" w:line="280"/>
              <w:jc w:val="both"/>
            </w:pPr>
            <w:r>
              <w:t xml:space="preserve">Project 2 (legacy Oracle DB upgrade): Consistent. The upgrade does not violate any principle but does not advance the TIME-classified Migrate disposition. Acceptable for a maintenance project; logged with a note that the database remains on Migrate.</w:t>
            </w:r>
          </w:p>
          <w:p>
            <w:pPr>
              <w:spacing w:after="60" w:line="280"/>
              <w:jc w:val="both"/>
            </w:pPr>
            <w:r>
              <w:t xml:space="preserve">Project 3 (CRM custom enhancement): Compliant. Follows the API standard but uses a deprecated authentication pattern. Reviewer requires remediation: the auth pattern must be updated to the strategic identity provider before go-live.</w:t>
            </w:r>
          </w:p>
          <w:p>
            <w:pPr>
              <w:spacing w:after="60" w:line="280"/>
              <w:jc w:val="both"/>
            </w:pPr>
            <w:r>
              <w:t xml:space="preserve">Project 4 (new identity service): Conformant. Follows all binding architecture elements; optional event-driven monitoring not yet implemented but flagged for Phase H. Approved.</w:t>
            </w:r>
          </w:p>
          <w:p>
            <w:pPr>
              <w:spacing w:after="60" w:line="280"/>
              <w:jc w:val="both"/>
            </w:pPr>
            <w:r>
              <w:t xml:space="preserve">Project 5 (new payments platform): Fully Conformant. Strategic project; chose to implement every recommended pattern, including optional cross-region failover. Approved and held up as exemplar; documentation reused as reference for future projects.</w:t>
            </w:r>
          </w:p>
          <w:p>
            <w:pPr>
              <w:spacing w:after="60" w:line="280"/>
              <w:jc w:val="both"/>
            </w:pPr>
            <w:r>
              <w:t xml:space="preserve">Project 6 (point-solution analytics tool): Non-Conformant. Procured directly by a business unit; uses a banned database technology (TIME=Eliminate). Escalated to Architecture Board. Outcome: 6-month dispensation granted on condition that migration to PostgreSQL begins immediately, with named remediation owner and final completion date.</w:t>
            </w:r>
          </w:p>
        </w:tc>
      </w:tr>
    </w:tbl>
    <w:p>
      <w:r>
        <w:br w:type="page"/>
      </w:r>
    </w:p>
    <w:p>
      <w:pPr>
        <w:pStyle w:val="Heading1"/>
        <w:spacing w:after="200" w:before="360"/>
      </w:pPr>
      <w:r>
        <w:rPr>
          <w:b/>
          <w:bCs/>
          <w:color w:val="1F4E78"/>
        </w:rPr>
        <w:t xml:space="preserve">4. Dispensations — Formal, Time-Bounded Exceptions</w:t>
      </w:r>
    </w:p>
    <w:p>
      <w:pPr>
        <w:spacing w:after="120" w:line="300"/>
        <w:jc w:val="both"/>
      </w:pPr>
      <w:r>
        <w:t xml:space="preserve">A dispensation is a formal, time-bounded, conditional permission for a project to deviate from the architecture. Dispensations are the safety valve of architectural governance: without them, conformance would be tyrannical; with them used informally, conformance would be theatre. The discipline of formal dispensations is what allows pragmatism without losing rigour.</w:t>
      </w:r>
    </w:p>
    <w:p>
      <w:pPr>
        <w:pStyle w:val="Heading2"/>
        <w:spacing w:after="160" w:before="280"/>
      </w:pPr>
      <w:r>
        <w:rPr>
          <w:b/>
          <w:bCs/>
          <w:color w:val="2E75B6"/>
        </w:rPr>
        <w:t xml:space="preserve">4.1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Dispensation: </w:t>
            </w:r>
            <w:r>
              <w:t xml:space="preserve">A formal, time-bounded permission for a project to deviate from a specified element of the architecture, with a named remediation owner, a defined remediation plan, and an explicit expiry date. Recorded in the Architecture Repository's Governance Log. Issued by the Architecture Board (or its delegated authority) following formal request and assessment.</w:t>
            </w:r>
          </w:p>
        </w:tc>
      </w:tr>
    </w:tbl>
    <w:p>
      <w:pPr>
        <w:pStyle w:val="Heading2"/>
        <w:spacing w:after="160" w:before="280"/>
      </w:pPr>
      <w:r>
        <w:rPr>
          <w:b/>
          <w:bCs/>
          <w:color w:val="2E75B6"/>
        </w:rPr>
        <w:t xml:space="preserve">4.2 The Three Mandatory Properties</w:t>
      </w:r>
    </w:p>
    <w:p>
      <w:pPr>
        <w:spacing w:after="120" w:line="300"/>
        <w:jc w:val="both"/>
      </w:pPr>
      <w:r>
        <w:t xml:space="preserve">Every legitimate dispensation has three mandatory properties. Missing any one of them turns a dispensation into informal exception-making and undermines the whole governance regime.</w:t>
      </w:r>
    </w:p>
    <w:p>
      <w:pPr>
        <w:pStyle w:val="Heading3"/>
        <w:spacing w:after="120" w:before="220"/>
      </w:pPr>
      <w:r>
        <w:rPr>
          <w:b/>
          <w:bCs/>
          <w:color w:val="404040"/>
        </w:rPr>
        <w:t xml:space="preserve">Property 1: Formal</w:t>
      </w:r>
    </w:p>
    <w:p>
      <w:pPr>
        <w:spacing w:after="120" w:line="300"/>
        <w:jc w:val="both"/>
      </w:pPr>
      <w:r>
        <w:t xml:space="preserve">Dispensations are written, signed, and recorded. They are not verbal agreements between an architect and a project lead. They are not emails marked "agreed". They are documents — typically a single page — specifying exactly what is being permitted, why, on what conditions, until when. Formal recording is what makes dispensations auditable, transferable across personnel changes, and revisable when conditions change.</w:t>
      </w:r>
    </w:p>
    <w:p>
      <w:pPr>
        <w:pStyle w:val="Heading3"/>
        <w:spacing w:after="120" w:before="220"/>
      </w:pPr>
      <w:r>
        <w:rPr>
          <w:b/>
          <w:bCs/>
          <w:color w:val="404040"/>
        </w:rPr>
        <w:t xml:space="preserve">Property 2: Time-Bounded</w:t>
      </w:r>
    </w:p>
    <w:p>
      <w:pPr>
        <w:spacing w:after="120" w:line="300"/>
        <w:jc w:val="both"/>
      </w:pPr>
      <w:r>
        <w:t xml:space="preserve">Every dispensation has an explicit expiry date. "Permitted indefinitely" is not a dispensation — it is a change to the architecture. Time-bounding is essential because the conditions that justified the dispensation will themselves change: the legacy system that justified retaining a banned technology will eventually be replaced; the regulatory deadline that justified an exception will pass; the resource constraint that prevented full conformance will lift. The time-bound is what forces the dispensation to be revisited rather than silently outlasting its justification.</w:t>
      </w:r>
    </w:p>
    <w:p>
      <w:pPr>
        <w:spacing w:after="120" w:line="300"/>
        <w:jc w:val="both"/>
      </w:pPr>
      <w:r>
        <w:t xml:space="preserve">Typical dispensation durations are six months for tactical exceptions; twelve to eighteen months for transition-architecture-related exceptions; up to three years for major legacy retirements. Beyond three years the exception is effectively permanent and should be either resolved by genuine architecture change or escalated as a strategic concern.</w:t>
      </w:r>
    </w:p>
    <w:p>
      <w:pPr>
        <w:pStyle w:val="Heading3"/>
        <w:spacing w:after="120" w:before="220"/>
      </w:pPr>
      <w:r>
        <w:rPr>
          <w:b/>
          <w:bCs/>
          <w:color w:val="404040"/>
        </w:rPr>
        <w:t xml:space="preserve">Property 3: Has a Remediation Owner and Plan</w:t>
      </w:r>
    </w:p>
    <w:p>
      <w:pPr>
        <w:spacing w:after="120" w:line="300"/>
        <w:jc w:val="both"/>
      </w:pPr>
      <w:r>
        <w:t xml:space="preserve">Every dispensation names an individual responsible for resolving it before expiry, and a plan for how resolution will be achieved. Without a named owner, the remediation will not happen — it will become someone else's problem indefinitely. Without a plan, the named owner has nothing to deliver against.</w:t>
      </w:r>
    </w:p>
    <w:p>
      <w:pPr>
        <w:spacing w:after="120" w:line="300"/>
        <w:jc w:val="both"/>
      </w:pPr>
      <w:r>
        <w:t xml:space="preserve">The remediation owner is typically the project lead at the time the dispensation is issued, but ownership can transfer if the original owner moves roles. The Architecture Repository tracks the current owner. The plan is a brief statement: what will be done, by when, with what resources, to bring the project into conformance or to remove the deviation entirely.</w:t>
      </w:r>
    </w:p>
    <w:p>
      <w:pPr>
        <w:pStyle w:val="Heading2"/>
        <w:spacing w:after="160" w:before="280"/>
      </w:pPr>
      <w:r>
        <w:rPr>
          <w:b/>
          <w:bCs/>
          <w:color w:val="2E75B6"/>
        </w:rPr>
        <w:t xml:space="preserve">4.3 Dispensations vs Other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24"/>
              <w:bottom w:val="single" w:color="C00000" w:sz="8"/>
              <w:right w:val="single" w:color="C00000" w:sz="4"/>
            </w:tcBorders>
            <w:shd w:fill="FCE4E4" w:val="clear"/>
            <w:tcMar>
              <w:top w:type="dxa" w:w="160"/>
              <w:left w:type="dxa" w:w="200"/>
              <w:bottom w:type="dxa" w:w="160"/>
              <w:right w:type="dxa" w:w="200"/>
            </w:tcMar>
          </w:tcPr>
          <w:p>
            <w:pPr>
              <w:spacing w:after="80"/>
            </w:pPr>
            <w:r>
              <w:rPr>
                <w:b/>
                <w:bCs/>
                <w:color w:val="8B0000"/>
              </w:rPr>
              <w:t xml:space="preserve">⚠ Dispensation Is Not the Same As ...</w:t>
            </w:r>
          </w:p>
          <w:p>
            <w:pPr>
              <w:spacing w:after="60" w:line="280"/>
              <w:jc w:val="both"/>
            </w:pPr>
            <w:r>
              <w:t xml:space="preserve">Dispensation is NOT permission to ignore the architecture. The deviation is acknowledged, conditional, and time-bounded. The architecture remains the rule; the dispensation is a finite-duration exception.</w:t>
            </w:r>
          </w:p>
          <w:p>
            <w:pPr>
              <w:spacing w:after="60" w:line="280"/>
              <w:jc w:val="both"/>
            </w:pPr>
            <w:r>
              <w:t xml:space="preserve">Dispensation is NOT a change to the architecture. If a deviation is genuinely permanent and should apply to all future projects, the architecture itself must change — through Phase H change management, potentially triggering a new Phase A. A dispensation is for this project only; an architecture change is for everyone.</w:t>
            </w:r>
          </w:p>
          <w:p>
            <w:pPr>
              <w:spacing w:after="60" w:line="280"/>
              <w:jc w:val="both"/>
            </w:pPr>
            <w:r>
              <w:t xml:space="preserve">Dispensation is NOT the same as an unresolved Non-Conformance. A Non-Conformance with no decision is a governance failure. The decision is what turns it into something defensible: either remediate, dispense formally, or escalate to the Architecture Board.</w:t>
            </w:r>
          </w:p>
          <w:p>
            <w:pPr>
              <w:spacing w:after="60" w:line="280"/>
              <w:jc w:val="both"/>
            </w:pPr>
            <w:r>
              <w:t xml:space="preserve">Dispensation is NOT informal. "We agreed they could do it" is not a dispensation. The lack of a written, dated, signed, owned record means there is nothing to enforce when the project leaves and the next one cites the precedent.</w:t>
            </w:r>
          </w:p>
          <w:p>
            <w:pPr>
              <w:spacing w:after="60" w:line="280"/>
              <w:jc w:val="both"/>
            </w:pPr>
            <w:r>
              <w:t xml:space="preserve">Dispensation is NOT permanent. "Indefinite dispensation" is a contradiction; it is either a transient deviation (in which case bound it) or a permanent change (in which case change the architecture).</w:t>
            </w:r>
          </w:p>
        </w:tc>
      </w:tr>
    </w:tbl>
    <w:p>
      <w:pPr>
        <w:pStyle w:val="Heading2"/>
        <w:spacing w:after="160" w:before="280"/>
      </w:pPr>
      <w:r>
        <w:rPr>
          <w:b/>
          <w:bCs/>
          <w:color w:val="2E75B6"/>
        </w:rPr>
        <w:t xml:space="preserve">4.4 Standard Dispensation Contents</w:t>
      </w:r>
    </w:p>
    <w:p>
      <w:pPr>
        <w:pStyle w:val="ListParagraph"/>
        <w:numPr>
          <w:ilvl w:val="0"/>
          <w:numId w:val="2"/>
        </w:numPr>
        <w:spacing w:after="80" w:line="280"/>
      </w:pPr>
      <w:r>
        <w:t xml:space="preserve">Identification — dispensation reference number, project name, requesting party.</w:t>
      </w:r>
    </w:p>
    <w:p>
      <w:pPr>
        <w:pStyle w:val="ListParagraph"/>
        <w:numPr>
          <w:ilvl w:val="0"/>
          <w:numId w:val="2"/>
        </w:numPr>
        <w:spacing w:after="80" w:line="280"/>
      </w:pPr>
      <w:r>
        <w:t xml:space="preserve">Architecture element being deviated from — specific principle, standard, pattern, or design element, with reference to the ADD or Standards Catalogue.</w:t>
      </w:r>
    </w:p>
    <w:p>
      <w:pPr>
        <w:pStyle w:val="ListParagraph"/>
        <w:numPr>
          <w:ilvl w:val="0"/>
          <w:numId w:val="2"/>
        </w:numPr>
        <w:spacing w:after="80" w:line="280"/>
      </w:pPr>
      <w:r>
        <w:t xml:space="preserve">Nature of deviation — what exactly the project is doing instead of the standard.</w:t>
      </w:r>
    </w:p>
    <w:p>
      <w:pPr>
        <w:pStyle w:val="ListParagraph"/>
        <w:numPr>
          <w:ilvl w:val="0"/>
          <w:numId w:val="2"/>
        </w:numPr>
        <w:spacing w:after="80" w:line="280"/>
      </w:pPr>
      <w:r>
        <w:t xml:space="preserve">Justification — why the deviation is being requested; what would be the cost or impact of full conformance.</w:t>
      </w:r>
    </w:p>
    <w:p>
      <w:pPr>
        <w:pStyle w:val="ListParagraph"/>
        <w:numPr>
          <w:ilvl w:val="0"/>
          <w:numId w:val="2"/>
        </w:numPr>
        <w:spacing w:after="80" w:line="280"/>
      </w:pPr>
      <w:r>
        <w:t xml:space="preserve">Conditions — what the project must do in exchange for the dispensation (e.g., "must not propagate the deviation to other systems").</w:t>
      </w:r>
    </w:p>
    <w:p>
      <w:pPr>
        <w:pStyle w:val="ListParagraph"/>
        <w:numPr>
          <w:ilvl w:val="0"/>
          <w:numId w:val="2"/>
        </w:numPr>
        <w:spacing w:after="80" w:line="280"/>
      </w:pPr>
      <w:r>
        <w:t xml:space="preserve">Remediation owner — named individual responsible for resolving the deviation by the expiry date.</w:t>
      </w:r>
    </w:p>
    <w:p>
      <w:pPr>
        <w:pStyle w:val="ListParagraph"/>
        <w:numPr>
          <w:ilvl w:val="0"/>
          <w:numId w:val="2"/>
        </w:numPr>
        <w:spacing w:after="80" w:line="280"/>
      </w:pPr>
      <w:r>
        <w:t xml:space="preserve">Remediation plan — what will be done, by when, with what resources.</w:t>
      </w:r>
    </w:p>
    <w:p>
      <w:pPr>
        <w:pStyle w:val="ListParagraph"/>
        <w:numPr>
          <w:ilvl w:val="0"/>
          <w:numId w:val="2"/>
        </w:numPr>
        <w:spacing w:after="80" w:line="280"/>
      </w:pPr>
      <w:r>
        <w:t xml:space="preserve">Expiry date — the explicit date by which the deviation must be resolved.</w:t>
      </w:r>
    </w:p>
    <w:p>
      <w:pPr>
        <w:pStyle w:val="ListParagraph"/>
        <w:numPr>
          <w:ilvl w:val="0"/>
          <w:numId w:val="2"/>
        </w:numPr>
        <w:spacing w:after="80" w:line="280"/>
      </w:pPr>
      <w:r>
        <w:t xml:space="preserve">Approval — Architecture Board signature or delegated authority signature; 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4"/>
            </w:tcBorders>
            <w:shd w:fill="EAF1F8" w:val="clear"/>
            <w:tcMar>
              <w:top w:type="dxa" w:w="160"/>
              <w:left w:type="dxa" w:w="200"/>
              <w:bottom w:type="dxa" w:w="160"/>
              <w:right w:type="dxa" w:w="200"/>
            </w:tcMar>
          </w:tcPr>
          <w:p>
            <w:pPr>
              <w:spacing w:after="100"/>
            </w:pPr>
            <w:r>
              <w:rPr>
                <w:b/>
                <w:bCs/>
                <w:color w:val="1F4E78"/>
              </w:rPr>
              <w:t xml:space="preserve">▶ A Dispensation in Practice</w:t>
            </w:r>
          </w:p>
          <w:p>
            <w:pPr>
              <w:spacing w:after="60" w:line="280"/>
              <w:jc w:val="both"/>
            </w:pPr>
            <w:r>
              <w:t xml:space="preserve">Reference: DISP-2025-014. Project: Customer Analytics Tool (Project 6 from the Compliance Reviews example).</w:t>
            </w:r>
          </w:p>
          <w:p>
            <w:pPr>
              <w:spacing w:after="60" w:line="280"/>
              <w:jc w:val="both"/>
            </w:pPr>
            <w:r>
              <w:t xml:space="preserve">Element deviated from: Technology Standards Catalogue, MongoDB section. Standard requires TIME=Invest databases (PostgreSQL or MongoDB); the procured tool requires Microsoft SQL Server (TIME=Tolerate) and bundles a Sybase ASE component (TIME=Eliminate).</w:t>
            </w:r>
          </w:p>
          <w:p>
            <w:pPr>
              <w:spacing w:after="60" w:line="280"/>
              <w:jc w:val="both"/>
            </w:pPr>
            <w:r>
              <w:t xml:space="preserve">Nature of deviation: SQL Server use accepted within Tolerate envelope; Sybase ASE component cannot be removed without losing analytics functionality.</w:t>
            </w:r>
          </w:p>
          <w:p>
            <w:pPr>
              <w:spacing w:after="60" w:line="280"/>
              <w:jc w:val="both"/>
            </w:pPr>
            <w:r>
              <w:t xml:space="preserve">Justification: tool is best-of-breed for the analytics use case; replacement options would cost £1.2m more; vendor roadmap commits to removing Sybase ASE in their v9 release scheduled Q2 2026.</w:t>
            </w:r>
          </w:p>
          <w:p>
            <w:pPr>
              <w:spacing w:after="60" w:line="280"/>
              <w:jc w:val="both"/>
            </w:pPr>
            <w:r>
              <w:t xml:space="preserve">Conditions: Sybase ASE may not be made available to any other system; Sybase data must remain encrypted at rest; vendor v9 release must be deployed within 90 days of GA.</w:t>
            </w:r>
          </w:p>
          <w:p>
            <w:pPr>
              <w:spacing w:after="60" w:line="280"/>
              <w:jc w:val="both"/>
            </w:pPr>
            <w:r>
              <w:t xml:space="preserve">Remediation owner: Head of Analytics Platform Engineering (J. Watson).</w:t>
            </w:r>
          </w:p>
          <w:p>
            <w:pPr>
              <w:spacing w:after="60" w:line="280"/>
              <w:jc w:val="both"/>
            </w:pPr>
            <w:r>
              <w:t xml:space="preserve">Remediation plan: vendor v9 trial in Q1 2026; production upgrade Q2 2026; verification of Sybase removal Q3 2026.</w:t>
            </w:r>
          </w:p>
          <w:p>
            <w:pPr>
              <w:spacing w:after="60" w:line="280"/>
              <w:jc w:val="both"/>
            </w:pPr>
            <w:r>
              <w:t xml:space="preserve">Expiry: 30 September 2026 (18 months).</w:t>
            </w:r>
          </w:p>
          <w:p>
            <w:pPr>
              <w:spacing w:after="60" w:line="280"/>
              <w:jc w:val="both"/>
            </w:pPr>
            <w:r>
              <w:t xml:space="preserve">Approval: Architecture Board, 15 March 2025.</w:t>
            </w:r>
          </w:p>
          <w:p>
            <w:pPr>
              <w:spacing w:after="60" w:line="280"/>
              <w:jc w:val="both"/>
            </w:pPr>
            <w:r>
              <w:t xml:space="preserve">Notice: this dispensation is formal (recorded), time-bounded (18 months with specific expiry), has a named remediation owner (J. Watson), and has a concrete remediation plan (vendor v9 deployment). All three mandatory properties present. The Governance Log entry will be reviewed at every Architecture Board meeting until expiry, ensuring the remediation does not slip silently.</w:t>
            </w:r>
          </w:p>
        </w:tc>
      </w:tr>
    </w:tbl>
    <w:p>
      <w:r>
        <w:br w:type="page"/>
      </w:r>
    </w:p>
    <w:p>
      <w:pPr>
        <w:pStyle w:val="Heading1"/>
        <w:spacing w:after="200" w:before="360"/>
      </w:pPr>
      <w:r>
        <w:rPr>
          <w:b/>
          <w:bCs/>
          <w:color w:val="1F4E78"/>
        </w:rPr>
        <w:t xml:space="preserve">5. Phase H Is Continuous, NOT One-Time</w:t>
      </w:r>
    </w:p>
    <w:p>
      <w:pPr>
        <w:spacing w:after="120" w:line="300"/>
        <w:jc w:val="both"/>
      </w:pPr>
      <w:r>
        <w:t xml:space="preserve">This is one of the most-tested points in the entire ADM syllabus. Phase H — Architecture Change Management — is not a single hand-over event that happens after Phase G ends. It is a continuous activity that runs in parallel with operations for the entire life of the architecture. Misreading Phase H as one-time produces architecture practices that go silent after delivery, allow drift to accumulate, and discover years later that their architecture documentation describes a state the enterprise no longer inhabits.</w:t>
      </w:r>
    </w:p>
    <w:p>
      <w:pPr>
        <w:pStyle w:val="Heading2"/>
        <w:spacing w:after="160" w:before="280"/>
      </w:pPr>
      <w:r>
        <w:rPr>
          <w:b/>
          <w:bCs/>
          <w:color w:val="2E75B6"/>
        </w:rPr>
        <w:t xml:space="preserve">5.1 What Continuous Means</w:t>
      </w:r>
    </w:p>
    <w:p>
      <w:pPr>
        <w:spacing w:after="120" w:line="300"/>
        <w:jc w:val="both"/>
      </w:pPr>
      <w:r>
        <w:t xml:space="preserve">Phase H runs </w:t>
      </w:r>
      <w:r>
        <w:rPr>
          <w:b/>
          <w:bCs/>
        </w:rPr>
        <w:t xml:space="preserve">for as long as the architecture is in use</w:t>
      </w:r>
      <w:r>
        <w:t xml:space="preserve">. For most architectures, this is years. For long-lived ones, decades. Phase H does not have a closing event the way Phase A does (signature of the SoAW), Phase D does (Architecture Board approval), or Phase F does (Investment Committee funding). Phase H simply runs, monitoring, deciding, updating, and — when triggered — generating new Requests for Architecture Work that re-enter Phase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Phase H — Architecture Change Management: </w:t>
            </w:r>
            <w:r>
              <w:t xml:space="preserve">The continuous ADM activity that runs in parallel with operations once an architecture is in use. Monitors the business and technology environment for change; receives change requests from operations and projects; classifies each as Simplification, Incremental, or Re-architecting; absorbs minor changes; triggers new ADM cycles for major changes. Has no closing event — runs for the architecture's lifetime.</w:t>
            </w:r>
          </w:p>
        </w:tc>
      </w:tr>
    </w:tbl>
    <w:p>
      <w:pPr>
        <w:pStyle w:val="Heading2"/>
        <w:spacing w:after="160" w:before="280"/>
      </w:pPr>
      <w:r>
        <w:rPr>
          <w:b/>
          <w:bCs/>
          <w:color w:val="2E75B6"/>
        </w:rPr>
        <w:t xml:space="preserve">5.2 Why It Is Continuous</w:t>
      </w:r>
    </w:p>
    <w:p>
      <w:pPr>
        <w:spacing w:after="120" w:line="300"/>
        <w:jc w:val="both"/>
      </w:pPr>
      <w:r>
        <w:t xml:space="preserve">Three reasons explain why Phase H must be continuous rather than periodic:</w:t>
      </w:r>
    </w:p>
    <w:p>
      <w:pPr>
        <w:pStyle w:val="ListParagraph"/>
        <w:numPr>
          <w:ilvl w:val="0"/>
          <w:numId w:val="3"/>
        </w:numPr>
        <w:spacing w:after="80" w:line="280"/>
      </w:pPr>
      <w:r>
        <w:t xml:space="preserve">Change is continuous, not periodic. Strategy shifts, regulations update, technology evolves, vendors deprecate products, security threats emerge — none of these wait for an annual review. A continuous Phase H catches each as it happens; a periodic one accumulates a backlog between reviews and inevitably misses the moment when an early intervention would have been cheap.</w:t>
      </w:r>
    </w:p>
    <w:p>
      <w:pPr>
        <w:pStyle w:val="ListParagraph"/>
        <w:numPr>
          <w:ilvl w:val="0"/>
          <w:numId w:val="3"/>
        </w:numPr>
        <w:spacing w:after="80" w:line="280"/>
      </w:pPr>
      <w:r>
        <w:t xml:space="preserve">Drift accumulates silently. The implementation of an architecture begins to drift from its design from the moment it goes live. Each tactical fix, each emergency patch, each undocumented integration moves the actual state further from the documented one. Continuous Phase H surfaces drift while it is small; periodic Phase H discovers it years later as a chasm that requires major rework to bridge.</w:t>
      </w:r>
    </w:p>
    <w:p>
      <w:pPr>
        <w:pStyle w:val="ListParagraph"/>
        <w:numPr>
          <w:ilvl w:val="0"/>
          <w:numId w:val="3"/>
        </w:numPr>
        <w:spacing w:after="80" w:line="280"/>
      </w:pPr>
      <w:r>
        <w:t xml:space="preserve">The cycle has to close somehow. Module 4 established that the ADM is a cycle, with Phase H feeding back to Phase A when material change demands a new engagement. The cycle cannot close if Phase H is dormant; the trigger from H to A only fires if H is alive, watching, and assessing.</w:t>
      </w:r>
    </w:p>
    <w:p>
      <w:pPr>
        <w:pStyle w:val="Heading2"/>
        <w:spacing w:after="160" w:before="280"/>
      </w:pPr>
      <w:r>
        <w:rPr>
          <w:b/>
          <w:bCs/>
          <w:color w:val="2E75B6"/>
        </w:rPr>
        <w:t xml:space="preserve">5.3 Phase H in Parallel with Operations</w:t>
      </w:r>
    </w:p>
    <w:p>
      <w:pPr>
        <w:spacing w:after="120" w:line="300"/>
        <w:jc w:val="both"/>
      </w:pPr>
      <w:r>
        <w:t xml:space="preserve">Phase H runs concurrently with the ordinary operations of the systems described by the architecture. While the new identity service is in production handling thousands of customers per hour, Phase H is monitoring whether business strategy, regulatory environment, or technology landscape has changed in a way that demands architectural response. The two run side by side: operations does the work; Phase H watches the architecture's continued fitness.</w:t>
      </w:r>
    </w:p>
    <w:p>
      <w:pPr>
        <w:spacing w:after="120" w:line="300"/>
        <w:jc w:val="both"/>
      </w:pPr>
      <w:r>
        <w:t xml:space="preserve">In practice, this means Phase H has standing presence in operational forums: change advisory boards, security review meetings, vendor management reviews, regulatory horizon-scanning forums, strategic planning cycles. The architecture function is not the dominant voice in these forums but is a permanent participant, listening for signals that the architecture must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4"/>
            </w:tcBorders>
            <w:shd w:fill="EAF1F8" w:val="clear"/>
            <w:tcMar>
              <w:top w:type="dxa" w:w="160"/>
              <w:left w:type="dxa" w:w="200"/>
              <w:bottom w:type="dxa" w:w="160"/>
              <w:right w:type="dxa" w:w="200"/>
            </w:tcMar>
          </w:tcPr>
          <w:p>
            <w:pPr>
              <w:spacing w:after="100"/>
            </w:pPr>
            <w:r>
              <w:rPr>
                <w:b/>
                <w:bCs/>
                <w:color w:val="1F4E78"/>
              </w:rPr>
              <w:t xml:space="preserve">▶ Phase H Continuous Operation Over Three Years</w:t>
            </w:r>
          </w:p>
          <w:p>
            <w:pPr>
              <w:spacing w:after="60" w:line="280"/>
              <w:jc w:val="both"/>
            </w:pPr>
            <w:r>
              <w:t xml:space="preserve">Year 1, post-go-live: Onboarding architecture in production. Phase H: monthly review meeting; quarterly architecture health-check. Two minor change requests absorbed (a new field added to the customer entity; a new payment method supported).</w:t>
            </w:r>
          </w:p>
          <w:p>
            <w:pPr>
              <w:spacing w:after="60" w:line="280"/>
              <w:jc w:val="both"/>
            </w:pPr>
            <w:r>
              <w:t xml:space="preserve">Year 1.5: A new EU regulation (DORA) imposes operational-resilience requirements. Phase H assesses: applies to the onboarding architecture. Classification: Incremental. Triggers a focused work package within Phase G governance to add operational-resilience monitoring; no new ADM cycle required.</w:t>
            </w:r>
          </w:p>
          <w:p>
            <w:pPr>
              <w:spacing w:after="60" w:line="280"/>
              <w:jc w:val="both"/>
            </w:pPr>
            <w:r>
              <w:t xml:space="preserve">Year 2: Vendor announces end-of-life for the chosen identity-verification service in 18 months. Phase H assesses: replacement is a re-architecting event. Classification: Re-architecting. Phase H produces a new Request for Architecture Work. New Phase A cycle begins; the existing onboarding architecture continues operating throughout the new cycle's development.</w:t>
            </w:r>
          </w:p>
          <w:p>
            <w:pPr>
              <w:spacing w:after="60" w:line="280"/>
              <w:jc w:val="both"/>
            </w:pPr>
            <w:r>
              <w:t xml:space="preserve">Year 2.5: Bank acquires a competitor. Strategy shifts. Phase H assesses: cross-portfolio impact. Triggers another new Phase A cycle in parallel. Two new ADM cycles now running concurrently with the existing architecture still in operation.</w:t>
            </w:r>
          </w:p>
          <w:p>
            <w:pPr>
              <w:spacing w:after="60" w:line="280"/>
              <w:jc w:val="both"/>
            </w:pPr>
            <w:r>
              <w:t xml:space="preserve">Year 3: First new architecture goes live, replacing a portion of the year-1 architecture. Phase H now monitors both the residual original architecture AND the new architecture. Continues continuously.</w:t>
            </w:r>
          </w:p>
          <w:p>
            <w:pPr>
              <w:spacing w:after="60" w:line="280"/>
              <w:jc w:val="both"/>
            </w:pPr>
            <w:r>
              <w:t xml:space="preserve">Throughout: Phase H is not a project; it has no end; it is the architecture's heartbeat.</w:t>
            </w:r>
          </w:p>
        </w:tc>
      </w:tr>
    </w:tbl>
    <w:p>
      <w:pPr>
        <w:pStyle w:val="Heading2"/>
        <w:spacing w:after="160" w:before="280"/>
      </w:pPr>
      <w:r>
        <w:rPr>
          <w:b/>
          <w:bCs/>
          <w:color w:val="2E75B6"/>
        </w:rPr>
        <w:t xml:space="preserve">5.4 Common Misconceptions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24"/>
              <w:bottom w:val="single" w:color="C00000" w:sz="8"/>
              <w:right w:val="single" w:color="C00000" w:sz="4"/>
            </w:tcBorders>
            <w:shd w:fill="FCE4E4" w:val="clear"/>
            <w:tcMar>
              <w:top w:type="dxa" w:w="160"/>
              <w:left w:type="dxa" w:w="200"/>
              <w:bottom w:type="dxa" w:w="160"/>
              <w:right w:type="dxa" w:w="200"/>
            </w:tcMar>
          </w:tcPr>
          <w:p>
            <w:pPr>
              <w:spacing w:after="80"/>
            </w:pPr>
            <w:r>
              <w:rPr>
                <w:b/>
                <w:bCs/>
                <w:color w:val="8B0000"/>
              </w:rPr>
              <w:t xml:space="preserve">⚠ Three Wrong Ways to Read Phase H</w:t>
            </w:r>
          </w:p>
          <w:p>
            <w:pPr>
              <w:spacing w:after="60" w:line="280"/>
              <w:jc w:val="both"/>
            </w:pPr>
            <w:r>
              <w:t xml:space="preserve">Wrong reading 1: "Phase H is the hand-over to operations." Hand-over is an event that happens at the boundary between Phase G and Phase H, but Phase H is not the hand-over; it is the perpetual oversight that begins after hand-over and continues forever.</w:t>
            </w:r>
          </w:p>
          <w:p>
            <w:pPr>
              <w:spacing w:after="60" w:line="280"/>
              <w:jc w:val="both"/>
            </w:pPr>
            <w:r>
              <w:t xml:space="preserve">Wrong reading 2: "Phase H runs until the next Phase A starts." Phase H does not stop when a new ADM cycle begins. The original architecture continues operating — and Phase H continues monitoring it — while the new cycle develops the next architecture. Phase H runs for the architecture's lifetime, not the cycle's lifetime.</w:t>
            </w:r>
          </w:p>
          <w:p>
            <w:pPr>
              <w:spacing w:after="60" w:line="280"/>
              <w:jc w:val="both"/>
            </w:pPr>
            <w:r>
              <w:t xml:space="preserve">Wrong reading 3: "Phase H is mostly paperwork." Done correctly, Phase H is mostly listening: maintaining standing presence in operational forums, monitoring external signals, assessing change requests. The paperwork is the visible artefact; the listening is the substance.</w:t>
            </w:r>
          </w:p>
        </w:tc>
      </w:tr>
    </w:tbl>
    <w:p>
      <w:r>
        <w:br w:type="page"/>
      </w:r>
    </w:p>
    <w:p>
      <w:pPr>
        <w:pStyle w:val="Heading1"/>
        <w:spacing w:after="200" w:before="360"/>
      </w:pPr>
      <w:r>
        <w:rPr>
          <w:b/>
          <w:bCs/>
          <w:color w:val="1F4E78"/>
        </w:rPr>
        <w:t xml:space="preserve">6. Change Classification — Simplification, Incremental, Re-architecting</w:t>
      </w:r>
    </w:p>
    <w:p>
      <w:pPr>
        <w:spacing w:after="120" w:line="300"/>
        <w:jc w:val="both"/>
      </w:pPr>
      <w:r>
        <w:t xml:space="preserve">When a change request, signal, or environmental shift reaches Phase H, the central decision is classification: how big is this? Three categories exist, in increasing order of impact. The classification determines what happens next: absorbed in place (Simplification), handled within Phase G governance (Incremental), or triggers a new ADM cycle (Re-architecting).</w:t>
      </w:r>
    </w:p>
    <w:p>
      <w:pPr>
        <w:pStyle w:val="Heading2"/>
        <w:spacing w:after="160" w:before="280"/>
      </w:pPr>
      <w:r>
        <w:rPr>
          <w:b/>
          <w:bCs/>
          <w:color w:val="2E75B6"/>
        </w:rPr>
        <w:t xml:space="preserve">6.1 The Three Classifications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Change Classification: </w:t>
            </w:r>
            <w:r>
              <w:t xml:space="preserve">The three-category scheme used by Phase H to determine the response to a change: (1) Simplification — minor change absorbed within the existing architecture; (2) Incremental — material change requiring focused architecture work but not a new cycle; (3) Re-architecting — major change requiring a new ADM cycle starting from Phase A.</w:t>
            </w:r>
          </w:p>
        </w:tc>
      </w:tr>
    </w:tbl>
    <w:p>
      <w:pPr>
        <w:pStyle w:val="Heading2"/>
        <w:spacing w:after="160" w:before="280"/>
      </w:pPr>
      <w:r>
        <w:rPr>
          <w:b/>
          <w:bCs/>
          <w:color w:val="2E75B6"/>
        </w:rPr>
        <w:t xml:space="preserve">6.2 Classification 1: Simplification</w:t>
      </w:r>
    </w:p>
    <w:p>
      <w:pPr>
        <w:spacing w:after="120" w:line="300"/>
        <w:jc w:val="both"/>
      </w:pPr>
      <w:r>
        <w:t xml:space="preserve">Simplification changes are absorbed within the existing architecture without architectural intervention. They are routine adjustments — additions to a catalogue, minor parameter changes, support for new but architecturally trivial requirements, configuration updates that fit existing patterns. The architecture function is informed and the Repository is updated, but no new architecture work is needed.</w:t>
      </w:r>
    </w:p>
    <w:p>
      <w:pPr>
        <w:pStyle w:val="Heading3"/>
        <w:spacing w:after="120" w:before="220"/>
      </w:pPr>
      <w:r>
        <w:rPr>
          <w:b/>
          <w:bCs/>
          <w:color w:val="404040"/>
        </w:rPr>
        <w:t xml:space="preserve">Examples of Simplification Changes</w:t>
      </w:r>
    </w:p>
    <w:p>
      <w:pPr>
        <w:pStyle w:val="ListParagraph"/>
        <w:numPr>
          <w:ilvl w:val="0"/>
          <w:numId w:val="2"/>
        </w:numPr>
        <w:spacing w:after="80" w:line="280"/>
      </w:pPr>
      <w:r>
        <w:t xml:space="preserve">A new attribute is added to a customer record, fitting the existing data model.</w:t>
      </w:r>
    </w:p>
    <w:p>
      <w:pPr>
        <w:pStyle w:val="ListParagraph"/>
        <w:numPr>
          <w:ilvl w:val="0"/>
          <w:numId w:val="2"/>
        </w:numPr>
        <w:spacing w:after="80" w:line="280"/>
      </w:pPr>
      <w:r>
        <w:t xml:space="preserve">A new payment method is supported, using the existing payments integration pattern.</w:t>
      </w:r>
    </w:p>
    <w:p>
      <w:pPr>
        <w:pStyle w:val="ListParagraph"/>
        <w:numPr>
          <w:ilvl w:val="0"/>
          <w:numId w:val="2"/>
        </w:numPr>
        <w:spacing w:after="80" w:line="280"/>
      </w:pPr>
      <w:r>
        <w:t xml:space="preserve">A new operating-system version is adopted, within an already-approved family.</w:t>
      </w:r>
    </w:p>
    <w:p>
      <w:pPr>
        <w:pStyle w:val="ListParagraph"/>
        <w:numPr>
          <w:ilvl w:val="0"/>
          <w:numId w:val="2"/>
        </w:numPr>
        <w:spacing w:after="80" w:line="280"/>
      </w:pPr>
      <w:r>
        <w:t xml:space="preserve">An additional API consumer is onboarded to an existing API.</w:t>
      </w:r>
    </w:p>
    <w:p>
      <w:pPr>
        <w:pStyle w:val="ListParagraph"/>
        <w:numPr>
          <w:ilvl w:val="0"/>
          <w:numId w:val="2"/>
        </w:numPr>
        <w:spacing w:after="80" w:line="280"/>
      </w:pPr>
      <w:r>
        <w:t xml:space="preserve">A capability score is updated in the capability map without changing the capability itself.</w:t>
      </w:r>
    </w:p>
    <w:p>
      <w:pPr>
        <w:spacing w:after="120" w:line="300"/>
        <w:jc w:val="both"/>
      </w:pPr>
      <w:r>
        <w:t xml:space="preserve">Most change requests in a stable architecture are Simplifications. Phase H processes them efficiently: log, absorb, update, move on.</w:t>
      </w:r>
    </w:p>
    <w:p>
      <w:pPr>
        <w:pStyle w:val="Heading2"/>
        <w:spacing w:after="160" w:before="280"/>
      </w:pPr>
      <w:r>
        <w:rPr>
          <w:b/>
          <w:bCs/>
          <w:color w:val="2E75B6"/>
        </w:rPr>
        <w:t xml:space="preserve">6.3 Classification 2: Incremental</w:t>
      </w:r>
    </w:p>
    <w:p>
      <w:pPr>
        <w:spacing w:after="120" w:line="300"/>
        <w:jc w:val="both"/>
      </w:pPr>
      <w:r>
        <w:t xml:space="preserve">Incremental changes are material — they affect the architecture meaningfully — but they do not invalidate the engagement's core direction. They require focused architecture work, typically delivered through additional Work Packages within the existing Phase G governance, but they do not warrant restarting Phase A.</w:t>
      </w:r>
    </w:p>
    <w:p>
      <w:pPr>
        <w:pStyle w:val="Heading3"/>
        <w:spacing w:after="120" w:before="220"/>
      </w:pPr>
      <w:r>
        <w:rPr>
          <w:b/>
          <w:bCs/>
          <w:color w:val="404040"/>
        </w:rPr>
        <w:t xml:space="preserve">Examples of Incremental Changes</w:t>
      </w:r>
    </w:p>
    <w:p>
      <w:pPr>
        <w:pStyle w:val="ListParagraph"/>
        <w:numPr>
          <w:ilvl w:val="0"/>
          <w:numId w:val="2"/>
        </w:numPr>
        <w:spacing w:after="80" w:line="280"/>
      </w:pPr>
      <w:r>
        <w:t xml:space="preserve">A new regulatory requirement (e.g., DORA operational resilience) imposes new monitoring requirements that fit within the existing architecture.</w:t>
      </w:r>
    </w:p>
    <w:p>
      <w:pPr>
        <w:pStyle w:val="ListParagraph"/>
        <w:numPr>
          <w:ilvl w:val="0"/>
          <w:numId w:val="2"/>
        </w:numPr>
        <w:spacing w:after="80" w:line="280"/>
      </w:pPr>
      <w:r>
        <w:t xml:space="preserve">A new business capability is added to the scope (e.g., extending onboarding to a new product) using the existing onboarding pattern.</w:t>
      </w:r>
    </w:p>
    <w:p>
      <w:pPr>
        <w:pStyle w:val="ListParagraph"/>
        <w:numPr>
          <w:ilvl w:val="0"/>
          <w:numId w:val="2"/>
        </w:numPr>
        <w:spacing w:after="80" w:line="280"/>
      </w:pPr>
      <w:r>
        <w:t xml:space="preserve">A vendor introduces a new feature that should be adopted enterprise-wide (e.g., enhanced encryption defaults).</w:t>
      </w:r>
    </w:p>
    <w:p>
      <w:pPr>
        <w:pStyle w:val="ListParagraph"/>
        <w:numPr>
          <w:ilvl w:val="0"/>
          <w:numId w:val="2"/>
        </w:numPr>
        <w:spacing w:after="80" w:line="280"/>
      </w:pPr>
      <w:r>
        <w:t xml:space="preserve">Operational learning reveals that a chosen integration pattern has performance limitations and a refined pattern should be adopted.</w:t>
      </w:r>
    </w:p>
    <w:p>
      <w:pPr>
        <w:pStyle w:val="ListParagraph"/>
        <w:numPr>
          <w:ilvl w:val="0"/>
          <w:numId w:val="2"/>
        </w:numPr>
        <w:spacing w:after="80" w:line="280"/>
      </w:pPr>
      <w:r>
        <w:t xml:space="preserve">A security advisory requires a coordinated change across multiple systems.</w:t>
      </w:r>
    </w:p>
    <w:p>
      <w:pPr>
        <w:spacing w:after="120" w:line="300"/>
        <w:jc w:val="both"/>
      </w:pPr>
      <w:r>
        <w:t xml:space="preserve">Incremental changes flow through a lighter-weight version of the ADM — typically a focused B/C/D activity for the affected slice, producing additional Work Packages that are added to the Roadmap and Migration Plan and governed through the existing Phase G framework. The Architecture Definition Document is updated; the Architecture Requirements Specification is amended.</w:t>
      </w:r>
    </w:p>
    <w:p>
      <w:pPr>
        <w:pStyle w:val="Heading2"/>
        <w:spacing w:after="160" w:before="280"/>
      </w:pPr>
      <w:r>
        <w:rPr>
          <w:b/>
          <w:bCs/>
          <w:color w:val="2E75B6"/>
        </w:rPr>
        <w:t xml:space="preserve">6.4 Classification 3: Re-architecting</w:t>
      </w:r>
    </w:p>
    <w:p>
      <w:pPr>
        <w:spacing w:after="120" w:line="300"/>
        <w:jc w:val="both"/>
      </w:pPr>
      <w:r>
        <w:t xml:space="preserve">Re-architecting changes are large enough to invalidate the current engagement's core direction. The strategy has shifted; the regulatory regime has fundamentally changed; the technology landscape has been transformed; an M&amp;A event has reshaped the enterprise. Tweaking the existing architecture is no longer adequate; a new architecture must be developed.</w:t>
      </w:r>
    </w:p>
    <w:p>
      <w:pPr>
        <w:pStyle w:val="Heading3"/>
        <w:spacing w:after="120" w:before="220"/>
      </w:pPr>
      <w:r>
        <w:rPr>
          <w:b/>
          <w:bCs/>
          <w:color w:val="404040"/>
        </w:rPr>
        <w:t xml:space="preserve">Examples of Re-architecting Changes</w:t>
      </w:r>
    </w:p>
    <w:p>
      <w:pPr>
        <w:pStyle w:val="ListParagraph"/>
        <w:numPr>
          <w:ilvl w:val="0"/>
          <w:numId w:val="2"/>
        </w:numPr>
        <w:spacing w:after="80" w:line="280"/>
      </w:pPr>
      <w:r>
        <w:t xml:space="preserve">Corporate strategy changes substantially (e.g., "digital first" replaced by "AI-native").</w:t>
      </w:r>
    </w:p>
    <w:p>
      <w:pPr>
        <w:pStyle w:val="ListParagraph"/>
        <w:numPr>
          <w:ilvl w:val="0"/>
          <w:numId w:val="2"/>
        </w:numPr>
        <w:spacing w:after="80" w:line="280"/>
      </w:pPr>
      <w:r>
        <w:t xml:space="preserve">A major regulation reshapes a domain (e.g., the EU AI Act's requirements on automated decisioning).</w:t>
      </w:r>
    </w:p>
    <w:p>
      <w:pPr>
        <w:pStyle w:val="ListParagraph"/>
        <w:numPr>
          <w:ilvl w:val="0"/>
          <w:numId w:val="2"/>
        </w:numPr>
        <w:spacing w:after="80" w:line="280"/>
      </w:pPr>
      <w:r>
        <w:t xml:space="preserve">A merger or acquisition doubles the enterprise's scope or adds entirely new lines of business.</w:t>
      </w:r>
    </w:p>
    <w:p>
      <w:pPr>
        <w:pStyle w:val="ListParagraph"/>
        <w:numPr>
          <w:ilvl w:val="0"/>
          <w:numId w:val="2"/>
        </w:numPr>
        <w:spacing w:after="80" w:line="280"/>
      </w:pPr>
      <w:r>
        <w:t xml:space="preserve">A core platform reaches genuine end-of-life with no migration path within the existing architecture.</w:t>
      </w:r>
    </w:p>
    <w:p>
      <w:pPr>
        <w:pStyle w:val="ListParagraph"/>
        <w:numPr>
          <w:ilvl w:val="0"/>
          <w:numId w:val="2"/>
        </w:numPr>
        <w:spacing w:after="80" w:line="280"/>
      </w:pPr>
      <w:r>
        <w:t xml:space="preserve">Multiple Incremental changes accumulate to the point where the architecture has drifted beyond coherence — re-architecting is needed to restore consistency.</w:t>
      </w:r>
    </w:p>
    <w:p>
      <w:pPr>
        <w:spacing w:after="120" w:line="300"/>
        <w:jc w:val="both"/>
      </w:pPr>
      <w:r>
        <w:t xml:space="preserve">Re-architecting changes generate a new Request for Architecture Work. Phase H produces this Request, which becomes the trigger for a new Phase A. The new ADM cycle then runs alongside the operations of the existing architecture — exactly as Module 4's cycle-closure model describes.</w:t>
      </w:r>
    </w:p>
    <w:p>
      <w:pPr>
        <w:pStyle w:val="Heading2"/>
        <w:spacing w:after="160" w:before="280"/>
      </w:pPr>
      <w:r>
        <w:rPr>
          <w:b/>
          <w:bCs/>
          <w:color w:val="2E75B6"/>
        </w:rPr>
        <w:t xml:space="preserve">6.5 The Three Classifications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2700"/>
        <w:gridCol w:w="1860"/>
      </w:tblGrid>
      <w:tr>
        <w:trPr>
          <w:tblHeader/>
        </w:trPr>
        <w:tc>
          <w:tcPr>
            <w:tcW w:type="dxa" w:w="19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Classification</w:t>
            </w:r>
          </w:p>
        </w:tc>
        <w:tc>
          <w:tcPr>
            <w:tcW w:type="dxa" w:w="29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Trigger</w:t>
            </w:r>
          </w:p>
        </w:tc>
        <w:tc>
          <w:tcPr>
            <w:tcW w:type="dxa" w:w="2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Architecture Response</w:t>
            </w:r>
          </w:p>
        </w:tc>
        <w:tc>
          <w:tcPr>
            <w:tcW w:type="dxa" w:w="18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Outcome</w:t>
            </w:r>
          </w:p>
        </w:tc>
      </w:tr>
      <w:tr>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Simplification</w:t>
            </w:r>
          </w:p>
        </w:tc>
        <w:tc>
          <w:tcPr>
            <w:tcW w:type="dxa" w:w="2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Routine adjustments fitting existing patterns</w:t>
            </w:r>
          </w:p>
        </w:tc>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Absorb; update Repository; inform stakeholders</w:t>
            </w:r>
          </w:p>
        </w:tc>
        <w:tc>
          <w:tcPr>
            <w:tcW w:type="dxa" w:w="1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Existing architecture continues unchanged in essence</w:t>
            </w:r>
          </w:p>
        </w:tc>
      </w:tr>
      <w:tr>
        <w:tc>
          <w:tcPr>
            <w:tcW w:type="dxa" w:w="19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Incremental</w:t>
            </w:r>
          </w:p>
        </w:tc>
        <w:tc>
          <w:tcPr>
            <w:tcW w:type="dxa" w:w="29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Material change not invalidating core direction</w:t>
            </w:r>
          </w:p>
        </w:tc>
        <w:tc>
          <w:tcPr>
            <w:tcW w:type="dxa" w:w="2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Focused B/C/D work; additional Work Packages; ADD updated</w:t>
            </w:r>
          </w:p>
        </w:tc>
        <w:tc>
          <w:tcPr>
            <w:tcW w:type="dxa" w:w="18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Architecture extended/refined; existing engagement continues</w:t>
            </w:r>
          </w:p>
        </w:tc>
      </w:tr>
      <w:tr>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Re-architecting</w:t>
            </w:r>
          </w:p>
        </w:tc>
        <w:tc>
          <w:tcPr>
            <w:tcW w:type="dxa" w:w="2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Strategic, regulatory, M&amp;A, or platform transformation</w:t>
            </w:r>
          </w:p>
        </w:tc>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New Request for Architecture Work; new Phase A cycle</w:t>
            </w:r>
          </w:p>
        </w:tc>
        <w:tc>
          <w:tcPr>
            <w:tcW w:type="dxa" w:w="1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New ADM cycle initiated; old architecture continues operating during new cycle development</w:t>
            </w:r>
          </w:p>
        </w:tc>
      </w:tr>
    </w:tbl>
    <w:p>
      <w:pPr>
        <w:pStyle w:val="Heading2"/>
        <w:spacing w:after="160" w:before="280"/>
      </w:pPr>
      <w:r>
        <w:rPr>
          <w:b/>
          <w:bCs/>
          <w:color w:val="2E75B6"/>
        </w:rPr>
        <w:t xml:space="preserve">6.6 Classification Discipline</w:t>
      </w:r>
    </w:p>
    <w:p>
      <w:pPr>
        <w:spacing w:after="120" w:line="300"/>
        <w:jc w:val="both"/>
      </w:pPr>
      <w:r>
        <w:t xml:space="preserve">The discipline of accurate classification is critical. Two pathological patterns recur:</w:t>
      </w:r>
    </w:p>
    <w:p>
      <w:pPr>
        <w:pStyle w:val="ListParagraph"/>
        <w:numPr>
          <w:ilvl w:val="0"/>
          <w:numId w:val="3"/>
        </w:numPr>
        <w:spacing w:after="80" w:line="280"/>
      </w:pPr>
      <w:r>
        <w:t xml:space="preserve">Over-classification: treating every change as Re-architecting. Phase H produces a flurry of new Requests for Architecture Work, the architecture team is overloaded, and stakeholders learn that any change request triggers months of delay — so they stop telling Phase H about changes.</w:t>
      </w:r>
    </w:p>
    <w:p>
      <w:pPr>
        <w:pStyle w:val="ListParagraph"/>
        <w:numPr>
          <w:ilvl w:val="0"/>
          <w:numId w:val="3"/>
        </w:numPr>
        <w:spacing w:after="80" w:line="280"/>
      </w:pPr>
      <w:r>
        <w:t xml:space="preserve">Under-classification: treating every change as Simplification. Material changes are absorbed without proper architecture treatment, drift accumulates, and after a year the actual state has diverged so far from the documented architecture that nothing can be governed coherently.</w:t>
      </w:r>
    </w:p>
    <w:p>
      <w:pPr>
        <w:spacing w:after="120" w:line="300"/>
        <w:jc w:val="both"/>
      </w:pPr>
      <w:r>
        <w:t xml:space="preserve">Accurate classification is a judgement call, made by the architecture function with input from affected stakeholders, recorded in the Governance Log, and revisable if the initial classification proves wrong. A robust Phase H practice reviews its classifications periodically: are too many Simplifications later turning out to have been Incrementals? Are Re-architecting calls being escalated too quickly?</w:t>
      </w:r>
    </w:p>
    <w:p>
      <w:r>
        <w:br w:type="page"/>
      </w:r>
    </w:p>
    <w:p>
      <w:pPr>
        <w:pStyle w:val="Heading1"/>
        <w:spacing w:after="200" w:before="360"/>
      </w:pPr>
      <w:r>
        <w:rPr>
          <w:b/>
          <w:bCs/>
          <w:color w:val="1F4E78"/>
        </w:rPr>
        <w:t xml:space="preserve">7. When Phase H Produces a New SoAW</w:t>
      </w:r>
    </w:p>
    <w:p>
      <w:pPr>
        <w:spacing w:after="120" w:line="300"/>
        <w:jc w:val="both"/>
      </w:pPr>
      <w:r>
        <w:t xml:space="preserve">The capstone moment of Phase H is when it generates a new Request for Architecture Work, leading to a new Statement of Architecture Work in Phase A, opening a new ADM cycle. This is the act that closes the cycle described in Module 4: Phase H feeds Phase A. Understanding when and how this happens is the difference between a reactive architecture practice and a strategic one.</w:t>
      </w:r>
    </w:p>
    <w:p>
      <w:pPr>
        <w:pStyle w:val="Heading2"/>
        <w:spacing w:after="160" w:before="280"/>
      </w:pPr>
      <w:r>
        <w:rPr>
          <w:b/>
          <w:bCs/>
          <w:color w:val="2E75B6"/>
        </w:rPr>
        <w:t xml:space="preserve">7.1 The Trigger Conditions</w:t>
      </w:r>
    </w:p>
    <w:p>
      <w:pPr>
        <w:spacing w:after="120" w:line="300"/>
        <w:jc w:val="both"/>
      </w:pPr>
      <w:r>
        <w:t xml:space="preserve">Phase H produces a new Request for Architecture Work — and therefore a new SoAW — when a change has been classified as Re-architecting. Module 4 listed the typical triggers; in Phase H terms they are the events that drive Re-architecting classification:</w:t>
      </w:r>
    </w:p>
    <w:p>
      <w:pPr>
        <w:pStyle w:val="ListParagraph"/>
        <w:numPr>
          <w:ilvl w:val="0"/>
          <w:numId w:val="2"/>
        </w:numPr>
        <w:spacing w:after="80" w:line="280"/>
      </w:pPr>
      <w:r>
        <w:t xml:space="preserve">New corporate strategy or significant strategic pivot.</w:t>
      </w:r>
    </w:p>
    <w:p>
      <w:pPr>
        <w:pStyle w:val="ListParagraph"/>
        <w:numPr>
          <w:ilvl w:val="0"/>
          <w:numId w:val="2"/>
        </w:numPr>
        <w:spacing w:after="80" w:line="280"/>
      </w:pPr>
      <w:r>
        <w:t xml:space="preserve">Major regulatory change requiring substantial architectural response.</w:t>
      </w:r>
    </w:p>
    <w:p>
      <w:pPr>
        <w:pStyle w:val="ListParagraph"/>
        <w:numPr>
          <w:ilvl w:val="0"/>
          <w:numId w:val="2"/>
        </w:numPr>
        <w:spacing w:after="80" w:line="280"/>
      </w:pPr>
      <w:r>
        <w:t xml:space="preserve">Mergers, acquisitions, or divestitures that reshape the enterprise.</w:t>
      </w:r>
    </w:p>
    <w:p>
      <w:pPr>
        <w:pStyle w:val="ListParagraph"/>
        <w:numPr>
          <w:ilvl w:val="0"/>
          <w:numId w:val="2"/>
        </w:numPr>
        <w:spacing w:after="80" w:line="280"/>
      </w:pPr>
      <w:r>
        <w:t xml:space="preserve">Major technology shifts (e.g., cloud-first mandates, AI integration, platform end-of-life).</w:t>
      </w:r>
    </w:p>
    <w:p>
      <w:pPr>
        <w:pStyle w:val="ListParagraph"/>
        <w:numPr>
          <w:ilvl w:val="0"/>
          <w:numId w:val="2"/>
        </w:numPr>
        <w:spacing w:after="80" w:line="280"/>
      </w:pPr>
      <w:r>
        <w:t xml:space="preserve">Accumulated incremental drift such that the existing target architecture has become obsolete.</w:t>
      </w:r>
    </w:p>
    <w:p>
      <w:pPr>
        <w:pStyle w:val="ListParagraph"/>
        <w:numPr>
          <w:ilvl w:val="0"/>
          <w:numId w:val="2"/>
        </w:numPr>
        <w:spacing w:after="80" w:line="280"/>
      </w:pPr>
      <w:r>
        <w:t xml:space="preserve">Completion of a major Transition Architecture, such that a new target must be defined for the next leg of the journey.</w:t>
      </w:r>
    </w:p>
    <w:p>
      <w:pPr>
        <w:pStyle w:val="Heading2"/>
        <w:spacing w:after="160" w:before="280"/>
      </w:pPr>
      <w:r>
        <w:rPr>
          <w:b/>
          <w:bCs/>
          <w:color w:val="2E75B6"/>
        </w:rPr>
        <w:t xml:space="preserve">7.2 The Mechanics</w:t>
      </w:r>
    </w:p>
    <w:p>
      <w:pPr>
        <w:pStyle w:val="Heading3"/>
        <w:spacing w:after="120" w:before="220"/>
      </w:pPr>
      <w:r>
        <w:rPr>
          <w:b/>
          <w:bCs/>
          <w:color w:val="404040"/>
        </w:rPr>
        <w:t xml:space="preserve">Step 1: Phase H Classifies a Change as Re-architecting</w:t>
      </w:r>
    </w:p>
    <w:p>
      <w:pPr>
        <w:spacing w:after="120" w:line="300"/>
        <w:jc w:val="both"/>
      </w:pPr>
      <w:r>
        <w:t xml:space="preserve">The classification decision is made formally, with documented rationale. Phase H does not unilaterally start a new cycle; the classification is presented to the Architecture Board for confirmation. The Board's role is to validate that the classification is correct and that a new cycle is genuinely warranted (not just an over-reaction by Phase H to a change that should have been classified Incremental).</w:t>
      </w:r>
    </w:p>
    <w:p>
      <w:pPr>
        <w:pStyle w:val="Heading3"/>
        <w:spacing w:after="120" w:before="220"/>
      </w:pPr>
      <w:r>
        <w:rPr>
          <w:b/>
          <w:bCs/>
          <w:color w:val="404040"/>
        </w:rPr>
        <w:t xml:space="preserve">Step 2: Request for Architecture Work Is Drafted</w:t>
      </w:r>
    </w:p>
    <w:p>
      <w:pPr>
        <w:spacing w:after="120" w:line="300"/>
        <w:jc w:val="both"/>
      </w:pPr>
      <w:r>
        <w:t xml:space="preserve">Phase H produces a Request for Architecture Work — a document that names the trigger, describes the scope of the new engagement, identifies the principal stakeholders and sponsors, and proposes the scale and timeline of the new cycle. This document is the formal initiation artefact, comparable to a project initiation request in conventional methodology.</w:t>
      </w:r>
    </w:p>
    <w:p>
      <w:pPr>
        <w:pStyle w:val="Heading3"/>
        <w:spacing w:after="120" w:before="220"/>
      </w:pPr>
      <w:r>
        <w:rPr>
          <w:b/>
          <w:bCs/>
          <w:color w:val="404040"/>
        </w:rPr>
        <w:t xml:space="preserve">Step 3: Sponsor Endorsement</w:t>
      </w:r>
    </w:p>
    <w:p>
      <w:pPr>
        <w:spacing w:after="120" w:line="300"/>
        <w:jc w:val="both"/>
      </w:pPr>
      <w:r>
        <w:t xml:space="preserve">The Request for Architecture Work is presented to its proposed sponsor. The sponsor reviews it, may amend it, and either endorses or rejects. Endorsement does not yet authorise the work — that comes from the SoAW signature in Phase A — but it does validate that the trigger is recognised at sponsor level and that resources will be sought to perform the new cycle.</w:t>
      </w:r>
    </w:p>
    <w:p>
      <w:pPr>
        <w:pStyle w:val="Heading3"/>
        <w:spacing w:after="120" w:before="220"/>
      </w:pPr>
      <w:r>
        <w:rPr>
          <w:b/>
          <w:bCs/>
          <w:color w:val="404040"/>
        </w:rPr>
        <w:t xml:space="preserve">Step 4: New Phase A Begins</w:t>
      </w:r>
    </w:p>
    <w:p>
      <w:pPr>
        <w:spacing w:after="120" w:line="300"/>
        <w:jc w:val="both"/>
      </w:pPr>
      <w:r>
        <w:t xml:space="preserve">With the endorsed Request for Architecture Work, a new Phase A is initiated. Phase A produces the Architecture Vision and the Statement of Architecture Work as covered in Module 5. Once the SoAW is signed, the new cycle is fully authorised. Phase H continues to monitor the existing architecture; the new cycle develops the next one.</w:t>
      </w:r>
    </w:p>
    <w:p>
      <w:pPr>
        <w:pStyle w:val="Heading2"/>
        <w:spacing w:after="160" w:before="280"/>
      </w:pPr>
      <w:r>
        <w:rPr>
          <w:b/>
          <w:bCs/>
          <w:color w:val="2E75B6"/>
        </w:rPr>
        <w:t xml:space="preserve">7.3 The Cycle Closes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8"/>
              <w:left w:val="single" w:color="C9A227" w:sz="24"/>
              <w:bottom w:val="single" w:color="C9A227" w:sz="8"/>
              <w:right w:val="single" w:color="C9A227" w:sz="4"/>
            </w:tcBorders>
            <w:shd w:fill="FFF4CE" w:val="clear"/>
            <w:tcMar>
              <w:top w:type="dxa" w:w="160"/>
              <w:left w:type="dxa" w:w="200"/>
              <w:bottom w:type="dxa" w:w="160"/>
              <w:right w:type="dxa" w:w="200"/>
            </w:tcMar>
          </w:tcPr>
          <w:p>
            <w:pPr>
              <w:spacing w:after="80"/>
            </w:pPr>
            <w:r>
              <w:rPr>
                <w:b/>
                <w:bCs/>
                <w:color w:val="7C5800"/>
              </w:rPr>
              <w:t xml:space="preserve">The Cycle Closure Sequence</w:t>
            </w:r>
          </w:p>
          <w:p>
            <w:pPr>
              <w:spacing w:after="60" w:line="280"/>
              <w:jc w:val="both"/>
            </w:pPr>
            <w:r>
              <w:t xml:space="preserve">Phase H detects a Re-architecting trigger → Phase H classifies the change formally and obtains Architecture Board confirmation → Phase H drafts a Request for Architecture Work → sponsor endorses the Request → new Phase A begins → new Phase A produces a Statement of Architecture Work → SoAW is signed → the new ADM cycle is authorised. Phase H continues operating throughout. This is the precise mechanism by which the ADM cycle closes — Module 4's diagrammatic loop made operational.</w:t>
            </w:r>
          </w:p>
        </w:tc>
      </w:tr>
    </w:tbl>
    <w:p>
      <w:pPr>
        <w:pStyle w:val="Heading2"/>
        <w:spacing w:after="160" w:before="280"/>
      </w:pPr>
      <w:r>
        <w:rPr>
          <w:b/>
          <w:bCs/>
          <w:color w:val="2E75B6"/>
        </w:rPr>
        <w:t xml:space="preserve">7.4 Multiple Concurrent Cycles</w:t>
      </w:r>
    </w:p>
    <w:p>
      <w:pPr>
        <w:spacing w:after="120" w:line="300"/>
        <w:jc w:val="both"/>
      </w:pPr>
      <w:r>
        <w:t xml:space="preserve">In a mature architecture practice, Phase H may produce multiple new Requests for Architecture Work concurrently. A large enterprise might have several Re-architecting triggers active at once: a regulatory change, an acquisition, a platform end-of-life. Phase H produces a Request for each; each enters its own Phase A; each becomes its own ADM cycle. Multiple cycles run concurrently, each at different stages, all governed by the same Architecture Capability Framework, all coordinated through the Architecture Repository.</w:t>
      </w:r>
    </w:p>
    <w:p>
      <w:pPr>
        <w:spacing w:after="120" w:line="300"/>
        <w:jc w:val="both"/>
      </w:pPr>
      <w:r>
        <w:t xml:space="preserve">This is the operational reality of Module 4's continuous cycle: many engagement cycles in flight at any moment, each on its own timeline, all stitched together by the practice itself running continuously.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4"/>
            </w:tcBorders>
            <w:shd w:fill="EAF1F8" w:val="clear"/>
            <w:tcMar>
              <w:top w:type="dxa" w:w="160"/>
              <w:left w:type="dxa" w:w="200"/>
              <w:bottom w:type="dxa" w:w="160"/>
              <w:right w:type="dxa" w:w="200"/>
            </w:tcMar>
          </w:tcPr>
          <w:p>
            <w:pPr>
              <w:spacing w:after="100"/>
            </w:pPr>
            <w:r>
              <w:rPr>
                <w:b/>
                <w:bCs/>
                <w:color w:val="1F4E78"/>
              </w:rPr>
              <w:t xml:space="preserve">▶ Phase H Producing Multiple SoAWs</w:t>
            </w:r>
          </w:p>
          <w:p>
            <w:pPr>
              <w:spacing w:after="60" w:line="280"/>
              <w:jc w:val="both"/>
            </w:pPr>
            <w:r>
              <w:t xml:space="preserve">Bank, Year 3 of ongoing operations.</w:t>
            </w:r>
          </w:p>
          <w:p>
            <w:pPr>
              <w:spacing w:after="60" w:line="280"/>
              <w:jc w:val="both"/>
            </w:pPr>
            <w:r>
              <w:t xml:space="preserve">Trigger 1 (March): EU AI Act regulation passes. Phase H classifies as Re-architecting (decisioning capabilities affected across multiple lines of business). Request for Architecture Work drafted; Group Risk Officer endorses; new Phase A begins; SoAW signed in May.</w:t>
            </w:r>
          </w:p>
          <w:p>
            <w:pPr>
              <w:spacing w:after="60" w:line="280"/>
              <w:jc w:val="both"/>
            </w:pPr>
            <w:r>
              <w:t xml:space="preserve">Trigger 2 (June): identity-verification vendor announces 18-month end-of-life. Phase H classifies as Re-architecting (replacement is not a swap). Request drafted; CIO endorses; new Phase A begins; SoAW signed in August.</w:t>
            </w:r>
          </w:p>
          <w:p>
            <w:pPr>
              <w:spacing w:after="60" w:line="280"/>
              <w:jc w:val="both"/>
            </w:pPr>
            <w:r>
              <w:t xml:space="preserve">Trigger 3 (September): bank acquires regional competitor. Phase H classifies as Re-architecting (scope reshaped). Request drafted; CEO endorses; new Phase A begins; SoAW signed in November.</w:t>
            </w:r>
          </w:p>
          <w:p>
            <w:pPr>
              <w:spacing w:after="60" w:line="280"/>
              <w:jc w:val="both"/>
            </w:pPr>
            <w:r>
              <w:t xml:space="preserve">By Year 3 end: three concurrent ADM cycles in progress (AI compliance, identity replacement, post-merger integration); the original onboarding architecture continues operating; Phase H continues monitoring all four (the original plus the three in development).</w:t>
            </w:r>
          </w:p>
          <w:p>
            <w:pPr>
              <w:spacing w:after="60" w:line="280"/>
              <w:jc w:val="both"/>
            </w:pPr>
            <w:r>
              <w:t xml:space="preserve">Each cycle has its own SoAW, its own scope, its own sponsor, its own timeline. The Architecture Capability Framework coordinates; the Repository holds the artefacts. Phase H is the engine that produced all three new cycles.</w:t>
            </w:r>
          </w:p>
        </w:tc>
      </w:tr>
    </w:tbl>
    <w:p>
      <w:r>
        <w:br w:type="page"/>
      </w:r>
    </w:p>
    <w:p>
      <w:pPr>
        <w:pStyle w:val="Heading1"/>
        <w:spacing w:after="200" w:before="360"/>
      </w:pPr>
      <w:r>
        <w:rPr>
          <w:b/>
          <w:bCs/>
          <w:color w:val="1F4E78"/>
        </w:rPr>
        <w:t xml:space="preserve">8. The Requirements Impact Assessment Process — Seven Steps</w:t>
      </w:r>
    </w:p>
    <w:p>
      <w:pPr>
        <w:spacing w:after="120" w:line="300"/>
        <w:jc w:val="both"/>
      </w:pPr>
      <w:r>
        <w:t xml:space="preserve">When a change is identified — by Phase H or by an in-flight project in Phase G — its impact on architecture requirements must be assessed before any decision is made. The Requirements Impact Assessment is the formal seven-step process by which Phase H (and the Requirements Management activity at the centre of the ADM) determines what a proposed change actually means for the architecture and its requirements.</w:t>
      </w:r>
    </w:p>
    <w:p>
      <w:pPr>
        <w:pStyle w:val="Heading2"/>
        <w:spacing w:after="160" w:before="280"/>
      </w:pPr>
      <w:r>
        <w:rPr>
          <w:b/>
          <w:bCs/>
          <w:color w:val="2E75B6"/>
        </w:rPr>
        <w:t xml:space="preserve">8.1 Why a Formal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Requirements Impact Assessment: </w:t>
            </w:r>
            <w:r>
              <w:t xml:space="preserve">The formal seven-step process by which a proposed change is evaluated for its impact on architecture requirements before any decision is made. Identifies which requirements are affected, how they are affected, what the propagated impact is across phases, and what remediation or response is needed. The principal Phase H decision-support technique.</w:t>
            </w:r>
          </w:p>
        </w:tc>
      </w:tr>
    </w:tbl>
    <w:p>
      <w:pPr>
        <w:spacing w:after="120" w:line="300"/>
        <w:jc w:val="both"/>
      </w:pPr>
      <w:r>
        <w:t xml:space="preserve">Without a formal process, change requests are evaluated by gut feel, the impact is under-estimated, side effects propagate undetected, and the resulting decisions produce surprises during implementation. The seven-step process is what turns change-impact analysis from improvisation into discipline.</w:t>
      </w:r>
    </w:p>
    <w:p>
      <w:pPr>
        <w:pStyle w:val="Heading2"/>
        <w:spacing w:after="160" w:before="280"/>
      </w:pPr>
      <w:r>
        <w:rPr>
          <w:b/>
          <w:bCs/>
          <w:color w:val="2E75B6"/>
        </w:rPr>
        <w:t xml:space="preserve">8.2 The Seven Steps</w:t>
      </w:r>
    </w:p>
    <w:p>
      <w:pPr>
        <w:pStyle w:val="Heading3"/>
        <w:spacing w:after="120" w:before="220"/>
      </w:pPr>
      <w:r>
        <w:rPr>
          <w:b/>
          <w:bCs/>
          <w:color w:val="404040"/>
        </w:rPr>
        <w:t xml:space="preserve">Step 1: Identify the Source of the Change</w:t>
      </w:r>
    </w:p>
    <w:p>
      <w:pPr>
        <w:spacing w:after="120" w:line="300"/>
        <w:jc w:val="both"/>
      </w:pPr>
      <w:r>
        <w:t xml:space="preserve">The first step is to understand where the change request comes from and what it represents. Sources include: regulatory bodies, business stakeholders, technology vendors, security advisories, operational incidents, strategic decisions, completed Transition Architectures, and observations from Phase G implementation. Each source has different urgency, different authority, and different implications. A regulatory change has a non-negotiable deadline; a business stakeholder request can be debated; a vendor end-of-life has a fixed expiry. Knowing the source frames everything that follows.</w:t>
      </w:r>
    </w:p>
    <w:p>
      <w:pPr>
        <w:pStyle w:val="Heading3"/>
        <w:spacing w:after="120" w:before="220"/>
      </w:pPr>
      <w:r>
        <w:rPr>
          <w:b/>
          <w:bCs/>
          <w:color w:val="404040"/>
        </w:rPr>
        <w:t xml:space="preserve">Step 2: Catalogue the Affected Requirements</w:t>
      </w:r>
    </w:p>
    <w:p>
      <w:pPr>
        <w:spacing w:after="120" w:line="300"/>
        <w:jc w:val="both"/>
      </w:pPr>
      <w:r>
        <w:t xml:space="preserve">Identify every architecture requirement in the Architecture Requirements Specification that is affected by the change. This is a query against the requirements register, looking for: requirements that the change directly invalidates; requirements that the change adds; requirements whose priority is altered; requirements whose acceptance criteria must be revised. The output is a structured list of affected requirements with the nature of the impact for each.</w:t>
      </w:r>
    </w:p>
    <w:p>
      <w:pPr>
        <w:pStyle w:val="Heading3"/>
        <w:spacing w:after="120" w:before="220"/>
      </w:pPr>
      <w:r>
        <w:rPr>
          <w:b/>
          <w:bCs/>
          <w:color w:val="404040"/>
        </w:rPr>
        <w:t xml:space="preserve">Step 3: Assess the Impact on Each Affected Requirement</w:t>
      </w:r>
    </w:p>
    <w:p>
      <w:pPr>
        <w:spacing w:after="120" w:line="300"/>
        <w:jc w:val="both"/>
      </w:pPr>
      <w:r>
        <w:t xml:space="preserve">For each affected requirement, assess the specific nature and magnitude of impact. Categories of impact include: requirement is no longer needed (eliminated); requirement is changed in scope or specificity (modified); requirement is added (new); requirement is satisfied differently (re-targeted); requirement priority is altered (re-prioritised). The output is a per-requirement disposition similar to the gap-analysis cell types in Module 6.</w:t>
      </w:r>
    </w:p>
    <w:p>
      <w:pPr>
        <w:pStyle w:val="Heading3"/>
        <w:spacing w:after="120" w:before="220"/>
      </w:pPr>
      <w:r>
        <w:rPr>
          <w:b/>
          <w:bCs/>
          <w:color w:val="404040"/>
        </w:rPr>
        <w:t xml:space="preserve">Step 4: Determine the Phase-Level Impact</w:t>
      </w:r>
    </w:p>
    <w:p>
      <w:pPr>
        <w:spacing w:after="120" w:line="300"/>
        <w:jc w:val="both"/>
      </w:pPr>
      <w:r>
        <w:t xml:space="preserve">Trace each affected requirement back to the phase that produced it. Module 4's principle holds: if Phase B requirements are affected, the impact propagates to B; if Phase D requirements are affected, the impact propagates to D. The output is a phase-level impact map: which phases would need to revisit work as a result of accepting this change. This is the input to the iteration decision matrix from Module 4.</w:t>
      </w:r>
    </w:p>
    <w:p>
      <w:pPr>
        <w:pStyle w:val="Heading3"/>
        <w:spacing w:after="120" w:before="220"/>
      </w:pPr>
      <w:r>
        <w:rPr>
          <w:b/>
          <w:bCs/>
          <w:color w:val="404040"/>
        </w:rPr>
        <w:t xml:space="preserve">Step 5: Assess Cross-Domain and Cross-Project Impact</w:t>
      </w:r>
    </w:p>
    <w:p>
      <w:pPr>
        <w:spacing w:after="120" w:line="300"/>
        <w:jc w:val="both"/>
      </w:pPr>
      <w:r>
        <w:t xml:space="preserve">A change rarely affects only one domain or one project. Step 5 assesses propagation: a Data Architecture change typically affects Application Architecture; an Application change affects Technology; an in-flight project's discovery may affect other concurrent projects sharing patterns. The output is an impact-radius assessment naming all the architectures, domains, and active projects touched.</w:t>
      </w:r>
    </w:p>
    <w:p>
      <w:pPr>
        <w:pStyle w:val="Heading3"/>
        <w:spacing w:after="120" w:before="220"/>
      </w:pPr>
      <w:r>
        <w:rPr>
          <w:b/>
          <w:bCs/>
          <w:color w:val="404040"/>
        </w:rPr>
        <w:t xml:space="preserve">Step 6: Recommend a Response</w:t>
      </w:r>
    </w:p>
    <w:p>
      <w:pPr>
        <w:spacing w:after="120" w:line="300"/>
        <w:jc w:val="both"/>
      </w:pPr>
      <w:r>
        <w:t xml:space="preserve">Based on Steps 1–5, recommend a course of action. Options include: classify as Simplification and absorb; classify as Incremental and trigger focused B/C/D work; classify as Re-architecting and produce a new Request for Architecture Work; reject the change; defer the change with stated reasons. The recommendation is supported by the analysis of the previous five steps and is reviewable by the Architecture Board.</w:t>
      </w:r>
    </w:p>
    <w:p>
      <w:pPr>
        <w:pStyle w:val="Heading3"/>
        <w:spacing w:after="120" w:before="220"/>
      </w:pPr>
      <w:r>
        <w:rPr>
          <w:b/>
          <w:bCs/>
          <w:color w:val="404040"/>
        </w:rPr>
        <w:t xml:space="preserve">Step 7: Update the Architecture Repository</w:t>
      </w:r>
    </w:p>
    <w:p>
      <w:pPr>
        <w:spacing w:after="120" w:line="300"/>
        <w:jc w:val="both"/>
      </w:pPr>
      <w:r>
        <w:t xml:space="preserve">Whatever the decision, update the Architecture Repository with the analysis, the recommendation, and the outcome. Update the Governance Log with the decision and rationale. Update the Architecture Requirements Specification with affected requirements (eliminated, modified, new, etc.). Update the Architecture Definition Document where appropriate. The Repository is what makes the assessment auditable, traceable, and useful in future cycles.</w:t>
      </w:r>
    </w:p>
    <w:p>
      <w:pPr>
        <w:pStyle w:val="Heading2"/>
        <w:spacing w:after="160" w:before="280"/>
      </w:pPr>
      <w:r>
        <w:rPr>
          <w:b/>
          <w:bCs/>
          <w:color w:val="2E75B6"/>
        </w:rPr>
        <w:t xml:space="preserve">8.3 The Seven Steps Summarised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4360"/>
      </w:tblGrid>
      <w:tr>
        <w:trPr>
          <w:tblHeader/>
        </w:trPr>
        <w:tc>
          <w:tcPr>
            <w:tcW w:type="dxa" w:w="6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Step</w:t>
            </w:r>
          </w:p>
        </w:tc>
        <w:tc>
          <w:tcPr>
            <w:tcW w:type="dxa" w:w="4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Activity</w:t>
            </w:r>
          </w:p>
        </w:tc>
        <w:tc>
          <w:tcPr>
            <w:tcW w:type="dxa" w:w="43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Output</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1</w:t>
            </w:r>
          </w:p>
        </w:tc>
        <w:tc>
          <w:tcPr>
            <w:tcW w:type="dxa" w:w="4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Identify the source of change</w:t>
            </w:r>
          </w:p>
        </w:tc>
        <w:tc>
          <w:tcPr>
            <w:tcW w:type="dxa" w:w="4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Understanding of authority, urgency, motivation</w:t>
            </w:r>
          </w:p>
        </w:tc>
      </w:tr>
      <w:tr>
        <w:tc>
          <w:tcPr>
            <w:tcW w:type="dxa" w:w="6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2</w:t>
            </w:r>
          </w:p>
        </w:tc>
        <w:tc>
          <w:tcPr>
            <w:tcW w:type="dxa" w:w="4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Catalogue affected requirements</w:t>
            </w:r>
          </w:p>
        </w:tc>
        <w:tc>
          <w:tcPr>
            <w:tcW w:type="dxa" w:w="43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Structured list of affected requirements</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3</w:t>
            </w:r>
          </w:p>
        </w:tc>
        <w:tc>
          <w:tcPr>
            <w:tcW w:type="dxa" w:w="4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Assess impact on each requirement</w:t>
            </w:r>
          </w:p>
        </w:tc>
        <w:tc>
          <w:tcPr>
            <w:tcW w:type="dxa" w:w="4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Per-requirement disposition (eliminated/modified/new/etc.)</w:t>
            </w:r>
          </w:p>
        </w:tc>
      </w:tr>
      <w:tr>
        <w:tc>
          <w:tcPr>
            <w:tcW w:type="dxa" w:w="6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4</w:t>
            </w:r>
          </w:p>
        </w:tc>
        <w:tc>
          <w:tcPr>
            <w:tcW w:type="dxa" w:w="4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Determine phase-level impact</w:t>
            </w:r>
          </w:p>
        </w:tc>
        <w:tc>
          <w:tcPr>
            <w:tcW w:type="dxa" w:w="43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Map of which phases must revisit work</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5</w:t>
            </w:r>
          </w:p>
        </w:tc>
        <w:tc>
          <w:tcPr>
            <w:tcW w:type="dxa" w:w="4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Assess cross-domain and cross-project impact</w:t>
            </w:r>
          </w:p>
        </w:tc>
        <w:tc>
          <w:tcPr>
            <w:tcW w:type="dxa" w:w="4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Impact radius naming all affected architectures and projects</w:t>
            </w:r>
          </w:p>
        </w:tc>
      </w:tr>
      <w:tr>
        <w:tc>
          <w:tcPr>
            <w:tcW w:type="dxa" w:w="6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6</w:t>
            </w:r>
          </w:p>
        </w:tc>
        <w:tc>
          <w:tcPr>
            <w:tcW w:type="dxa" w:w="4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Recommend a response</w:t>
            </w:r>
          </w:p>
        </w:tc>
        <w:tc>
          <w:tcPr>
            <w:tcW w:type="dxa" w:w="43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Classification (Simplification/Incremental/Re-architecting) + action</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7</w:t>
            </w:r>
          </w:p>
        </w:tc>
        <w:tc>
          <w:tcPr>
            <w:tcW w:type="dxa" w:w="4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Update the Architecture Repository</w:t>
            </w:r>
          </w:p>
        </w:tc>
        <w:tc>
          <w:tcPr>
            <w:tcW w:type="dxa" w:w="4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Repository, Governance Log, Requirements Specification, ADD updated</w:t>
            </w:r>
          </w:p>
        </w:tc>
      </w:tr>
    </w:tbl>
    <w:p>
      <w:pPr>
        <w:pStyle w:val="Heading2"/>
        <w:spacing w:after="160" w:before="280"/>
      </w:pPr>
      <w:r>
        <w:rPr>
          <w:b/>
          <w:bCs/>
          <w:color w:val="2E75B6"/>
        </w:rPr>
        <w:t xml:space="preserve">8.4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4"/>
            </w:tcBorders>
            <w:shd w:fill="EAF1F8" w:val="clear"/>
            <w:tcMar>
              <w:top w:type="dxa" w:w="160"/>
              <w:left w:type="dxa" w:w="200"/>
              <w:bottom w:type="dxa" w:w="160"/>
              <w:right w:type="dxa" w:w="200"/>
            </w:tcMar>
          </w:tcPr>
          <w:p>
            <w:pPr>
              <w:spacing w:after="100"/>
            </w:pPr>
            <w:r>
              <w:rPr>
                <w:b/>
                <w:bCs/>
                <w:color w:val="1F4E78"/>
              </w:rPr>
              <w:t xml:space="preserve">▶ Requirements Impact Assessment for a Regulatory Change</w:t>
            </w:r>
          </w:p>
          <w:p>
            <w:pPr>
              <w:spacing w:after="60" w:line="280"/>
              <w:jc w:val="both"/>
            </w:pPr>
            <w:r>
              <w:t xml:space="preserve">Trigger: New EU regulation requires that all customer-facing AI decisions provide an explanation accessible to the customer, with audit trail for regulator inspection. Compliance deadline: 18 months.</w:t>
            </w:r>
          </w:p>
          <w:p>
            <w:pPr>
              <w:spacing w:after="60" w:line="280"/>
              <w:jc w:val="both"/>
            </w:pPr>
            <w:r>
              <w:t xml:space="preserve">Step 1 — Source: EU regulator. Authority: non-negotiable. Urgency: hard deadline 18 months. Frame: regulatory compliance trumps preferences; deferral not feasible.</w:t>
            </w:r>
          </w:p>
          <w:p>
            <w:pPr>
              <w:spacing w:after="60" w:line="280"/>
              <w:jc w:val="both"/>
            </w:pPr>
            <w:r>
              <w:t xml:space="preserve">Step 2 — Affected requirements: Query the Architecture Requirements Specification. Found: AR-203 ("automated credit decisioning capability") affected; AR-211 ("audit logging of decisions") affected; AR-225 ("customer self-service access to decision explanations") — newly required.</w:t>
            </w:r>
          </w:p>
          <w:p>
            <w:pPr>
              <w:spacing w:after="60" w:line="280"/>
              <w:jc w:val="both"/>
            </w:pPr>
            <w:r>
              <w:t xml:space="preserve">Step 3 — Per-requirement disposition: AR-203 modified (must add explainability output). AR-211 modified (must include explanation in the audit log, not just the decision). AR-225 new.</w:t>
            </w:r>
          </w:p>
          <w:p>
            <w:pPr>
              <w:spacing w:after="60" w:line="280"/>
              <w:jc w:val="both"/>
            </w:pPr>
            <w:r>
              <w:t xml:space="preserve">Step 4 — Phase-level impact: AR-203 was produced in Phase B (Business Architecture: capability "Automated Credit Decisioning"). AR-211 was produced in Phase D (Technology: audit infrastructure). AR-225 affects Phase B (new capability or extension) and Phase C (new application/API). Therefore: B, C, and D all touched.</w:t>
            </w:r>
          </w:p>
          <w:p>
            <w:pPr>
              <w:spacing w:after="60" w:line="280"/>
              <w:jc w:val="both"/>
            </w:pPr>
            <w:r>
              <w:t xml:space="preserve">Step 5 — Cross-domain and cross-project impact: explainability requirement applies to ALL automated-decisioning capabilities, not just credit. Therefore impacts: existing onboarding architecture (fraud screening uses automated decisions); existing pricing architecture (uses automated decisions); the new architecture being developed for AI compliance (already in scope). Three architectures touched.</w:t>
            </w:r>
          </w:p>
          <w:p>
            <w:pPr>
              <w:spacing w:after="60" w:line="280"/>
              <w:jc w:val="both"/>
            </w:pPr>
            <w:r>
              <w:t xml:space="preserve">Step 6 — Recommendation: Classify as Re-architecting. The change touches multiple architectures, multiple phases, and a regulatory deadline. A new dedicated cycle for cross-architecture explainability is warranted. New Request for Architecture Work to be drafted.</w:t>
            </w:r>
          </w:p>
          <w:p>
            <w:pPr>
              <w:spacing w:after="60" w:line="280"/>
              <w:jc w:val="both"/>
            </w:pPr>
            <w:r>
              <w:t xml:space="preserve">Step 7 — Update Repository: Governance Log entry created (CHG-2025-061); Requirements Specification updated with affected requirements; ADD references updated; new RfAW drafted for review by sponsor.</w:t>
            </w:r>
          </w:p>
          <w:p>
            <w:pPr>
              <w:spacing w:after="60" w:line="280"/>
              <w:jc w:val="both"/>
            </w:pPr>
            <w:r>
              <w:t xml:space="preserve">All seven steps complete; the assessment is documented; the decision is defensible; the response is proportionate. Without the seven-step discipline, the regulatory change might have been treated as Incremental and the cross-architecture impact missed — producing surprise remediation work months later under deadline pressure.</w:t>
            </w:r>
          </w:p>
        </w:tc>
      </w:tr>
    </w:tbl>
    <w:p>
      <w:r>
        <w:br w:type="page"/>
      </w:r>
    </w:p>
    <w:p>
      <w:pPr>
        <w:pStyle w:val="Heading1"/>
        <w:spacing w:after="200" w:before="360"/>
      </w:pPr>
      <w:r>
        <w:rPr>
          <w:b/>
          <w:bCs/>
          <w:color w:val="1F4E78"/>
        </w:rPr>
        <w:t xml:space="preserve">9. Summary and Review</w:t>
      </w:r>
    </w:p>
    <w:p>
      <w:pPr>
        <w:pStyle w:val="Heading2"/>
        <w:spacing w:after="160" w:before="280"/>
      </w:pPr>
      <w:r>
        <w:rPr>
          <w:b/>
          <w:bCs/>
          <w:color w:val="2E75B6"/>
        </w:rPr>
        <w:t xml:space="preserve">9.1 The Big Picture</w:t>
      </w:r>
    </w:p>
    <w:p>
      <w:pPr>
        <w:spacing w:after="120" w:line="300"/>
        <w:jc w:val="both"/>
      </w:pPr>
      <w:r>
        <w:t xml:space="preserve">Phases G and H are where the ADM meets reality and time. Phase G governs the implementation of the architecture through Architecture Contracts (formal binding agreements between architecture and delivery teams), Compliance Reviews (formal evaluations producing one of six outcomes from Irrelevant to Non-Conformant), and Dispensations (formal time-bounded exceptions with named remediation owners). Phase H is continuous, running in parallel with operations for the architecture's lifetime. It classifies changes as Simplification (absorb), Incremental (focused architecture work), or Re-architecting (new ADM cycle). When a change is classified as Re-architecting, Phase H produces a new Request for Architecture Work, which leads to a new SoAW in Phase A — closing the cycle. The seven-step Requirements Impact Assessment is the formal process by which Phase H makes these classification decisions defensibly.</w:t>
      </w:r>
    </w:p>
    <w:p>
      <w:pPr>
        <w:pStyle w:val="Heading2"/>
        <w:spacing w:after="160" w:before="280"/>
      </w:pPr>
      <w:r>
        <w:rPr>
          <w:b/>
          <w:bCs/>
          <w:color w:val="2E75B6"/>
        </w:rPr>
        <w:t xml:space="preserve">9.2 Quick-Reference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Topic</w:t>
            </w:r>
          </w:p>
        </w:tc>
        <w:tc>
          <w:tcPr>
            <w:tcW w:type="dxa" w:w="69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Takeaway</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Phase G purpose</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Govern implementation; architects oversee, do not build. Three pillars: Contracts, Compliance Reviews, Dispensations.</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Architecture Contract</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Formal, signed, binding agreement between architecture and delivery; mutual obligations; basis for escalation.</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Six Compliance Levels</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Irrelevant → Consistent → Compliant → Conformant → Fully Conformant → Non-Conformant. Conformant is standard target.</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Non-Conformant outcome</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Demands action: remediate, dispense, or escalate. Cannot proceed unchanged.</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Dispensation — three properties</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Formal (written, signed, recorded); Time-bounded (explicit expiry); Named owner with remediation plan.</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Dispensation is NOT</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Permission to ignore; architecture change; permanent; informal; the same as unresolved Non-Conformance.</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Phase H is continuous</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Runs in parallel with operations for the architecture's lifetime. NOT one-time, NOT a hand-over event, NOT bounded by other phases.</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Change classification</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Simplification (absorb), Incremental (focused B/C/D work), Re-architecting (new ADM cycle).</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When Phase H produces SoAW</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On Re-architecting classification: drafts Request for Architecture Work → sponsor endorses → new Phase A begins → new SoAW signed.</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Multiple concurrent cycles</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Phase H may produce multiple Requests; multiple ADM cycles run concurrently while existing architecture operates.</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Requirements Impact Assessment — 7 steps</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(1) Source (2) Affected requirements (3) Impact per requirement (4) Phase-level impact (5) Cross-domain/project (6) Recommend response (7) Update Repository.</w:t>
            </w:r>
          </w:p>
        </w:tc>
      </w:tr>
    </w:tbl>
    <w:p>
      <w:pPr>
        <w:pStyle w:val="Heading2"/>
        <w:spacing w:after="160" w:before="280"/>
      </w:pPr>
      <w:r>
        <w:rPr>
          <w:b/>
          <w:bCs/>
          <w:color w:val="2E75B6"/>
        </w:rPr>
        <w:t xml:space="preserve">9.3 Self-Test Questions</w:t>
      </w:r>
    </w:p>
    <w:p>
      <w:pPr>
        <w:pStyle w:val="ListParagraph"/>
        <w:numPr>
          <w:ilvl w:val="0"/>
          <w:numId w:val="3"/>
        </w:numPr>
        <w:spacing w:after="80" w:line="280"/>
      </w:pPr>
      <w:r>
        <w:t xml:space="preserve">State the purpose of Phase G in one sentence and name its three pillars of activity.</w:t>
      </w:r>
    </w:p>
    <w:p>
      <w:pPr>
        <w:pStyle w:val="ListParagraph"/>
        <w:numPr>
          <w:ilvl w:val="0"/>
          <w:numId w:val="3"/>
        </w:numPr>
        <w:spacing w:after="80" w:line="280"/>
      </w:pPr>
      <w:r>
        <w:t xml:space="preserve">What is an Architecture Contract, and why is it formal rather than informal?</w:t>
      </w:r>
    </w:p>
    <w:p>
      <w:pPr>
        <w:pStyle w:val="ListParagraph"/>
        <w:numPr>
          <w:ilvl w:val="0"/>
          <w:numId w:val="3"/>
        </w:numPr>
        <w:spacing w:after="80" w:line="280"/>
      </w:pPr>
      <w:r>
        <w:t xml:space="preserve">Name the six compliance levels in order. Which is the standard target outcome and why?</w:t>
      </w:r>
    </w:p>
    <w:p>
      <w:pPr>
        <w:pStyle w:val="ListParagraph"/>
        <w:numPr>
          <w:ilvl w:val="0"/>
          <w:numId w:val="3"/>
        </w:numPr>
        <w:spacing w:after="80" w:line="280"/>
      </w:pPr>
      <w:r>
        <w:t xml:space="preserve">State the three mandatory properties of a legitimate dispensation. What does each protect against?</w:t>
      </w:r>
    </w:p>
    <w:p>
      <w:pPr>
        <w:pStyle w:val="ListParagraph"/>
        <w:numPr>
          <w:ilvl w:val="0"/>
          <w:numId w:val="3"/>
        </w:numPr>
        <w:spacing w:after="80" w:line="280"/>
      </w:pPr>
      <w:r>
        <w:t xml:space="preserve">List three things a dispensation is NOT, and explain each.</w:t>
      </w:r>
    </w:p>
    <w:p>
      <w:pPr>
        <w:pStyle w:val="ListParagraph"/>
        <w:numPr>
          <w:ilvl w:val="0"/>
          <w:numId w:val="3"/>
        </w:numPr>
        <w:spacing w:after="80" w:line="280"/>
      </w:pPr>
      <w:r>
        <w:t xml:space="preserve">Why is Phase H continuous rather than one-time? Give two consequences of treating it as one-time.</w:t>
      </w:r>
    </w:p>
    <w:p>
      <w:pPr>
        <w:pStyle w:val="ListParagraph"/>
        <w:numPr>
          <w:ilvl w:val="0"/>
          <w:numId w:val="3"/>
        </w:numPr>
        <w:spacing w:after="80" w:line="280"/>
      </w:pPr>
      <w:r>
        <w:t xml:space="preserve">Define the three change classifications with one example of each.</w:t>
      </w:r>
    </w:p>
    <w:p>
      <w:pPr>
        <w:pStyle w:val="ListParagraph"/>
        <w:numPr>
          <w:ilvl w:val="0"/>
          <w:numId w:val="3"/>
        </w:numPr>
        <w:spacing w:after="80" w:line="280"/>
      </w:pPr>
      <w:r>
        <w:t xml:space="preserve">Walk through the mechanics by which Phase H produces a new SoAW (four steps).</w:t>
      </w:r>
    </w:p>
    <w:p>
      <w:pPr>
        <w:pStyle w:val="ListParagraph"/>
        <w:numPr>
          <w:ilvl w:val="0"/>
          <w:numId w:val="3"/>
        </w:numPr>
        <w:spacing w:after="80" w:line="280"/>
      </w:pPr>
      <w:r>
        <w:t xml:space="preserve">Can multiple ADM cycles run concurrently? If yes, where does Phase H fit in this picture?</w:t>
      </w:r>
    </w:p>
    <w:p>
      <w:pPr>
        <w:pStyle w:val="ListParagraph"/>
        <w:numPr>
          <w:ilvl w:val="0"/>
          <w:numId w:val="3"/>
        </w:numPr>
        <w:spacing w:after="80" w:line="280"/>
      </w:pPr>
      <w:r>
        <w:t xml:space="preserve">Name the seven steps of the Requirements Impact Assessment process.</w:t>
      </w:r>
    </w:p>
    <w:p>
      <w:pPr>
        <w:pStyle w:val="Heading2"/>
        <w:spacing w:after="160" w:before="280"/>
      </w:pPr>
      <w:r>
        <w:rPr>
          <w:b/>
          <w:bCs/>
          <w:color w:val="2E75B6"/>
        </w:rPr>
        <w:t xml:space="preserve">9.4 Closing Note</w:t>
      </w:r>
    </w:p>
    <w:p>
      <w:pPr>
        <w:spacing w:after="120" w:line="300"/>
        <w:jc w:val="both"/>
      </w:pPr>
      <w:r>
        <w:t xml:space="preserve">Module 8 has covered the final two phases of the ADM. The cycle is now complete: Preliminary establishes the practice; A initiates the engagement; B, C, D develop the architecture; E, F bridge to delivery; G governs implementation; H monitors continuously and closes the cycle. The remaining modules turn to topics that span the entire ADM: governance and the Architecture Capability Framework, the Architecture Content Framework and deliverables, the Enterprise Continuum and Repository, and the techniques and reference models that support every phase. With the eight-phase mechanics now fully in place, those cross-cutting topics will land in their natural homes. Make sure you can recite the six compliance levels, the three dispensation properties, the three change classifications, and the seven Impact Assessment steps from memory before moving on.</w:t>
      </w:r>
    </w:p>
    <w:p>
      <w:pPr>
        <w:spacing w:after="120"/>
      </w:pPr>
      <w:r>
        <w:t xml:space="preserve"/>
      </w:r>
    </w:p>
    <w:p>
      <w:pPr>
        <w:spacing w:before="400"/>
        <w:jc w:val="center"/>
      </w:pPr>
      <w:r>
        <w:rPr>
          <w:i/>
          <w:iCs/>
          <w:color w:val="808080"/>
        </w:rPr>
        <w:t xml:space="preserve">— End of Module 8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TOGAF Module 8: ADM Phases G &amp; 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8"/>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6"/>
      <w:szCs w:val="26"/>
    </w:rPr>
  </w:style>
  <w:style w:type="paragraph" w:styleId="Heading4">
    <w:name w:val="Heading 4"/>
    <w:basedOn w:val="Normal"/>
    <w:next w:val="Normal"/>
    <w:qFormat/>
    <w:pPr>
      <w:spacing w:after="80" w:before="160"/>
      <w:outlineLvl w:val="3"/>
    </w:pPr>
    <w:rPr>
      <w:rFonts w:ascii="Calibri" w:cs="Calibri" w:eastAsia="Calibri" w:hAnsi="Calibri"/>
      <w:b/>
      <w:bCs/>
      <w:i/>
      <w:i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TOGAF Module 8 Study Guide</dc:title>
  <dc:creator>Claude</dc:creator>
  <dc:description>Comprehensive study guide for ADM Phases G and H</dc:description>
  <cp:lastModifiedBy>Un-named</cp:lastModifiedBy>
  <cp:revision>1</cp:revision>
  <dcterms:created xsi:type="dcterms:W3CDTF">2026-05-02T14:43:31.295Z</dcterms:created>
  <dcterms:modified xsi:type="dcterms:W3CDTF">2026-05-02T14:43:31.311Z</dcterms:modified>
</cp:coreProperties>
</file>

<file path=docProps/custom.xml><?xml version="1.0" encoding="utf-8"?>
<Properties xmlns="http://schemas.openxmlformats.org/officeDocument/2006/custom-properties" xmlns:vt="http://schemas.openxmlformats.org/officeDocument/2006/docPropsVTypes"/>
</file>