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400"/>
        <w:jc w:val="center"/>
      </w:pPr>
      <w:r>
        <w:rPr>
          <w:b/>
          <w:bCs/>
          <w:color w:val="1F4E78"/>
          <w:sz w:val="96"/>
          <w:szCs w:val="96"/>
        </w:rPr>
        <w:t xml:space="preserve">TOGAF</w:t>
      </w:r>
    </w:p>
    <w:p>
      <w:pPr>
        <w:spacing w:after="400"/>
        <w:jc w:val="center"/>
      </w:pPr>
      <w:r>
        <w:rPr>
          <w:b/>
          <w:bCs/>
          <w:color w:val="2E75B6"/>
          <w:sz w:val="44"/>
          <w:szCs w:val="44"/>
        </w:rPr>
        <w:t xml:space="preserve">Enterprise Architecture Study Guide</w:t>
      </w:r>
    </w:p>
    <w:p>
      <w:pPr>
        <w:spacing w:after="1600"/>
        <w:jc w:val="center"/>
      </w:pPr>
      <w:r>
        <w:rPr>
          <w:i/>
          <w:iCs/>
          <w:color w:val="595959"/>
          <w:sz w:val="36"/>
          <w:szCs w:val="36"/>
        </w:rPr>
        <w:t xml:space="preserve">Module 9: Architecture Content Framework</w:t>
      </w:r>
    </w:p>
    <w:p>
      <w:pPr>
        <w:spacing w:after="200"/>
        <w:jc w:val="center"/>
      </w:pPr>
      <w:r>
        <w:rPr>
          <w:color w:val="595959"/>
          <w:sz w:val="28"/>
          <w:szCs w:val="28"/>
        </w:rPr>
        <w:t xml:space="preserve">Deliverables · Artifacts · Building Blocks</w:t>
      </w:r>
    </w:p>
    <w:p>
      <w:pPr>
        <w:spacing w:after="200"/>
        <w:jc w:val="center"/>
      </w:pPr>
      <w:r>
        <w:rPr>
          <w:color w:val="808080"/>
          <w:sz w:val="22"/>
          <w:szCs w:val="22"/>
        </w:rPr>
        <w:t xml:space="preserve">Catalogs · Matrices · Diagrams · ABB · SBB · Metamodel · Traceability</w:t>
      </w:r>
    </w:p>
    <w:p>
      <w:pPr>
        <w:spacing w:before="2400"/>
        <w:jc w:val="center"/>
      </w:pPr>
      <w:r>
        <w:rPr>
          <w:i/>
          <w:iCs/>
          <w:color w:val="808080"/>
          <w:sz w:val="22"/>
          <w:szCs w:val="22"/>
        </w:rPr>
        <w:t xml:space="preserve">Aligned with TOGAF® Standard, 10th Edition (The Open Group)</w:t>
      </w:r>
    </w:p>
    <w:p>
      <w:r>
        <w:br w:type="page"/>
      </w:r>
    </w:p>
    <w:p>
      <w:pPr>
        <w:pStyle w:val="Heading1"/>
        <w:spacing w:after="200" w:before="360"/>
      </w:pPr>
      <w:r>
        <w:rPr>
          <w:b/>
          <w:bCs/>
          <w:color w:val="1F4E78"/>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360"/>
      </w:pPr>
      <w:r>
        <w:rPr>
          <w:b/>
          <w:bCs/>
          <w:color w:val="1F4E78"/>
        </w:rPr>
        <w:t xml:space="preserve">Introduction to Module 9</w:t>
      </w:r>
    </w:p>
    <w:p>
      <w:pPr>
        <w:spacing w:after="120" w:line="300"/>
        <w:jc w:val="both"/>
      </w:pPr>
      <w:r>
        <w:t xml:space="preserve">Modules 4 through 8 covered the Architecture Development Method — the engine that drives architecture work through its phases. Module 9 turns to a complementary structure: the Architecture Content Framework, which describes what the ADM produces. Where the ADM specifies the activities, the Content Framework specifies the outputs — the structure, form, and classification of every artefact the ADM creates.</w:t>
      </w:r>
    </w:p>
    <w:p>
      <w:pPr>
        <w:spacing w:after="120" w:line="300"/>
        <w:jc w:val="both"/>
      </w:pPr>
      <w:r>
        <w:t xml:space="preserve">The Content Framework is one of TOGAF's five core components (introduced in Module 1) and is exam-relevant in two ways. First, it provides a precise vocabulary for talking about architecture outputs — Deliverables, Artefacts, Building Blocks — that newcomers routinely confuse. Second, it gives architects a metamodel for structuring those outputs so that artefacts produced in one engagement can be reused in another rather than each architect inventing their own categories from scratch.</w:t>
      </w:r>
    </w:p>
    <w:p>
      <w:pPr>
        <w:spacing w:after="120" w:line="300"/>
        <w:jc w:val="both"/>
      </w:pPr>
      <w:r>
        <w:t xml:space="preserve">Three exam-critical insights run through this module. First, the three categories of content (Deliverable, Artifact, Building Block) are nested: Deliverables contain Artifacts; Artifacts may reference Building Blocks. Second, the three artifact types (Catalog, Matrix, Diagram) form a precise taxonomy that the exam tests directly. Third, the distinction between Architecture Building Blocks (ABBs) and Solution Building Blocks (SBBs) is one of the most-tested abstractions in TOGAF — ABBs define WHAT (technology-agnostic), SBBs define HOW (product-specific), and they live in different parts of the Enterprise Continuum.</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How to Read This Module</w:t>
            </w:r>
          </w:p>
          <w:p>
            <w:pPr>
              <w:spacing w:after="60" w:line="280"/>
              <w:jc w:val="both"/>
            </w:pPr>
            <w:r>
              <w:t xml:space="preserve">If Module 4 was about activities and Module 6 was about phase outputs, Module 9 is about the structure of those outputs. The Content Framework is intentionally abstract — it describes types of things rather than specific things. This abstraction is what makes it portable across engagements. Read this module slowly: the vocabulary is precise, the relationships between concepts are exam-tested, and the distinctions matter.</w:t>
            </w:r>
          </w:p>
        </w:tc>
      </w:tr>
    </w:tbl>
    <w:p>
      <w:r>
        <w:br w:type="page"/>
      </w:r>
    </w:p>
    <w:p>
      <w:pPr>
        <w:pStyle w:val="Heading1"/>
        <w:spacing w:after="200" w:before="360"/>
      </w:pPr>
      <w:r>
        <w:rPr>
          <w:b/>
          <w:bCs/>
          <w:color w:val="1F4E78"/>
        </w:rPr>
        <w:t xml:space="preserve">1. The Three Categories of Content — Deliverable, Artifact, Building Block</w:t>
      </w:r>
    </w:p>
    <w:p>
      <w:pPr>
        <w:spacing w:after="120" w:line="300"/>
        <w:jc w:val="both"/>
      </w:pPr>
      <w:r>
        <w:t xml:space="preserve">The Content Framework classifies every output of the ADM into one of three categories. The categories are nested: Deliverables are the largest unit and contain Artifacts; Artifacts contain or reference Building Blocks. Understanding the nesting and the role of each category is the foundation on which the rest of the Content Framework rests.</w:t>
      </w:r>
    </w:p>
    <w:p>
      <w:pPr>
        <w:pStyle w:val="Heading2"/>
        <w:spacing w:after="160" w:before="280"/>
      </w:pPr>
      <w:r>
        <w:rPr>
          <w:b/>
          <w:bCs/>
          <w:color w:val="2E75B6"/>
        </w:rPr>
        <w:t xml:space="preserve">1.1 Category 1: Deliverable</w:t>
      </w:r>
    </w:p>
    <w:p>
      <w:pPr>
        <w:spacing w:after="120" w:line="300"/>
        <w:jc w:val="both"/>
      </w:pPr>
      <w:r>
        <w:t xml:space="preserve">A </w:t>
      </w:r>
      <w:r>
        <w:rPr>
          <w:b/>
          <w:bCs/>
        </w:rPr>
        <w:t xml:space="preserve">Deliverable</w:t>
      </w:r>
      <w:r>
        <w:t xml:space="preserve"> is a formal, contracted output of the ADM that is reviewed, agreed, and signed off by stakeholders. Deliverables are the units of work the architecture team commits to produce; they are referenced in the Statement of Architecture Work; they are presented to the Architecture Board for approval; they are stored permanently in the Architecture Repository as evidence of architectural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Deliverable: </w:t>
            </w:r>
            <w:r>
              <w:t xml:space="preserve">A formal contracted output of the ADM, reviewed and signed off by stakeholders. Examples: Architecture Vision document, Architecture Definition Document, Architecture Requirements Specification, Architecture Roadmap, Implementation and Migration Plan. Deliverables contain Artifacts and reference Building Blocks.</w:t>
            </w:r>
          </w:p>
        </w:tc>
      </w:tr>
    </w:tbl>
    <w:p>
      <w:pPr>
        <w:pStyle w:val="Heading3"/>
        <w:spacing w:after="120" w:before="220"/>
      </w:pPr>
      <w:r>
        <w:rPr>
          <w:b/>
          <w:bCs/>
          <w:color w:val="404040"/>
        </w:rPr>
        <w:t xml:space="preserve">Examples of Deliverables</w:t>
      </w:r>
    </w:p>
    <w:p>
      <w:pPr>
        <w:pStyle w:val="ListParagraph"/>
        <w:numPr>
          <w:ilvl w:val="0"/>
          <w:numId w:val="2"/>
        </w:numPr>
        <w:spacing w:after="80" w:line="280"/>
      </w:pPr>
      <w:r>
        <w:t xml:space="preserve">Architecture Vision (Phase A) — covered in Module 5.</w:t>
      </w:r>
    </w:p>
    <w:p>
      <w:pPr>
        <w:pStyle w:val="ListParagraph"/>
        <w:numPr>
          <w:ilvl w:val="0"/>
          <w:numId w:val="2"/>
        </w:numPr>
        <w:spacing w:after="80" w:line="280"/>
      </w:pPr>
      <w:r>
        <w:t xml:space="preserve">Statement of Architecture Work (Phase A) — covered in Module 5.</w:t>
      </w:r>
    </w:p>
    <w:p>
      <w:pPr>
        <w:pStyle w:val="ListParagraph"/>
        <w:numPr>
          <w:ilvl w:val="0"/>
          <w:numId w:val="2"/>
        </w:numPr>
        <w:spacing w:after="80" w:line="280"/>
      </w:pPr>
      <w:r>
        <w:t xml:space="preserve">Architecture Definition Document (built across Phases B, C, D) — covered in Module 6.</w:t>
      </w:r>
    </w:p>
    <w:p>
      <w:pPr>
        <w:pStyle w:val="ListParagraph"/>
        <w:numPr>
          <w:ilvl w:val="0"/>
          <w:numId w:val="2"/>
        </w:numPr>
        <w:spacing w:after="80" w:line="280"/>
      </w:pPr>
      <w:r>
        <w:t xml:space="preserve">Architecture Requirements Specification (continuously updated by Requirements Management).</w:t>
      </w:r>
    </w:p>
    <w:p>
      <w:pPr>
        <w:pStyle w:val="ListParagraph"/>
        <w:numPr>
          <w:ilvl w:val="0"/>
          <w:numId w:val="2"/>
        </w:numPr>
        <w:spacing w:after="80" w:line="280"/>
      </w:pPr>
      <w:r>
        <w:t xml:space="preserve">Architecture Roadmap (Phase E creates, Phase F finalises) — covered in Module 7.</w:t>
      </w:r>
    </w:p>
    <w:p>
      <w:pPr>
        <w:pStyle w:val="ListParagraph"/>
        <w:numPr>
          <w:ilvl w:val="0"/>
          <w:numId w:val="2"/>
        </w:numPr>
        <w:spacing w:after="80" w:line="280"/>
      </w:pPr>
      <w:r>
        <w:t xml:space="preserve">Implementation and Migration Plan (Phase F) — covered in Module 7.</w:t>
      </w:r>
    </w:p>
    <w:p>
      <w:pPr>
        <w:pStyle w:val="ListParagraph"/>
        <w:numPr>
          <w:ilvl w:val="0"/>
          <w:numId w:val="2"/>
        </w:numPr>
        <w:spacing w:after="80" w:line="280"/>
      </w:pPr>
      <w:r>
        <w:t xml:space="preserve">Architecture Contract (Phase G, per project) — covered in Module 8.</w:t>
      </w:r>
    </w:p>
    <w:p>
      <w:pPr>
        <w:pStyle w:val="ListParagraph"/>
        <w:numPr>
          <w:ilvl w:val="0"/>
          <w:numId w:val="2"/>
        </w:numPr>
        <w:spacing w:after="80" w:line="280"/>
      </w:pPr>
      <w:r>
        <w:t xml:space="preserve">Tailored Architecture Framework (Preliminary Phase) — covered in Module 5.</w:t>
      </w:r>
    </w:p>
    <w:p>
      <w:pPr>
        <w:pStyle w:val="ListParagraph"/>
        <w:numPr>
          <w:ilvl w:val="0"/>
          <w:numId w:val="2"/>
        </w:numPr>
        <w:spacing w:after="80" w:line="280"/>
      </w:pPr>
      <w:r>
        <w:t xml:space="preserve">Architecture Principles document (Preliminary Phase) — covered in Module 5.</w:t>
      </w:r>
    </w:p>
    <w:p>
      <w:pPr>
        <w:pStyle w:val="Heading2"/>
        <w:spacing w:after="160" w:before="280"/>
      </w:pPr>
      <w:r>
        <w:rPr>
          <w:b/>
          <w:bCs/>
          <w:color w:val="2E75B6"/>
        </w:rPr>
        <w:t xml:space="preserve">1.2 Category 2: Artifact</w:t>
      </w:r>
    </w:p>
    <w:p>
      <w:pPr>
        <w:spacing w:after="120" w:line="300"/>
        <w:jc w:val="both"/>
      </w:pPr>
      <w:r>
        <w:t xml:space="preserve">An </w:t>
      </w:r>
      <w:r>
        <w:rPr>
          <w:b/>
          <w:bCs/>
        </w:rPr>
        <w:t xml:space="preserve">Artifact</w:t>
      </w:r>
      <w:r>
        <w:t xml:space="preserve"> is a work product, typically a diagram, matrix, catalogue, or section of text, that lives within a Deliverable. Artifacts are the smaller, more focused pieces of architecture documentation that combine to make up a Deliverable. Where a Deliverable is a contracted document, an Artifact is a component of that document or a stand-alone work product referenced by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Artifact: </w:t>
            </w:r>
            <w:r>
              <w:t xml:space="preserve">A work product within or referenced by a Deliverable. Three types exist: Catalogs (lists), Matrices (cross-mappings), and Diagrams (visual depictions). Examples: Capability Map, Application Communication Diagram, System/Data Matrix, Business Capability Catalogue. Artifacts are produced by phase activities and are the principal currency of architecture content.</w:t>
            </w:r>
          </w:p>
        </w:tc>
      </w:tr>
    </w:tbl>
    <w:p>
      <w:pPr>
        <w:pStyle w:val="Heading2"/>
        <w:spacing w:after="160" w:before="280"/>
      </w:pPr>
      <w:r>
        <w:rPr>
          <w:b/>
          <w:bCs/>
          <w:color w:val="2E75B6"/>
        </w:rPr>
        <w:t xml:space="preserve">1.3 Category 3: Building Block</w:t>
      </w:r>
    </w:p>
    <w:p>
      <w:pPr>
        <w:spacing w:after="120" w:line="300"/>
        <w:jc w:val="both"/>
      </w:pPr>
      <w:r>
        <w:t xml:space="preserve">A </w:t>
      </w:r>
      <w:r>
        <w:rPr>
          <w:b/>
          <w:bCs/>
        </w:rPr>
        <w:t xml:space="preserve">Building Block</w:t>
      </w:r>
      <w:r>
        <w:t xml:space="preserve"> is a reusable component of architecture: a package of functionality, a unit of capability, or a defined service that can be specified once and used many times. Building Blocks are what the architecture is </w:t>
      </w:r>
      <w:r>
        <w:rPr>
          <w:i/>
          <w:iCs/>
        </w:rPr>
        <w:t xml:space="preserve">made of</w:t>
      </w:r>
      <w:r>
        <w:t xml:space="preserve"> — the architectural primitives that combine to deliver business outcomes. They come in two kinds (ABB and SBB) covered in detail in Section 3 of this module.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Building Block: </w:t>
            </w:r>
            <w:r>
              <w:t xml:space="preserve">A reusable component of architecture: a package of functionality, a unit of capability, or a defined service. Two kinds: Architecture Building Block (ABB) — abstract and technology-agnostic; Solution Building Block (SBB) — concrete and product-specific. Building Blocks are what the architecture is composed of; they are referenced by Artifacts and described within Deliverables.</w:t>
            </w:r>
          </w:p>
        </w:tc>
      </w:tr>
    </w:tbl>
    <w:p>
      <w:pPr>
        <w:pStyle w:val="Heading2"/>
        <w:spacing w:after="160" w:before="280"/>
      </w:pPr>
      <w:r>
        <w:rPr>
          <w:b/>
          <w:bCs/>
          <w:color w:val="2E75B6"/>
        </w:rPr>
        <w:t xml:space="preserve">1.4 The Three Categories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1900"/>
        <w:gridCol w:w="1900"/>
        <w:gridCol w:w="11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Category</w:t>
            </w:r>
          </w:p>
        </w:tc>
        <w:tc>
          <w:tcPr>
            <w:tcW w:type="dxa" w:w="2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What It Is</w:t>
            </w:r>
          </w:p>
        </w:tc>
        <w:tc>
          <w:tcPr>
            <w:tcW w:type="dxa" w:w="19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Form</w:t>
            </w:r>
          </w:p>
        </w:tc>
        <w:tc>
          <w:tcPr>
            <w:tcW w:type="dxa" w:w="19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Status</w:t>
            </w:r>
          </w:p>
        </w:tc>
        <w:tc>
          <w:tcPr>
            <w:tcW w:type="dxa" w:w="11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Example</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Deliverable</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Contracted output of the ADM</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Document or formal package</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Signed off by stakeholders</w:t>
            </w:r>
          </w:p>
        </w:tc>
        <w:tc>
          <w:tcPr>
            <w:tcW w:type="dxa" w:w="1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Definition Document</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Artifact</w:t>
            </w:r>
          </w:p>
        </w:tc>
        <w:tc>
          <w:tcPr>
            <w:tcW w:type="dxa" w:w="2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Work product within a Deliverable</w:t>
            </w:r>
          </w:p>
        </w:tc>
        <w:tc>
          <w:tcPr>
            <w:tcW w:type="dxa" w:w="1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Catalog, Matrix, or Diagram</w:t>
            </w:r>
          </w:p>
        </w:tc>
        <w:tc>
          <w:tcPr>
            <w:tcW w:type="dxa" w:w="19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Component of a Deliverable</w:t>
            </w:r>
          </w:p>
        </w:tc>
        <w:tc>
          <w:tcPr>
            <w:tcW w:type="dxa" w:w="11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Capability Map (a Diagram)</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Building Block</w:t>
            </w:r>
          </w:p>
        </w:tc>
        <w:tc>
          <w:tcPr>
            <w:tcW w:type="dxa" w:w="2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Reusable architecture component</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Specification or design unit</w:t>
            </w:r>
          </w:p>
        </w:tc>
        <w:tc>
          <w:tcPr>
            <w:tcW w:type="dxa" w:w="19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Referenced by Artifacts</w:t>
            </w:r>
          </w:p>
        </w:tc>
        <w:tc>
          <w:tcPr>
            <w:tcW w:type="dxa" w:w="1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"Customer Authentication Service" (an ABB)</w:t>
            </w:r>
          </w:p>
        </w:tc>
      </w:tr>
    </w:tbl>
    <w:p>
      <w:pPr>
        <w:pStyle w:val="Heading2"/>
        <w:spacing w:after="160" w:before="280"/>
      </w:pPr>
      <w:r>
        <w:rPr>
          <w:b/>
          <w:bCs/>
          <w:color w:val="2E75B6"/>
        </w:rPr>
        <w:t xml:space="preserve">1.5 The Nesting</w:t>
      </w:r>
    </w:p>
    <w:p>
      <w:pPr>
        <w:spacing w:after="120" w:line="300"/>
        <w:jc w:val="both"/>
      </w:pPr>
      <w:r>
        <w:t xml:space="preserve">The three categories nest in a clear relationship:</w:t>
      </w:r>
    </w:p>
    <w:p>
      <w:pPr>
        <w:pStyle w:val="ListParagraph"/>
        <w:numPr>
          <w:ilvl w:val="0"/>
          <w:numId w:val="2"/>
        </w:numPr>
        <w:spacing w:after="80" w:line="280"/>
      </w:pPr>
      <w:r>
        <w:t xml:space="preserve">A Deliverable contains one or more Artifacts.</w:t>
      </w:r>
    </w:p>
    <w:p>
      <w:pPr>
        <w:pStyle w:val="ListParagraph"/>
        <w:numPr>
          <w:ilvl w:val="0"/>
          <w:numId w:val="2"/>
        </w:numPr>
        <w:spacing w:after="80" w:line="280"/>
      </w:pPr>
      <w:r>
        <w:t xml:space="preserve">An Artifact may describe, reference, or specify one or more Building Blocks.</w:t>
      </w:r>
    </w:p>
    <w:p>
      <w:pPr>
        <w:pStyle w:val="ListParagraph"/>
        <w:numPr>
          <w:ilvl w:val="0"/>
          <w:numId w:val="2"/>
        </w:numPr>
        <w:spacing w:after="80" w:line="280"/>
      </w:pPr>
      <w:r>
        <w:t xml:space="preserve">A Building Block may itself reference other Building Blocks (an ABB may decompose into smaller ABBs; an SBB may be implemented by smaller SBBs).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The Three Categories in One Engagement</w:t>
            </w:r>
          </w:p>
          <w:p>
            <w:pPr>
              <w:spacing w:after="60" w:line="280"/>
              <w:jc w:val="both"/>
            </w:pPr>
            <w:r>
              <w:t xml:space="preserve">Engagement: digital onboarding modernisation. (The continuing example through these modules.)</w:t>
            </w:r>
          </w:p>
          <w:p>
            <w:pPr>
              <w:spacing w:after="60" w:line="280"/>
              <w:jc w:val="both"/>
            </w:pPr>
            <w:r>
              <w:t xml:space="preserve">Deliverable: "Architecture Definition Document v3.0" — signed by the Architecture Board on 30 September 2025.</w:t>
            </w:r>
          </w:p>
          <w:p>
            <w:pPr>
              <w:spacing w:after="60" w:line="280"/>
              <w:jc w:val="both"/>
            </w:pPr>
            <w:r>
              <w:t xml:space="preserve">Inside the Deliverable, several Artifacts:</w:t>
            </w:r>
          </w:p>
          <w:p>
            <w:pPr>
              <w:spacing w:after="60" w:line="280"/>
              <w:jc w:val="both"/>
            </w:pPr>
            <w:r>
              <w:t xml:space="preserve">  Artifact (Catalog): Application Portfolio Catalogue listing 47 applications.</w:t>
            </w:r>
          </w:p>
          <w:p>
            <w:pPr>
              <w:spacing w:after="60" w:line="280"/>
              <w:jc w:val="both"/>
            </w:pPr>
            <w:r>
              <w:t xml:space="preserve">  Artifact (Matrix): Application/Capability Matrix mapping the 47 apps to 28 capabilities.</w:t>
            </w:r>
          </w:p>
          <w:p>
            <w:pPr>
              <w:spacing w:after="60" w:line="280"/>
              <w:jc w:val="both"/>
            </w:pPr>
            <w:r>
              <w:t xml:space="preserve">  Artifact (Diagram): Application Communication Diagram showing 138 integrations.</w:t>
            </w:r>
          </w:p>
          <w:p>
            <w:pPr>
              <w:spacing w:after="60" w:line="280"/>
              <w:jc w:val="both"/>
            </w:pPr>
            <w:r>
              <w:t xml:space="preserve">  Artifact (Catalog): Architecture Building Block Catalogue listing 12 ABBs.</w:t>
            </w:r>
          </w:p>
          <w:p>
            <w:pPr>
              <w:spacing w:after="60" w:line="280"/>
              <w:jc w:val="both"/>
            </w:pPr>
            <w:r>
              <w:t xml:space="preserve">Among the Building Blocks referenced:</w:t>
            </w:r>
          </w:p>
          <w:p>
            <w:pPr>
              <w:spacing w:after="60" w:line="280"/>
              <w:jc w:val="both"/>
            </w:pPr>
            <w:r>
              <w:t xml:space="preserve">  ABB: "Customer Identity Verification Service" — specifies WHAT (functions, interfaces, performance envelope) without naming a vendor or technology.</w:t>
            </w:r>
          </w:p>
          <w:p>
            <w:pPr>
              <w:spacing w:after="60" w:line="280"/>
              <w:jc w:val="both"/>
            </w:pPr>
            <w:r>
              <w:t xml:space="preserve">  SBB: "Onfido Customer Identity Platform v4.2" — specifies HOW (the actual product chosen to fulfil the ABB).</w:t>
            </w:r>
          </w:p>
          <w:p>
            <w:pPr>
              <w:spacing w:after="60" w:line="280"/>
              <w:jc w:val="both"/>
            </w:pPr>
            <w:r>
              <w:t xml:space="preserve">All three categories present, all three nested correctly: the Deliverable is signed; the Artifacts populate it; the Building Blocks are what the Artifacts describe.</w:t>
            </w:r>
          </w:p>
        </w:tc>
      </w:tr>
    </w:tbl>
    <w:p>
      <w:pPr>
        <w:pStyle w:val="Heading2"/>
        <w:spacing w:after="160" w:before="280"/>
      </w:pPr>
      <w:r>
        <w:rPr>
          <w:b/>
          <w:bCs/>
          <w:color w:val="2E75B6"/>
        </w:rPr>
        <w:t xml:space="preserve">1.6 Why the Three Categories Matter</w:t>
      </w:r>
    </w:p>
    <w:p>
      <w:pPr>
        <w:spacing w:after="120" w:line="300"/>
        <w:jc w:val="both"/>
      </w:pPr>
      <w:r>
        <w:t xml:space="preserve">Three reasons the distinction is enforced rather than collapsed into one undifferentiated "output" concept:</w:t>
      </w:r>
    </w:p>
    <w:p>
      <w:pPr>
        <w:pStyle w:val="ListParagraph"/>
        <w:numPr>
          <w:ilvl w:val="0"/>
          <w:numId w:val="3"/>
        </w:numPr>
        <w:spacing w:after="80" w:line="280"/>
      </w:pPr>
      <w:r>
        <w:t xml:space="preserve">Different governance treatments. Deliverables are signed off; Artifacts are reviewed within Deliverables; Building Blocks are catalogued for reuse. Different categories receive different levels of formality and different review processes.</w:t>
      </w:r>
    </w:p>
    <w:p>
      <w:pPr>
        <w:pStyle w:val="ListParagraph"/>
        <w:numPr>
          <w:ilvl w:val="0"/>
          <w:numId w:val="3"/>
        </w:numPr>
        <w:spacing w:after="80" w:line="280"/>
      </w:pPr>
      <w:r>
        <w:t xml:space="preserve">Different reusability characteristics. Deliverables are engagement-specific (the ADD for one engagement is rarely useful in another). Artifacts may be reused with adaptation (a capability map for retail banking informs a similar map for a different bank). Building Blocks — particularly ABBs — are designed for reuse from the outset.</w:t>
      </w:r>
    </w:p>
    <w:p>
      <w:pPr>
        <w:pStyle w:val="ListParagraph"/>
        <w:numPr>
          <w:ilvl w:val="0"/>
          <w:numId w:val="3"/>
        </w:numPr>
        <w:spacing w:after="80" w:line="280"/>
      </w:pPr>
      <w:r>
        <w:t xml:space="preserve">Different lifecycle treatments. Deliverables are versioned and baselined. Artifacts may evolve continuously within a Deliverable's lifecycle. Building Blocks live in catalogues with their own lifecycle independent of any single engagement.</w:t>
      </w:r>
    </w:p>
    <w:p>
      <w:r>
        <w:br w:type="page"/>
      </w:r>
    </w:p>
    <w:p>
      <w:pPr>
        <w:pStyle w:val="Heading1"/>
        <w:spacing w:after="200" w:before="360"/>
      </w:pPr>
      <w:r>
        <w:rPr>
          <w:b/>
          <w:bCs/>
          <w:color w:val="1F4E78"/>
        </w:rPr>
        <w:t xml:space="preserve">2. The Three Artifact Types — Catalog, Matrix, Diagram</w:t>
      </w:r>
    </w:p>
    <w:p>
      <w:pPr>
        <w:spacing w:after="120" w:line="300"/>
        <w:jc w:val="both"/>
      </w:pPr>
      <w:r>
        <w:t xml:space="preserve">Within the Artifact category, every artefact takes one of three forms. The three forms are not interchangeable — each captures a different kind of information and answers a different kind of question. The exam tests this taxonomy directly: given an artefact name or description, you should be able to identify which type it is.</w:t>
      </w:r>
    </w:p>
    <w:p>
      <w:pPr>
        <w:pStyle w:val="Heading2"/>
        <w:spacing w:after="160" w:before="280"/>
      </w:pPr>
      <w:r>
        <w:rPr>
          <w:b/>
          <w:bCs/>
          <w:color w:val="2E75B6"/>
        </w:rPr>
        <w:t xml:space="preserve">2.1 Type 1: Catalog</w:t>
      </w:r>
    </w:p>
    <w:p>
      <w:pPr>
        <w:spacing w:after="120" w:line="300"/>
        <w:jc w:val="both"/>
      </w:pPr>
      <w:r>
        <w:t xml:space="preserve">A </w:t>
      </w:r>
      <w:r>
        <w:rPr>
          <w:b/>
          <w:bCs/>
        </w:rPr>
        <w:t xml:space="preserve">Catalog</w:t>
      </w:r>
      <w:r>
        <w:t xml:space="preserve"> is a list. It enumerates instances of a single architecture-element type, with the metadata necessary to characterise each instance. Catalogs answer "what do we have?" or "what exists?" questions.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Catalog (Artifact Type): </w:t>
            </w:r>
            <w:r>
              <w:t xml:space="preserve">A list of instances of a single architecture-element type, with metadata characterising each instance. Examples: Application Portfolio Catalogue, Business Capability Catalogue, Technology Standards Catalogue, Data Entity Catalogue, Architecture Building Block Catalogue.</w:t>
            </w:r>
          </w:p>
        </w:tc>
      </w:tr>
    </w:tbl>
    <w:p>
      <w:pPr>
        <w:pStyle w:val="Heading3"/>
        <w:spacing w:after="120" w:before="220"/>
      </w:pPr>
      <w:r>
        <w:rPr>
          <w:b/>
          <w:bCs/>
          <w:color w:val="404040"/>
        </w:rPr>
        <w:t xml:space="preserve">What Catalogs Contain</w:t>
      </w:r>
    </w:p>
    <w:p>
      <w:pPr>
        <w:pStyle w:val="ListParagraph"/>
        <w:numPr>
          <w:ilvl w:val="0"/>
          <w:numId w:val="2"/>
        </w:numPr>
        <w:spacing w:after="80" w:line="280"/>
      </w:pPr>
      <w:r>
        <w:t xml:space="preserve">A defined element type (the kind of thing being catalogued: applications, capabilities, technologies, principles, ABBs).</w:t>
      </w:r>
    </w:p>
    <w:p>
      <w:pPr>
        <w:pStyle w:val="ListParagraph"/>
        <w:numPr>
          <w:ilvl w:val="0"/>
          <w:numId w:val="2"/>
        </w:numPr>
        <w:spacing w:after="80" w:line="280"/>
      </w:pPr>
      <w:r>
        <w:t xml:space="preserve">A row per instance of that type.</w:t>
      </w:r>
    </w:p>
    <w:p>
      <w:pPr>
        <w:pStyle w:val="ListParagraph"/>
        <w:numPr>
          <w:ilvl w:val="0"/>
          <w:numId w:val="2"/>
        </w:numPr>
        <w:spacing w:after="80" w:line="280"/>
      </w:pPr>
      <w:r>
        <w:t xml:space="preserve">Columns of metadata characterising each instance (owner, status, classification, lifecycle stage, etc.).</w:t>
      </w:r>
    </w:p>
    <w:p>
      <w:pPr>
        <w:pStyle w:val="Heading3"/>
        <w:spacing w:after="120" w:before="220"/>
      </w:pPr>
      <w:r>
        <w:rPr>
          <w:b/>
          <w:bCs/>
          <w:color w:val="404040"/>
        </w:rPr>
        <w:t xml:space="preserve">Examples of Catalogs</w:t>
      </w:r>
    </w:p>
    <w:p>
      <w:pPr>
        <w:pStyle w:val="ListParagraph"/>
        <w:numPr>
          <w:ilvl w:val="0"/>
          <w:numId w:val="2"/>
        </w:numPr>
        <w:spacing w:after="80" w:line="280"/>
      </w:pPr>
      <w:r>
        <w:t xml:space="preserve">Application Portfolio Catalogue — every application with owner, technology, lifecycle stage, criticality, cost.</w:t>
      </w:r>
    </w:p>
    <w:p>
      <w:pPr>
        <w:pStyle w:val="ListParagraph"/>
        <w:numPr>
          <w:ilvl w:val="0"/>
          <w:numId w:val="2"/>
        </w:numPr>
        <w:spacing w:after="80" w:line="280"/>
      </w:pPr>
      <w:r>
        <w:t xml:space="preserve">Business Capability Catalogue — every capability with description, level, owner, maturity score.</w:t>
      </w:r>
    </w:p>
    <w:p>
      <w:pPr>
        <w:pStyle w:val="ListParagraph"/>
        <w:numPr>
          <w:ilvl w:val="0"/>
          <w:numId w:val="2"/>
        </w:numPr>
        <w:spacing w:after="80" w:line="280"/>
      </w:pPr>
      <w:r>
        <w:t xml:space="preserve">Technology Standards Catalogue — every approved or deprecated technology with TIME classification.</w:t>
      </w:r>
    </w:p>
    <w:p>
      <w:pPr>
        <w:pStyle w:val="ListParagraph"/>
        <w:numPr>
          <w:ilvl w:val="0"/>
          <w:numId w:val="2"/>
        </w:numPr>
        <w:spacing w:after="80" w:line="280"/>
      </w:pPr>
      <w:r>
        <w:t xml:space="preserve">Data Entity Catalogue — every business-relevant data entity with owner, classification, source-of-truth.</w:t>
      </w:r>
    </w:p>
    <w:p>
      <w:pPr>
        <w:pStyle w:val="ListParagraph"/>
        <w:numPr>
          <w:ilvl w:val="0"/>
          <w:numId w:val="2"/>
        </w:numPr>
        <w:spacing w:after="80" w:line="280"/>
      </w:pPr>
      <w:r>
        <w:t xml:space="preserve">Architecture Principles Catalogue — every principle with name, statement, rationale, implications.</w:t>
      </w:r>
    </w:p>
    <w:p>
      <w:pPr>
        <w:pStyle w:val="ListParagraph"/>
        <w:numPr>
          <w:ilvl w:val="0"/>
          <w:numId w:val="2"/>
        </w:numPr>
        <w:spacing w:after="80" w:line="280"/>
      </w:pPr>
      <w:r>
        <w:t xml:space="preserve">Architecture Building Block Catalogue — every ABB with description, capabilities supported, interfaces defined.</w:t>
      </w:r>
    </w:p>
    <w:p>
      <w:pPr>
        <w:pStyle w:val="Heading2"/>
        <w:spacing w:after="160" w:before="280"/>
      </w:pPr>
      <w:r>
        <w:rPr>
          <w:b/>
          <w:bCs/>
          <w:color w:val="2E75B6"/>
        </w:rPr>
        <w:t xml:space="preserve">2.2 Type 2: Matrix</w:t>
      </w:r>
    </w:p>
    <w:p>
      <w:pPr>
        <w:spacing w:after="120" w:line="300"/>
        <w:jc w:val="both"/>
      </w:pPr>
      <w:r>
        <w:t xml:space="preserve">A </w:t>
      </w:r>
      <w:r>
        <w:rPr>
          <w:b/>
          <w:bCs/>
        </w:rPr>
        <w:t xml:space="preserve">Matrix</w:t>
      </w:r>
      <w:r>
        <w:t xml:space="preserve"> is a two-dimensional cross-mapping between two element types. Matrices answer "how does X relate to Y?" or "which X supports which Y?" questions. They are the primary instrument for surfacing gaps and overlaps in the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Matrix (Artifact Type): </w:t>
            </w:r>
            <w:r>
              <w:t xml:space="preserve">A two-dimensional cross-mapping between two architecture-element types, with cells indicating the relationship between row instance and column instance. Examples: Application/Function Matrix, Capability/Value Stream Matrix, System/Data Matrix, Stakeholder/Concern Matrix.</w:t>
            </w:r>
          </w:p>
        </w:tc>
      </w:tr>
    </w:tbl>
    <w:p>
      <w:pPr>
        <w:pStyle w:val="Heading3"/>
        <w:spacing w:after="120" w:before="220"/>
      </w:pPr>
      <w:r>
        <w:rPr>
          <w:b/>
          <w:bCs/>
          <w:color w:val="404040"/>
        </w:rPr>
        <w:t xml:space="preserve">What Matrices Contain</w:t>
      </w:r>
    </w:p>
    <w:p>
      <w:pPr>
        <w:pStyle w:val="ListParagraph"/>
        <w:numPr>
          <w:ilvl w:val="0"/>
          <w:numId w:val="2"/>
        </w:numPr>
        <w:spacing w:after="80" w:line="280"/>
      </w:pPr>
      <w:r>
        <w:t xml:space="preserve">Two element types — one for rows, one for columns. Each must already be catalogued (typically each row/column corresponds to a row in some Catalog).</w:t>
      </w:r>
    </w:p>
    <w:p>
      <w:pPr>
        <w:pStyle w:val="ListParagraph"/>
        <w:numPr>
          <w:ilvl w:val="0"/>
          <w:numId w:val="2"/>
        </w:numPr>
        <w:spacing w:after="80" w:line="280"/>
      </w:pPr>
      <w:r>
        <w:t xml:space="preserve">Cells indicating the relationship between each row and each column (e.g., "supports", "uses", "is system of record for", "primarily concerned with").</w:t>
      </w:r>
    </w:p>
    <w:p>
      <w:pPr>
        <w:pStyle w:val="ListParagraph"/>
        <w:numPr>
          <w:ilvl w:val="0"/>
          <w:numId w:val="2"/>
        </w:numPr>
        <w:spacing w:after="80" w:line="280"/>
      </w:pPr>
      <w:r>
        <w:t xml:space="preserve">Often colour-coded or scored to make patterns visible at a glance.</w:t>
      </w:r>
    </w:p>
    <w:p>
      <w:pPr>
        <w:pStyle w:val="Heading3"/>
        <w:spacing w:after="120" w:before="220"/>
      </w:pPr>
      <w:r>
        <w:rPr>
          <w:b/>
          <w:bCs/>
          <w:color w:val="404040"/>
        </w:rPr>
        <w:t xml:space="preserve">Examples of Matrices</w:t>
      </w:r>
    </w:p>
    <w:p>
      <w:pPr>
        <w:pStyle w:val="ListParagraph"/>
        <w:numPr>
          <w:ilvl w:val="0"/>
          <w:numId w:val="2"/>
        </w:numPr>
        <w:spacing w:after="80" w:line="280"/>
      </w:pPr>
      <w:r>
        <w:t xml:space="preserve">Application/Function Matrix — applications (rows) by business functions (columns), cell shows support level.</w:t>
      </w:r>
    </w:p>
    <w:p>
      <w:pPr>
        <w:pStyle w:val="ListParagraph"/>
        <w:numPr>
          <w:ilvl w:val="0"/>
          <w:numId w:val="2"/>
        </w:numPr>
        <w:spacing w:after="80" w:line="280"/>
      </w:pPr>
      <w:r>
        <w:t xml:space="preserve">Capability/Value Stream Matrix — capabilities (rows) by value streams (columns), cell shows whether the capability is consumed by the stream.</w:t>
      </w:r>
    </w:p>
    <w:p>
      <w:pPr>
        <w:pStyle w:val="ListParagraph"/>
        <w:numPr>
          <w:ilvl w:val="0"/>
          <w:numId w:val="2"/>
        </w:numPr>
        <w:spacing w:after="80" w:line="280"/>
      </w:pPr>
      <w:r>
        <w:t xml:space="preserve">System/Data Matrix — systems (rows) by data entities (columns), cell shows the role (System of Record, replica, consumer).</w:t>
      </w:r>
    </w:p>
    <w:p>
      <w:pPr>
        <w:pStyle w:val="ListParagraph"/>
        <w:numPr>
          <w:ilvl w:val="0"/>
          <w:numId w:val="2"/>
        </w:numPr>
        <w:spacing w:after="80" w:line="280"/>
      </w:pPr>
      <w:r>
        <w:t xml:space="preserve">Stakeholder/Concern Matrix — stakeholders (rows) by concerns (columns), cell shows level of interest.</w:t>
      </w:r>
    </w:p>
    <w:p>
      <w:pPr>
        <w:pStyle w:val="ListParagraph"/>
        <w:numPr>
          <w:ilvl w:val="0"/>
          <w:numId w:val="2"/>
        </w:numPr>
        <w:spacing w:after="80" w:line="280"/>
      </w:pPr>
      <w:r>
        <w:t xml:space="preserve">Application/Organization Matrix — applications (rows) by business units (columns), cell shows ownership.</w:t>
      </w:r>
    </w:p>
    <w:p>
      <w:pPr>
        <w:pStyle w:val="ListParagraph"/>
        <w:numPr>
          <w:ilvl w:val="0"/>
          <w:numId w:val="2"/>
        </w:numPr>
        <w:spacing w:after="80" w:line="280"/>
      </w:pPr>
      <w:r>
        <w:t xml:space="preserve">Requirement/Architecture Element Matrix — requirements (rows) by architecture elements (columns), cell shows traceability.</w:t>
      </w:r>
    </w:p>
    <w:p>
      <w:pPr>
        <w:pStyle w:val="Heading2"/>
        <w:spacing w:after="160" w:before="280"/>
      </w:pPr>
      <w:r>
        <w:rPr>
          <w:b/>
          <w:bCs/>
          <w:color w:val="2E75B6"/>
        </w:rPr>
        <w:t xml:space="preserve">2.3 Type 3: Diagram</w:t>
      </w:r>
    </w:p>
    <w:p>
      <w:pPr>
        <w:spacing w:after="120" w:line="300"/>
        <w:jc w:val="both"/>
      </w:pPr>
      <w:r>
        <w:t xml:space="preserve">A </w:t>
      </w:r>
      <w:r>
        <w:rPr>
          <w:b/>
          <w:bCs/>
        </w:rPr>
        <w:t xml:space="preserve">Diagram</w:t>
      </w:r>
      <w:r>
        <w:t xml:space="preserve"> is a visual depiction of architecture elements and their relationships. Diagrams answer "what does this look like?" or "how is this structured?" questions. They are the most communicable artefact type — they convey structure and relationship at a glance — but they are also the easiest to abuse (recall Module 3's wall-of-rectangles anti-pattern).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Diagram (Artifact Type): </w:t>
            </w:r>
            <w:r>
              <w:t xml:space="preserve">A visual depiction of architecture elements and their relationships, produced by applying a viewpoint (Module 3) to specific architecture content. Examples: Capability Map, Application Communication Diagram, Data Flow Diagram, Network Topology Diagram, Platform Decomposition Diagram.</w:t>
            </w:r>
          </w:p>
        </w:tc>
      </w:tr>
    </w:tbl>
    <w:p>
      <w:pPr>
        <w:pStyle w:val="Heading3"/>
        <w:spacing w:after="120" w:before="220"/>
      </w:pPr>
      <w:r>
        <w:rPr>
          <w:b/>
          <w:bCs/>
          <w:color w:val="404040"/>
        </w:rPr>
        <w:t xml:space="preserve">What Diagrams Contain</w:t>
      </w:r>
    </w:p>
    <w:p>
      <w:pPr>
        <w:pStyle w:val="ListParagraph"/>
        <w:numPr>
          <w:ilvl w:val="0"/>
          <w:numId w:val="2"/>
        </w:numPr>
        <w:spacing w:after="80" w:line="280"/>
      </w:pPr>
      <w:r>
        <w:t xml:space="preserve">Visual nodes representing architecture elements (typically as boxes, ovals, or domain-specific shapes).</w:t>
      </w:r>
    </w:p>
    <w:p>
      <w:pPr>
        <w:pStyle w:val="ListParagraph"/>
        <w:numPr>
          <w:ilvl w:val="0"/>
          <w:numId w:val="2"/>
        </w:numPr>
        <w:spacing w:after="80" w:line="280"/>
      </w:pPr>
      <w:r>
        <w:t xml:space="preserve">Visual connectors representing relationships (lines, arrows, sometimes labelled).</w:t>
      </w:r>
    </w:p>
    <w:p>
      <w:pPr>
        <w:pStyle w:val="ListParagraph"/>
        <w:numPr>
          <w:ilvl w:val="0"/>
          <w:numId w:val="2"/>
        </w:numPr>
        <w:spacing w:after="80" w:line="280"/>
      </w:pPr>
      <w:r>
        <w:t xml:space="preserve">Layout that conveys grouping, hierarchy, or flow (containers, swimlanes, layers).</w:t>
      </w:r>
    </w:p>
    <w:p>
      <w:pPr>
        <w:pStyle w:val="ListParagraph"/>
        <w:numPr>
          <w:ilvl w:val="0"/>
          <w:numId w:val="2"/>
        </w:numPr>
        <w:spacing w:after="80" w:line="280"/>
      </w:pPr>
      <w:r>
        <w:t xml:space="preserve">Notation that follows a defined convention — increasingly ArchiMate, BPMN, UML, or a corporate notation.</w:t>
      </w:r>
    </w:p>
    <w:p>
      <w:pPr>
        <w:pStyle w:val="Heading3"/>
        <w:spacing w:after="120" w:before="220"/>
      </w:pPr>
      <w:r>
        <w:rPr>
          <w:b/>
          <w:bCs/>
          <w:color w:val="404040"/>
        </w:rPr>
        <w:t xml:space="preserve">Examples of Diagrams</w:t>
      </w:r>
    </w:p>
    <w:p>
      <w:pPr>
        <w:pStyle w:val="ListParagraph"/>
        <w:numPr>
          <w:ilvl w:val="0"/>
          <w:numId w:val="2"/>
        </w:numPr>
        <w:spacing w:after="80" w:line="280"/>
      </w:pPr>
      <w:r>
        <w:t xml:space="preserve">Capability Map — hierarchical decomposition of business capabilities.</w:t>
      </w:r>
    </w:p>
    <w:p>
      <w:pPr>
        <w:pStyle w:val="ListParagraph"/>
        <w:numPr>
          <w:ilvl w:val="0"/>
          <w:numId w:val="2"/>
        </w:numPr>
        <w:spacing w:after="80" w:line="280"/>
      </w:pPr>
      <w:r>
        <w:t xml:space="preserve">Application Communication Diagram — applications and the integrations between them.</w:t>
      </w:r>
    </w:p>
    <w:p>
      <w:pPr>
        <w:pStyle w:val="ListParagraph"/>
        <w:numPr>
          <w:ilvl w:val="0"/>
          <w:numId w:val="2"/>
        </w:numPr>
        <w:spacing w:after="80" w:line="280"/>
      </w:pPr>
      <w:r>
        <w:t xml:space="preserve">Data Flow Diagram — systems and data movement between them.</w:t>
      </w:r>
    </w:p>
    <w:p>
      <w:pPr>
        <w:pStyle w:val="ListParagraph"/>
        <w:numPr>
          <w:ilvl w:val="0"/>
          <w:numId w:val="2"/>
        </w:numPr>
        <w:spacing w:after="80" w:line="280"/>
      </w:pPr>
      <w:r>
        <w:t xml:space="preserve">Process Flow Diagram (BPMN) — sequence of activities, decisions, events.</w:t>
      </w:r>
    </w:p>
    <w:p>
      <w:pPr>
        <w:pStyle w:val="ListParagraph"/>
        <w:numPr>
          <w:ilvl w:val="0"/>
          <w:numId w:val="2"/>
        </w:numPr>
        <w:spacing w:after="80" w:line="280"/>
      </w:pPr>
      <w:r>
        <w:t xml:space="preserve">Platform Decomposition Diagram — layered platforms and what runs on what.</w:t>
      </w:r>
    </w:p>
    <w:p>
      <w:pPr>
        <w:pStyle w:val="ListParagraph"/>
        <w:numPr>
          <w:ilvl w:val="0"/>
          <w:numId w:val="2"/>
        </w:numPr>
        <w:spacing w:after="80" w:line="280"/>
      </w:pPr>
      <w:r>
        <w:t xml:space="preserve">Network Topology Diagram — physical and logical network structure.</w:t>
      </w:r>
    </w:p>
    <w:p>
      <w:pPr>
        <w:pStyle w:val="ListParagraph"/>
        <w:numPr>
          <w:ilvl w:val="0"/>
          <w:numId w:val="2"/>
        </w:numPr>
        <w:spacing w:after="80" w:line="280"/>
      </w:pPr>
      <w:r>
        <w:t xml:space="preserve">ABB Decomposition Diagram — an ABB and its sub-blocks.</w:t>
      </w:r>
    </w:p>
    <w:p>
      <w:pPr>
        <w:pStyle w:val="Heading2"/>
        <w:spacing w:after="160" w:before="280"/>
      </w:pPr>
      <w:r>
        <w:rPr>
          <w:b/>
          <w:bCs/>
          <w:color w:val="2E75B6"/>
        </w:rPr>
        <w:t xml:space="preserve">2.4 The Three Types Compared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500"/>
        <w:gridCol w:w="2360"/>
      </w:tblGrid>
      <w:tr>
        <w:trPr>
          <w:tblHeader/>
        </w:trPr>
        <w:tc>
          <w:tcPr>
            <w:tcW w:type="dxa" w:w="1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Type</w:t>
            </w:r>
          </w:p>
        </w:tc>
        <w:tc>
          <w:tcPr>
            <w:tcW w:type="dxa" w:w="30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Form</w:t>
            </w:r>
          </w:p>
        </w:tc>
        <w:tc>
          <w:tcPr>
            <w:tcW w:type="dxa" w:w="2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Question Answered</w:t>
            </w:r>
          </w:p>
        </w:tc>
        <w:tc>
          <w:tcPr>
            <w:tcW w:type="dxa" w:w="23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Example</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Catalog</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List of one element type with metadata</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What do we have? What exists?</w:t>
            </w:r>
          </w:p>
        </w:tc>
        <w:tc>
          <w:tcPr>
            <w:tcW w:type="dxa" w:w="2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Application Portfolio Catalogue</w:t>
            </w:r>
          </w:p>
        </w:tc>
      </w:tr>
      <w:tr>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Matrix</w:t>
            </w:r>
          </w:p>
        </w:tc>
        <w:tc>
          <w:tcPr>
            <w:tcW w:type="dxa" w:w="30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Two-dimensional cross-mapping of two element types</w:t>
            </w:r>
          </w:p>
        </w:tc>
        <w:tc>
          <w:tcPr>
            <w:tcW w:type="dxa" w:w="2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How does X relate to Y? Which X supports Y?</w:t>
            </w:r>
          </w:p>
        </w:tc>
        <w:tc>
          <w:tcPr>
            <w:tcW w:type="dxa" w:w="23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Application/Function Matrix</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Diagram</w:t>
            </w:r>
          </w:p>
        </w:tc>
        <w:tc>
          <w:tcPr>
            <w:tcW w:type="dxa" w:w="30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Visual depiction of elements and relationships</w:t>
            </w:r>
          </w:p>
        </w:tc>
        <w:tc>
          <w:tcPr>
            <w:tcW w:type="dxa" w:w="2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What does this look like? How is this structured?</w:t>
            </w:r>
          </w:p>
        </w:tc>
        <w:tc>
          <w:tcPr>
            <w:tcW w:type="dxa" w:w="23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Application Communication Diagram</w:t>
            </w:r>
          </w:p>
        </w:tc>
      </w:tr>
    </w:tbl>
    <w:p>
      <w:pPr>
        <w:pStyle w:val="Heading2"/>
        <w:spacing w:after="160" w:before="280"/>
      </w:pPr>
      <w:r>
        <w:rPr>
          <w:b/>
          <w:bCs/>
          <w:color w:val="2E75B6"/>
        </w:rPr>
        <w:t xml:space="preserve">2.5 Choosing the Right Type</w:t>
      </w:r>
    </w:p>
    <w:p>
      <w:pPr>
        <w:spacing w:after="120" w:line="300"/>
        <w:jc w:val="both"/>
      </w:pPr>
      <w:r>
        <w:t xml:space="preserve">The type chosen depends on the question to be answered. Three principles guide the choice:</w:t>
      </w:r>
    </w:p>
    <w:p>
      <w:pPr>
        <w:pStyle w:val="ListParagraph"/>
        <w:numPr>
          <w:ilvl w:val="0"/>
          <w:numId w:val="3"/>
        </w:numPr>
        <w:spacing w:after="80" w:line="280"/>
      </w:pPr>
      <w:r>
        <w:t xml:space="preserve">If the answer is an inventory — what do we have, what is approved, what exists — produce a Catalog.</w:t>
      </w:r>
    </w:p>
    <w:p>
      <w:pPr>
        <w:pStyle w:val="ListParagraph"/>
        <w:numPr>
          <w:ilvl w:val="0"/>
          <w:numId w:val="3"/>
        </w:numPr>
        <w:spacing w:after="80" w:line="280"/>
      </w:pPr>
      <w:r>
        <w:t xml:space="preserve">If the answer is a relationship — how does X relate to Y, which X supports which Y, where are the gaps and overlaps — produce a Matrix.</w:t>
      </w:r>
    </w:p>
    <w:p>
      <w:pPr>
        <w:pStyle w:val="ListParagraph"/>
        <w:numPr>
          <w:ilvl w:val="0"/>
          <w:numId w:val="3"/>
        </w:numPr>
        <w:spacing w:after="80" w:line="280"/>
      </w:pPr>
      <w:r>
        <w:t xml:space="preserve">If the answer is structural and benefits from visual communication — what is the shape of this, how does it connect, what flows where — produce a Diagram.</w:t>
      </w:r>
    </w:p>
    <w:p>
      <w:pPr>
        <w:spacing w:after="120" w:line="300"/>
        <w:jc w:val="both"/>
      </w:pPr>
      <w:r>
        <w:t xml:space="preserve">It is common to use all three types together for the same architectural area: a Catalog of applications, a Matrix mapping applications to capabilities, and a Diagram showing applications and integrations. Each answers a different question; together they triangulate.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CE4E4" w:val="clear"/>
            <w:tcMar>
              <w:top w:type="dxa" w:w="160"/>
              <w:left w:type="dxa" w:w="200"/>
              <w:bottom w:type="dxa" w:w="160"/>
              <w:right w:type="dxa" w:w="200"/>
            </w:tcMar>
          </w:tcPr>
          <w:p>
            <w:pPr>
              <w:spacing w:after="80"/>
            </w:pPr>
            <w:r>
              <w:rPr>
                <w:b/>
                <w:bCs/>
                <w:color w:val="8B0000"/>
              </w:rPr>
              <w:t xml:space="preserve">⚠ Common Type Confusions</w:t>
            </w:r>
          </w:p>
          <w:p>
            <w:pPr>
              <w:spacing w:after="60" w:line="280"/>
              <w:jc w:val="both"/>
            </w:pPr>
            <w:r>
              <w:t xml:space="preserve">Confusion 1: Treating a Diagram as a substitute for a Catalog. A diagram showing 12 applications does not catalogue them — it depicts a subset for visual purposes. The full inventory belongs in a Catalog. The exam will test whether you reach for the right artefact form for the question.</w:t>
            </w:r>
          </w:p>
          <w:p>
            <w:pPr>
              <w:spacing w:after="60" w:line="280"/>
              <w:jc w:val="both"/>
            </w:pPr>
            <w:r>
              <w:t xml:space="preserve">Confusion 2: Treating a Matrix as just a styled table. A Matrix is a cross-mapping of two specific element types whose instances are themselves catalogued. A simple list of properties about applications is not a Matrix — it is a Catalog with multiple columns.</w:t>
            </w:r>
          </w:p>
          <w:p>
            <w:pPr>
              <w:spacing w:after="60" w:line="280"/>
              <w:jc w:val="both"/>
            </w:pPr>
            <w:r>
              <w:t xml:space="preserve">Confusion 3: Calling everything a Diagram. "Show me the architecture" too easily defaults to a sprawling diagram. The first question should be: what is the actual question, and is a Catalog or Matrix actually what is needed?</w:t>
            </w:r>
          </w:p>
        </w:tc>
      </w:tr>
    </w:tbl>
    <w:p>
      <w:r>
        <w:br w:type="page"/>
      </w:r>
    </w:p>
    <w:p>
      <w:pPr>
        <w:pStyle w:val="Heading1"/>
        <w:spacing w:after="200" w:before="360"/>
      </w:pPr>
      <w:r>
        <w:rPr>
          <w:b/>
          <w:bCs/>
          <w:color w:val="1F4E78"/>
        </w:rPr>
        <w:t xml:space="preserve">3. ABB vs SBB — Architecture Building Blocks vs Solution Building Blocks</w:t>
      </w:r>
    </w:p>
    <w:p>
      <w:pPr>
        <w:spacing w:after="120" w:line="300"/>
        <w:jc w:val="both"/>
      </w:pPr>
      <w:r>
        <w:t xml:space="preserve">This is the most exam-tested distinction in the entire Content Framework, and one of the most-tested abstractions in TOGAF as a whole. ABBs and SBBs are both Building Blocks, but they sit at different levels of abstraction, serve different purposes, and live in different parts of the Enterprise Continuum. Confusing them produces architecture that is either hopelessly abstract (all ABBs, no SBBs) or vendor-locked from inception (SBBs masquerading as ABBs).</w:t>
      </w:r>
    </w:p>
    <w:p>
      <w:pPr>
        <w:pStyle w:val="Heading2"/>
        <w:spacing w:after="160" w:before="280"/>
      </w:pPr>
      <w:r>
        <w:rPr>
          <w:b/>
          <w:bCs/>
          <w:color w:val="2E75B6"/>
        </w:rPr>
        <w:t xml:space="preserve">3.1 The One-Sentence Distinction</w:t>
      </w:r>
    </w:p>
    <w:p>
      <w:pPr>
        <w:spacing w:after="120" w:line="300"/>
        <w:jc w:val="both"/>
      </w:pPr>
      <w:r>
        <w:t xml:space="preserve">An </w:t>
      </w:r>
      <w:r>
        <w:rPr>
          <w:b/>
          <w:bCs/>
        </w:rPr>
        <w:t xml:space="preserve">Architecture Building Block (ABB)</w:t>
      </w:r>
      <w:r>
        <w:t xml:space="preserve"> defines </w:t>
      </w:r>
      <w:r>
        <w:rPr>
          <w:b/>
          <w:bCs/>
        </w:rPr>
        <w:t xml:space="preserve">WHAT</w:t>
      </w:r>
      <w:r>
        <w:t xml:space="preserve"> is needed — capabilities, interfaces, performance envelope — in technology-agnostic terms. A </w:t>
      </w:r>
      <w:r>
        <w:rPr>
          <w:b/>
          <w:bCs/>
        </w:rPr>
        <w:t xml:space="preserve">Solution Building Block (SBB)</w:t>
      </w:r>
      <w:r>
        <w:t xml:space="preserve"> defines </w:t>
      </w:r>
      <w:r>
        <w:rPr>
          <w:b/>
          <w:bCs/>
        </w:rPr>
        <w:t xml:space="preserve">HOW</w:t>
      </w:r>
      <w:r>
        <w:t xml:space="preserve"> the ABB is realised — specific products, vendors, configurations — in product-specific terms.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Architecture Building Block (ABB): </w:t>
            </w:r>
            <w:r>
              <w:t xml:space="preserve">A reusable, abstract specification of a unit of architectural function. Defines WHAT must be provided — required capabilities, interfaces, dependencies, performance envelope — in technology-agnostic, vendor-neutral terms. Lives in the Architecture Continuum. Typically produced in Phases B, C, and 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Solution Building Block (SBB): </w:t>
            </w:r>
            <w:r>
              <w:t xml:space="preserve">A concrete implementation of an Architecture Building Block. Defines HOW the ABB is realised — specific products, configurations, vendors. Lives in the Solutions Continuum. Typically selected in Phase E or refined in Phase G during implementation.</w:t>
            </w:r>
          </w:p>
        </w:tc>
      </w:tr>
    </w:tbl>
    <w:p>
      <w:pPr>
        <w:pStyle w:val="Heading2"/>
        <w:spacing w:after="160" w:before="280"/>
      </w:pPr>
      <w:r>
        <w:rPr>
          <w:b/>
          <w:bCs/>
          <w:color w:val="2E75B6"/>
        </w:rPr>
        <w:t xml:space="preserve">3.2 The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00"/>
        <w:gridCol w:w="3960"/>
      </w:tblGrid>
      <w:tr>
        <w:trPr>
          <w:tblHeader/>
        </w:trPr>
        <w:tc>
          <w:tcPr>
            <w:tcW w:type="dxa" w:w="1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Aspect</w:t>
            </w:r>
          </w:p>
        </w:tc>
        <w:tc>
          <w:tcPr>
            <w:tcW w:type="dxa" w:w="37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ABB</w:t>
            </w:r>
          </w:p>
        </w:tc>
        <w:tc>
          <w:tcPr>
            <w:tcW w:type="dxa" w:w="3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SBB</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Defines</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WHAT is needed</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HOW it is implemented</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Level of abstraction</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Abstract, technology-agnostic</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Concrete, product-specific</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Typical content</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Required capabilities, interfaces, performance envelope, constraints</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Specific products, vendors, configurations, deployment patterns</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Vendor-neutral?</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Yes — must not specify vendor or product</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No — usually specifies vendor or product</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Location in Continuum</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Architecture Continuum</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Solutions Continuum</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Reusability</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High — one ABB used in many engagements</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Limited — bound to chosen product and configuration</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Phase typically produced</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Phases B, C, D (architecture definition)</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Phase E onward (solution selection); refined in G</w:t>
            </w:r>
          </w:p>
        </w:tc>
      </w:tr>
      <w:tr>
        <w:tc>
          <w:tcPr>
            <w:tcW w:type="dxa" w:w="1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Lifecycle</w:t>
            </w:r>
          </w:p>
        </w:tc>
        <w:tc>
          <w:tcPr>
            <w:tcW w:type="dxa" w:w="37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Long — stable across many cycles</w:t>
            </w:r>
          </w:p>
        </w:tc>
        <w:tc>
          <w:tcPr>
            <w:tcW w:type="dxa" w:w="3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Shorter — updated as products are upgraded or replaced</w:t>
            </w:r>
          </w:p>
        </w:tc>
      </w:tr>
      <w:tr>
        <w:tc>
          <w:tcPr>
            <w:tcW w:type="dxa" w:w="1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Example</w:t>
            </w:r>
          </w:p>
        </w:tc>
        <w:tc>
          <w:tcPr>
            <w:tcW w:type="dxa" w:w="37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"Customer Authentication Service" — defines required functions and interfaces</w:t>
            </w:r>
          </w:p>
        </w:tc>
        <w:tc>
          <w:tcPr>
            <w:tcW w:type="dxa" w:w="3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"Okta Workforce Identity v23.7" — specific product fulfilling the ABB</w:t>
            </w:r>
          </w:p>
        </w:tc>
      </w:tr>
    </w:tbl>
    <w:p>
      <w:pPr>
        <w:pStyle w:val="Heading2"/>
        <w:spacing w:after="160" w:before="280"/>
      </w:pPr>
      <w:r>
        <w:rPr>
          <w:b/>
          <w:bCs/>
          <w:color w:val="2E75B6"/>
        </w:rPr>
        <w:t xml:space="preserve">3.3 Why the Distinction Matters</w:t>
      </w:r>
    </w:p>
    <w:p>
      <w:pPr>
        <w:spacing w:after="120" w:line="300"/>
        <w:jc w:val="both"/>
      </w:pPr>
      <w:r>
        <w:t xml:space="preserve">Three reasons the ABB/SBB separation is enforced:</w:t>
      </w:r>
    </w:p>
    <w:p>
      <w:pPr>
        <w:pStyle w:val="ListParagraph"/>
        <w:numPr>
          <w:ilvl w:val="0"/>
          <w:numId w:val="3"/>
        </w:numPr>
        <w:spacing w:after="80" w:line="280"/>
      </w:pPr>
      <w:r>
        <w:t xml:space="preserve">Vendor neutrality at the architectural level. If the architecture specifies products by name (SBBs), the architecture is locked to those products from the moment it is approved. Subsequent product changes require architectural rework. ABBs decouple the architectural commitment (WHAT) from the procurement decision (HOW), allowing products to be replaced without re-doing the architecture.</w:t>
      </w:r>
    </w:p>
    <w:p>
      <w:pPr>
        <w:pStyle w:val="ListParagraph"/>
        <w:numPr>
          <w:ilvl w:val="0"/>
          <w:numId w:val="3"/>
        </w:numPr>
        <w:spacing w:after="80" w:line="280"/>
      </w:pPr>
      <w:r>
        <w:t xml:space="preserve">Reuse across engagements. The same ABB — say, "Customer Authentication Service" — applies to retail banking, wealth management, insurance, and any other engagement that needs customer authentication. The SBB chosen will differ between engagements (one might choose Okta, another Auth0, another a custom service), but the ABB is portable. Without the ABB/SBB separation, every engagement would re-derive its specification from scratch.</w:t>
      </w:r>
    </w:p>
    <w:p>
      <w:pPr>
        <w:pStyle w:val="ListParagraph"/>
        <w:numPr>
          <w:ilvl w:val="0"/>
          <w:numId w:val="3"/>
        </w:numPr>
        <w:spacing w:after="80" w:line="280"/>
      </w:pPr>
      <w:r>
        <w:t xml:space="preserve">Architecture survives product change. Products go through major releases, get acquired, get deprecated, get replaced. If the architecture is expressed in ABB terms, replacing the SBB (Okta v23 → Okta v25, or Okta → Auth0) is a procurement and migration exercise, not an architectural one. The ABB stays valid; only the SBB changes.</w:t>
      </w:r>
    </w:p>
    <w:p>
      <w:pPr>
        <w:pStyle w:val="Heading2"/>
        <w:spacing w:after="160" w:before="280"/>
      </w:pPr>
      <w:r>
        <w:rPr>
          <w:b/>
          <w:bCs/>
          <w:color w:val="2E75B6"/>
        </w:rPr>
        <w:t xml:space="preserve">3.4 Worked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ABB and SBB for Customer Identity Verification</w:t>
            </w:r>
          </w:p>
          <w:p>
            <w:pPr>
              <w:spacing w:after="60" w:line="280"/>
              <w:jc w:val="both"/>
            </w:pPr>
            <w:r>
              <w:t xml:space="preserve">ABB: "Customer Identity Verification Service".</w:t>
            </w:r>
          </w:p>
          <w:p>
            <w:pPr>
              <w:spacing w:after="60" w:line="280"/>
              <w:jc w:val="both"/>
            </w:pPr>
            <w:r>
              <w:t xml:space="preserve">  Required capabilities: verify document authenticity; verify document-to-person match; perform liveness check; perform sanctions screening; produce verification verdict and confidence score.</w:t>
            </w:r>
          </w:p>
          <w:p>
            <w:pPr>
              <w:spacing w:after="60" w:line="280"/>
              <w:jc w:val="both"/>
            </w:pPr>
            <w:r>
              <w:t xml:space="preserve">  Required interfaces: REST API for verification request; webhook for asynchronous result; admin UI for case review.</w:t>
            </w:r>
          </w:p>
          <w:p>
            <w:pPr>
              <w:spacing w:after="60" w:line="280"/>
              <w:jc w:val="both"/>
            </w:pPr>
            <w:r>
              <w:t xml:space="preserve">  Performance envelope: 95th percentile response under 90 seconds; 99.9% availability; capacity for 10,000 verifications per day.</w:t>
            </w:r>
          </w:p>
          <w:p>
            <w:pPr>
              <w:spacing w:after="60" w:line="280"/>
              <w:jc w:val="both"/>
            </w:pPr>
            <w:r>
              <w:t xml:space="preserve">  Constraints: must comply with GDPR Article 9; must support EU and UK customer data residency; must produce auditable evidence retained for 7 years.</w:t>
            </w:r>
          </w:p>
          <w:p>
            <w:pPr>
              <w:spacing w:after="60" w:line="280"/>
              <w:jc w:val="both"/>
            </w:pPr>
            <w:r>
              <w:t xml:space="preserve">  Dependencies: integrates with Customer Master Data; consumes from KYC data lake; emits events to Fraud Screening.</w:t>
            </w:r>
          </w:p>
          <w:p>
            <w:pPr>
              <w:spacing w:after="60" w:line="280"/>
              <w:jc w:val="both"/>
            </w:pPr>
            <w:r>
              <w:t xml:space="preserve">  None of the above mentions a vendor, product, or specific technology. The ABB is portable.</w:t>
            </w:r>
          </w:p>
          <w:p>
            <w:pPr>
              <w:spacing w:after="60" w:line="280"/>
              <w:jc w:val="both"/>
            </w:pPr>
            <w:r>
              <w:t xml:space="preserve">SBB: "Onfido Customer Identity Platform v4.2 deployed in eu-west-2".</w:t>
            </w:r>
          </w:p>
          <w:p>
            <w:pPr>
              <w:spacing w:after="60" w:line="280"/>
              <w:jc w:val="both"/>
            </w:pPr>
            <w:r>
              <w:t xml:space="preserve">  Specific product: Onfido v4.2 (a real commercial identity verification platform).</w:t>
            </w:r>
          </w:p>
          <w:p>
            <w:pPr>
              <w:spacing w:after="60" w:line="280"/>
              <w:jc w:val="both"/>
            </w:pPr>
            <w:r>
              <w:t xml:space="preserve">  Specific configuration: tier 2 plan, 24/7 support, EU data residency option.</w:t>
            </w:r>
          </w:p>
          <w:p>
            <w:pPr>
              <w:spacing w:after="60" w:line="280"/>
              <w:jc w:val="both"/>
            </w:pPr>
            <w:r>
              <w:t xml:space="preserve">  Specific deployment: AWS eu-west-2 region, integrated via Onfido REST API to the Onboarding Orchestrator.</w:t>
            </w:r>
          </w:p>
          <w:p>
            <w:pPr>
              <w:spacing w:after="60" w:line="280"/>
              <w:jc w:val="both"/>
            </w:pPr>
            <w:r>
              <w:t xml:space="preserve">  Specific contract: 3-year licence, £450k annual fee, data processing agreement signed.</w:t>
            </w:r>
          </w:p>
          <w:p>
            <w:pPr>
              <w:spacing w:after="60" w:line="280"/>
              <w:jc w:val="both"/>
            </w:pPr>
            <w:r>
              <w:t xml:space="preserve">Mapping: Onfido v4.2 fulfils the "Customer Identity Verification Service" ABB. If Onfido is replaced in 2027 by, say, Veriff, the SBB changes — but the ABB does not. The architecture remains valid; only the procurement and integration change.</w:t>
            </w:r>
          </w:p>
        </w:tc>
      </w:tr>
    </w:tbl>
    <w:p>
      <w:pPr>
        <w:pStyle w:val="Heading2"/>
        <w:spacing w:after="160" w:before="280"/>
      </w:pPr>
      <w:r>
        <w:rPr>
          <w:b/>
          <w:bCs/>
          <w:color w:val="2E75B6"/>
        </w:rPr>
        <w:t xml:space="preserve">3.5 Common Pitfalls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CE4E4" w:val="clear"/>
            <w:tcMar>
              <w:top w:type="dxa" w:w="160"/>
              <w:left w:type="dxa" w:w="200"/>
              <w:bottom w:type="dxa" w:w="160"/>
              <w:right w:type="dxa" w:w="200"/>
            </w:tcMar>
          </w:tcPr>
          <w:p>
            <w:pPr>
              <w:spacing w:after="80"/>
            </w:pPr>
            <w:r>
              <w:rPr>
                <w:b/>
                <w:bCs/>
                <w:color w:val="8B0000"/>
              </w:rPr>
              <w:t xml:space="preserve">⚠ Three Frequent ABB/SBB Mistakes</w:t>
            </w:r>
          </w:p>
          <w:p>
            <w:pPr>
              <w:spacing w:after="60" w:line="280"/>
              <w:jc w:val="both"/>
            </w:pPr>
            <w:r>
              <w:t xml:space="preserve">Mistake 1: ABBs that name products. "Salesforce CRM Service" is not an ABB — it is an SBB pretending to be an ABB. The ABB must be vendor-neutral; the moment it names a product, the architecture loses the decoupling that the ABB/SBB distinction is designed to provide.</w:t>
            </w:r>
          </w:p>
          <w:p>
            <w:pPr>
              <w:spacing w:after="60" w:line="280"/>
              <w:jc w:val="both"/>
            </w:pPr>
            <w:r>
              <w:t xml:space="preserve">Mistake 2: SBBs without ABBs. Selecting a product without first defining the ABB it fulfils means the architecture has no expression of what was needed — only of what was bought. When the product is later replaced, there is no specification to procure against. Always define the ABB first; select the SBB to fulfil it.</w:t>
            </w:r>
          </w:p>
          <w:p>
            <w:pPr>
              <w:spacing w:after="60" w:line="280"/>
              <w:jc w:val="both"/>
            </w:pPr>
            <w:r>
              <w:t xml:space="preserve">Mistake 3: Confusing the locations. ABBs live in the Architecture Continuum (the conceptual classification of architectures from generic to organisation-specific). SBBs live in the Solutions Continuum (the parallel classification of concrete implementations). Putting an SBB in the Architecture Continuum or vice versa breaks the structure of the Enterprise Continuum. This is treated in Section 4.</w:t>
            </w:r>
          </w:p>
        </w:tc>
      </w:tr>
    </w:tbl>
    <w:p>
      <w:r>
        <w:br w:type="page"/>
      </w:r>
    </w:p>
    <w:p>
      <w:pPr>
        <w:pStyle w:val="Heading1"/>
        <w:spacing w:after="200" w:before="360"/>
      </w:pPr>
      <w:r>
        <w:rPr>
          <w:b/>
          <w:bCs/>
          <w:color w:val="1F4E78"/>
        </w:rPr>
        <w:t xml:space="preserve">4. ABBs Live in the Architecture Continuum; SBBs Live in the Solutions Continuum</w:t>
      </w:r>
    </w:p>
    <w:p>
      <w:pPr>
        <w:spacing w:after="120" w:line="300"/>
        <w:jc w:val="both"/>
      </w:pPr>
      <w:r>
        <w:t xml:space="preserve">The Enterprise Continuum (introduced in Module 1) consists of two parallel classifications: the Architecture Continuum, which classifies architectures from generic to organisation-specific; and the Solutions Continuum, which classifies solutions on the same spectrum. Building Blocks are not free-floating; each lives in exactly one Continuum, determined by its kind.</w:t>
      </w:r>
    </w:p>
    <w:p>
      <w:pPr>
        <w:pStyle w:val="Heading2"/>
        <w:spacing w:after="160" w:before="280"/>
      </w:pPr>
      <w:r>
        <w:rPr>
          <w:b/>
          <w:bCs/>
          <w:color w:val="2E75B6"/>
        </w:rPr>
        <w:t xml:space="preserve">4.1 The Two Continuums Recapped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Architecture Continuum: </w:t>
            </w:r>
            <w:r>
              <w:t xml:space="preserve">The classification of architectures along a spectrum from most generic (Foundation Architecture) to most organisation-specific (Organization-Specific Architecture). ABBs live here; they are architectural specifications that may be reused across many organisations or constrained to one.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Solutions Continuum: </w:t>
            </w:r>
            <w:r>
              <w:t xml:space="preserve">The classification of solutions along the same spectrum from generic (Foundation Solutions) to organisation-specific (Organization-Specific Solutions). SBBs live here; they are concrete implementations that may be common platforms reused across many enterprises or specific deployments unique to one.</w:t>
            </w:r>
          </w:p>
        </w:tc>
      </w:tr>
    </w:tbl>
    <w:p>
      <w:pPr>
        <w:spacing w:after="120" w:line="300"/>
        <w:jc w:val="both"/>
      </w:pPr>
      <w:r>
        <w:t xml:space="preserve">The two Continuums run in parallel, as covered in Module 1. At each level of the spectrum, the Architecture Continuum holds the WHAT (the architectural specification) and the Solutions Continuum holds the HOW (the concrete implementation). The two are paired: an SBB at any level fulfils an ABB at the same level.</w:t>
      </w:r>
    </w:p>
    <w:p>
      <w:pPr>
        <w:pStyle w:val="Heading2"/>
        <w:spacing w:after="160" w:before="280"/>
      </w:pPr>
      <w:r>
        <w:rPr>
          <w:b/>
          <w:bCs/>
          <w:color w:val="2E75B6"/>
        </w:rPr>
        <w:t xml:space="preserve">4.2 Why ABBs Live in the Architecture Continuum</w:t>
      </w:r>
    </w:p>
    <w:p>
      <w:pPr>
        <w:spacing w:after="120" w:line="300"/>
        <w:jc w:val="both"/>
      </w:pPr>
      <w:r>
        <w:t xml:space="preserve">ABBs are architectural specifications — descriptions of capability, interface, and constraint without commitment to product. The Architecture Continuum is the structured store of such specifications. Placing an ABB anywhere else — in the Solutions Continuum, or floating outside the Continuum altogether — breaks the model:</w:t>
      </w:r>
    </w:p>
    <w:p>
      <w:pPr>
        <w:pStyle w:val="ListParagraph"/>
        <w:numPr>
          <w:ilvl w:val="0"/>
          <w:numId w:val="2"/>
        </w:numPr>
        <w:spacing w:after="80" w:line="280"/>
      </w:pPr>
      <w:r>
        <w:t xml:space="preserve">ABBs in the Solutions Continuum would mean treating abstract specifications as concrete solutions, conflating WHAT with HOW.</w:t>
      </w:r>
    </w:p>
    <w:p>
      <w:pPr>
        <w:pStyle w:val="ListParagraph"/>
        <w:numPr>
          <w:ilvl w:val="0"/>
          <w:numId w:val="2"/>
        </w:numPr>
        <w:spacing w:after="80" w:line="280"/>
      </w:pPr>
      <w:r>
        <w:t xml:space="preserve">ABBs floating outside the Continuum would lose the reuse classification — a Foundation-level ABB is reusable across many enterprises; an Organization-Specific ABB is bespoke to one. The Continuum is what makes this classification visible.</w:t>
      </w:r>
    </w:p>
    <w:p>
      <w:pPr>
        <w:pStyle w:val="Heading2"/>
        <w:spacing w:after="160" w:before="280"/>
      </w:pPr>
      <w:r>
        <w:rPr>
          <w:b/>
          <w:bCs/>
          <w:color w:val="2E75B6"/>
        </w:rPr>
        <w:t xml:space="preserve">4.3 Why SBBs Live in the Solutions Continuum</w:t>
      </w:r>
    </w:p>
    <w:p>
      <w:pPr>
        <w:spacing w:after="120" w:line="300"/>
        <w:jc w:val="both"/>
      </w:pPr>
      <w:r>
        <w:t xml:space="preserve">SBBs are concrete implementations — specific products, configurations, deployments. The Solutions Continuum is the structured store of such implementations. Like ABBs, SBBs occupy a position on the spectrum:</w:t>
      </w:r>
    </w:p>
    <w:p>
      <w:pPr>
        <w:pStyle w:val="ListParagraph"/>
        <w:numPr>
          <w:ilvl w:val="0"/>
          <w:numId w:val="2"/>
        </w:numPr>
        <w:spacing w:after="80" w:line="280"/>
      </w:pPr>
      <w:r>
        <w:t xml:space="preserve">Foundation Solutions are generic platforms (e.g., a generic relational database engine pattern, a generic authentication service).</w:t>
      </w:r>
    </w:p>
    <w:p>
      <w:pPr>
        <w:pStyle w:val="ListParagraph"/>
        <w:numPr>
          <w:ilvl w:val="0"/>
          <w:numId w:val="2"/>
        </w:numPr>
        <w:spacing w:after="80" w:line="280"/>
      </w:pPr>
      <w:r>
        <w:t xml:space="preserve">Common Systems Solutions are widely-applicable platform implementations (e.g., a standard PostgreSQL deployment pattern).</w:t>
      </w:r>
    </w:p>
    <w:p>
      <w:pPr>
        <w:pStyle w:val="ListParagraph"/>
        <w:numPr>
          <w:ilvl w:val="0"/>
          <w:numId w:val="2"/>
        </w:numPr>
        <w:spacing w:after="80" w:line="280"/>
      </w:pPr>
      <w:r>
        <w:t xml:space="preserve">Industry Solutions are vertical-specific implementations (e.g., a banking-industry payments-platform implementation).</w:t>
      </w:r>
    </w:p>
    <w:p>
      <w:pPr>
        <w:pStyle w:val="ListParagraph"/>
        <w:numPr>
          <w:ilvl w:val="0"/>
          <w:numId w:val="2"/>
        </w:numPr>
        <w:spacing w:after="80" w:line="280"/>
      </w:pPr>
      <w:r>
        <w:t xml:space="preserve">Organization-Specific Solutions are deployments unique to the enterprise (e.g., "Acme Bank's Onfido v4.2 deployment in eu-west-2").</w:t>
      </w:r>
    </w:p>
    <w:p>
      <w:pPr>
        <w:spacing w:after="120" w:line="300"/>
        <w:jc w:val="both"/>
      </w:pPr>
      <w:r>
        <w:t xml:space="preserve">Each SBB at any level has a paired ABB at the corresponding level in the Architecture Continuum.</w:t>
      </w:r>
    </w:p>
    <w:p>
      <w:pPr>
        <w:pStyle w:val="Heading2"/>
        <w:spacing w:after="160" w:before="280"/>
      </w:pPr>
      <w:r>
        <w:rPr>
          <w:b/>
          <w:bCs/>
          <w:color w:val="2E75B6"/>
        </w:rPr>
        <w:t xml:space="preserve">4.4 The Continuum Pairing Visualised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00"/>
        <w:gridCol w:w="34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Continuum Level</w:t>
            </w:r>
          </w:p>
        </w:tc>
        <w:tc>
          <w:tcPr>
            <w:tcW w:type="dxa" w:w="3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Architecture Continuum (ABBs)</w:t>
            </w:r>
          </w:p>
        </w:tc>
        <w:tc>
          <w:tcPr>
            <w:tcW w:type="dxa" w:w="34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Solutions Continuum (SBBs)</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Foundation</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Generic ABBs (e.g., generic "Authentication Service" specification)</w:t>
            </w:r>
          </w:p>
        </w:tc>
        <w:tc>
          <w:tcPr>
            <w:tcW w:type="dxa" w:w="3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Generic platforms (e.g., generic IAM platform pattern)</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Common Systems</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Widely-applicable ABBs (e.g., "Customer Authentication Service" applicable across industries)</w:t>
            </w:r>
          </w:p>
        </w:tc>
        <w:tc>
          <w:tcPr>
            <w:tcW w:type="dxa" w:w="34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Common implementations (e.g., standard SAML/OIDC IDP deployment pattern)</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Industry</w:t>
            </w:r>
          </w:p>
        </w:tc>
        <w:tc>
          <w:tcPr>
            <w:tcW w:type="dxa" w:w="3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Industry-specific ABBs (e.g., "Banking Customer Authentication" with KYC integration requirements)</w:t>
            </w:r>
          </w:p>
        </w:tc>
        <w:tc>
          <w:tcPr>
            <w:tcW w:type="dxa" w:w="34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Industry-specific implementations (e.g., a banking-vertical Okta deployment pattern)</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Organization-Specific</w:t>
            </w:r>
          </w:p>
        </w:tc>
        <w:tc>
          <w:tcPr>
            <w:tcW w:type="dxa" w:w="3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Bespoke ABBs (e.g., "Acme Bank Customer Authentication Service" with specific compliance constraints)</w:t>
            </w:r>
          </w:p>
        </w:tc>
        <w:tc>
          <w:tcPr>
            <w:tcW w:type="dxa" w:w="34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Bespoke deployments (e.g., "Acme Bank's Okta deployment in eu-west-2 with custom MFA flow")</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A227" w:sz="8"/>
              <w:left w:val="single" w:color="C9A227" w:sz="24"/>
              <w:bottom w:val="single" w:color="C9A227" w:sz="8"/>
              <w:right w:val="single" w:color="C9A227" w:sz="4"/>
            </w:tcBorders>
            <w:shd w:fill="FFF4CE" w:val="clear"/>
            <w:tcMar>
              <w:top w:type="dxa" w:w="160"/>
              <w:left w:type="dxa" w:w="200"/>
              <w:bottom w:type="dxa" w:w="160"/>
              <w:right w:type="dxa" w:w="200"/>
            </w:tcMar>
          </w:tcPr>
          <w:p>
            <w:pPr>
              <w:spacing w:after="80"/>
            </w:pPr>
            <w:r>
              <w:rPr>
                <w:b/>
                <w:bCs/>
                <w:color w:val="7C5800"/>
              </w:rPr>
              <w:t xml:space="preserve">The Architectural Pattern</w:t>
            </w:r>
          </w:p>
          <w:p>
            <w:pPr>
              <w:spacing w:after="60" w:line="280"/>
              <w:jc w:val="both"/>
            </w:pPr>
            <w:r>
              <w:t xml:space="preserve">When an architect encounters an architectural need at any level of specificity, they look first to the Architecture Continuum for an existing ABB at that level or higher (more generic), then look to the Solutions Continuum for an existing SBB that fulfils the ABB. Reuse is preferred over invention; specificity is added only where the engagement genuinely requires it. This is the operational mechanism by which the Continuum delivers the reuse it promises.</w:t>
            </w:r>
          </w:p>
        </w:tc>
      </w:tr>
    </w:tbl>
    <w:p>
      <w:r>
        <w:br w:type="page"/>
      </w:r>
    </w:p>
    <w:p>
      <w:pPr>
        <w:pStyle w:val="Heading1"/>
        <w:spacing w:after="200" w:before="360"/>
      </w:pPr>
      <w:r>
        <w:rPr>
          <w:b/>
          <w:bCs/>
          <w:color w:val="1F4E78"/>
        </w:rPr>
        <w:t xml:space="preserve">5. The Architecture Content Metamodel</w:t>
      </w:r>
    </w:p>
    <w:p>
      <w:pPr>
        <w:spacing w:after="120" w:line="300"/>
        <w:jc w:val="both"/>
      </w:pPr>
      <w:r>
        <w:t xml:space="preserve">The Architecture Content Metamodel is the formal model of the entity types and relationships that the Content Framework recognises. It is the structural blueprint that describes which kinds of architecture elements exist and how they connect. Where the Content Framework is the framework, the Metamodel is its grammar — the set of types and the rules for combining them.</w:t>
      </w:r>
    </w:p>
    <w:p>
      <w:pPr>
        <w:pStyle w:val="Heading2"/>
        <w:spacing w:after="160" w:before="280"/>
      </w:pPr>
      <w:r>
        <w:rPr>
          <w:b/>
          <w:bCs/>
          <w:color w:val="2E75B6"/>
        </w:rPr>
        <w:t xml:space="preserve">5.1 What the Metamodel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Architecture Content Metamodel: </w:t>
            </w:r>
            <w:r>
              <w:t xml:space="preserve">The formal model of entity types and relationships recognised by the TOGAF Content Framework. Defines the core entities (e.g., Capability, Application, Data Entity, Technology Component), their attributes, and the relationships between them. Acts as the schema against which architecture artefacts are produced and stored.</w:t>
            </w:r>
          </w:p>
        </w:tc>
      </w:tr>
    </w:tbl>
    <w:p>
      <w:pPr>
        <w:spacing w:after="120" w:line="300"/>
        <w:jc w:val="both"/>
      </w:pPr>
      <w:r>
        <w:t xml:space="preserve">The Metamodel matters because without it, every engagement would invent its own categories and the Architecture Repository would become an ungoverned mess of incompatible entries. With it, an Application produced in one engagement has the same structure as an Application produced in another — they can be queried together, reported on together, and reused.</w:t>
      </w:r>
    </w:p>
    <w:p>
      <w:pPr>
        <w:pStyle w:val="Heading2"/>
        <w:spacing w:after="160" w:before="280"/>
      </w:pPr>
      <w:r>
        <w:rPr>
          <w:b/>
          <w:bCs/>
          <w:color w:val="2E75B6"/>
        </w:rPr>
        <w:t xml:space="preserve">5.2 Core Entity Types</w:t>
      </w:r>
    </w:p>
    <w:p>
      <w:pPr>
        <w:spacing w:after="120" w:line="300"/>
        <w:jc w:val="both"/>
      </w:pPr>
      <w:r>
        <w:t xml:space="preserve">TOGAF's Metamodel defines a number of core entity types organised by architecture domain. Below is a representative list — the actual standard contains slightly more granular distinctions, but these are the most-used types:</w:t>
      </w:r>
    </w:p>
    <w:p>
      <w:pPr>
        <w:pStyle w:val="Heading3"/>
        <w:spacing w:after="120" w:before="220"/>
      </w:pPr>
      <w:r>
        <w:rPr>
          <w:b/>
          <w:bCs/>
          <w:color w:val="404040"/>
        </w:rPr>
        <w:t xml:space="preserve">Architecture Principles, Vision, Requirements</w:t>
      </w:r>
    </w:p>
    <w:p>
      <w:pPr>
        <w:pStyle w:val="ListParagraph"/>
        <w:numPr>
          <w:ilvl w:val="0"/>
          <w:numId w:val="2"/>
        </w:numPr>
        <w:spacing w:after="80" w:line="280"/>
      </w:pPr>
      <w:r>
        <w:t xml:space="preserve">Architecture Principle</w:t>
      </w:r>
    </w:p>
    <w:p>
      <w:pPr>
        <w:pStyle w:val="ListParagraph"/>
        <w:numPr>
          <w:ilvl w:val="0"/>
          <w:numId w:val="2"/>
        </w:numPr>
        <w:spacing w:after="80" w:line="280"/>
      </w:pPr>
      <w:r>
        <w:t xml:space="preserve">Goal</w:t>
      </w:r>
    </w:p>
    <w:p>
      <w:pPr>
        <w:pStyle w:val="ListParagraph"/>
        <w:numPr>
          <w:ilvl w:val="0"/>
          <w:numId w:val="2"/>
        </w:numPr>
        <w:spacing w:after="80" w:line="280"/>
      </w:pPr>
      <w:r>
        <w:t xml:space="preserve">Objective</w:t>
      </w:r>
    </w:p>
    <w:p>
      <w:pPr>
        <w:pStyle w:val="ListParagraph"/>
        <w:numPr>
          <w:ilvl w:val="0"/>
          <w:numId w:val="2"/>
        </w:numPr>
        <w:spacing w:after="80" w:line="280"/>
      </w:pPr>
      <w:r>
        <w:t xml:space="preserve">Driver</w:t>
      </w:r>
    </w:p>
    <w:p>
      <w:pPr>
        <w:pStyle w:val="ListParagraph"/>
        <w:numPr>
          <w:ilvl w:val="0"/>
          <w:numId w:val="2"/>
        </w:numPr>
        <w:spacing w:after="80" w:line="280"/>
      </w:pPr>
      <w:r>
        <w:t xml:space="preserve">Requirement</w:t>
      </w:r>
    </w:p>
    <w:p>
      <w:pPr>
        <w:pStyle w:val="ListParagraph"/>
        <w:numPr>
          <w:ilvl w:val="0"/>
          <w:numId w:val="2"/>
        </w:numPr>
        <w:spacing w:after="80" w:line="280"/>
      </w:pPr>
      <w:r>
        <w:t xml:space="preserve">Constraint</w:t>
      </w:r>
    </w:p>
    <w:p>
      <w:pPr>
        <w:pStyle w:val="ListParagraph"/>
        <w:numPr>
          <w:ilvl w:val="0"/>
          <w:numId w:val="2"/>
        </w:numPr>
        <w:spacing w:after="80" w:line="280"/>
      </w:pPr>
      <w:r>
        <w:t xml:space="preserve">Assumption</w:t>
      </w:r>
    </w:p>
    <w:p>
      <w:pPr>
        <w:pStyle w:val="ListParagraph"/>
        <w:numPr>
          <w:ilvl w:val="0"/>
          <w:numId w:val="2"/>
        </w:numPr>
        <w:spacing w:after="80" w:line="280"/>
      </w:pPr>
      <w:r>
        <w:t xml:space="preserve">Stakeholder</w:t>
      </w:r>
    </w:p>
    <w:p>
      <w:pPr>
        <w:pStyle w:val="Heading3"/>
        <w:spacing w:after="120" w:before="220"/>
      </w:pPr>
      <w:r>
        <w:rPr>
          <w:b/>
          <w:bCs/>
          <w:color w:val="404040"/>
        </w:rPr>
        <w:t xml:space="preserve">Business Architecture</w:t>
      </w:r>
    </w:p>
    <w:p>
      <w:pPr>
        <w:pStyle w:val="ListParagraph"/>
        <w:numPr>
          <w:ilvl w:val="0"/>
          <w:numId w:val="2"/>
        </w:numPr>
        <w:spacing w:after="80" w:line="280"/>
      </w:pPr>
      <w:r>
        <w:t xml:space="preserve">Capability</w:t>
      </w:r>
    </w:p>
    <w:p>
      <w:pPr>
        <w:pStyle w:val="ListParagraph"/>
        <w:numPr>
          <w:ilvl w:val="0"/>
          <w:numId w:val="2"/>
        </w:numPr>
        <w:spacing w:after="80" w:line="280"/>
      </w:pPr>
      <w:r>
        <w:t xml:space="preserve">Value Stream</w:t>
      </w:r>
    </w:p>
    <w:p>
      <w:pPr>
        <w:pStyle w:val="ListParagraph"/>
        <w:numPr>
          <w:ilvl w:val="0"/>
          <w:numId w:val="2"/>
        </w:numPr>
        <w:spacing w:after="80" w:line="280"/>
      </w:pPr>
      <w:r>
        <w:t xml:space="preserve">Process</w:t>
      </w:r>
    </w:p>
    <w:p>
      <w:pPr>
        <w:pStyle w:val="ListParagraph"/>
        <w:numPr>
          <w:ilvl w:val="0"/>
          <w:numId w:val="2"/>
        </w:numPr>
        <w:spacing w:after="80" w:line="280"/>
      </w:pPr>
      <w:r>
        <w:t xml:space="preserve">Function</w:t>
      </w:r>
    </w:p>
    <w:p>
      <w:pPr>
        <w:pStyle w:val="ListParagraph"/>
        <w:numPr>
          <w:ilvl w:val="0"/>
          <w:numId w:val="2"/>
        </w:numPr>
        <w:spacing w:after="80" w:line="280"/>
      </w:pPr>
      <w:r>
        <w:t xml:space="preserve">Organization Unit</w:t>
      </w:r>
    </w:p>
    <w:p>
      <w:pPr>
        <w:pStyle w:val="ListParagraph"/>
        <w:numPr>
          <w:ilvl w:val="0"/>
          <w:numId w:val="2"/>
        </w:numPr>
        <w:spacing w:after="80" w:line="280"/>
      </w:pPr>
      <w:r>
        <w:t xml:space="preserve">Role</w:t>
      </w:r>
    </w:p>
    <w:p>
      <w:pPr>
        <w:pStyle w:val="ListParagraph"/>
        <w:numPr>
          <w:ilvl w:val="0"/>
          <w:numId w:val="2"/>
        </w:numPr>
        <w:spacing w:after="80" w:line="280"/>
      </w:pPr>
      <w:r>
        <w:t xml:space="preserve">Location</w:t>
      </w:r>
    </w:p>
    <w:p>
      <w:pPr>
        <w:pStyle w:val="ListParagraph"/>
        <w:numPr>
          <w:ilvl w:val="0"/>
          <w:numId w:val="2"/>
        </w:numPr>
        <w:spacing w:after="80" w:line="280"/>
      </w:pPr>
      <w:r>
        <w:t xml:space="preserve">Service (Business)</w:t>
      </w:r>
    </w:p>
    <w:p>
      <w:pPr>
        <w:pStyle w:val="Heading3"/>
        <w:spacing w:after="120" w:before="220"/>
      </w:pPr>
      <w:r>
        <w:rPr>
          <w:b/>
          <w:bCs/>
          <w:color w:val="404040"/>
        </w:rPr>
        <w:t xml:space="preserve">Data Architecture</w:t>
      </w:r>
    </w:p>
    <w:p>
      <w:pPr>
        <w:pStyle w:val="ListParagraph"/>
        <w:numPr>
          <w:ilvl w:val="0"/>
          <w:numId w:val="2"/>
        </w:numPr>
        <w:spacing w:after="80" w:line="280"/>
      </w:pPr>
      <w:r>
        <w:t xml:space="preserve">Data Entity</w:t>
      </w:r>
    </w:p>
    <w:p>
      <w:pPr>
        <w:pStyle w:val="ListParagraph"/>
        <w:numPr>
          <w:ilvl w:val="0"/>
          <w:numId w:val="2"/>
        </w:numPr>
        <w:spacing w:after="80" w:line="280"/>
      </w:pPr>
      <w:r>
        <w:t xml:space="preserve">Logical Data Component</w:t>
      </w:r>
    </w:p>
    <w:p>
      <w:pPr>
        <w:pStyle w:val="ListParagraph"/>
        <w:numPr>
          <w:ilvl w:val="0"/>
          <w:numId w:val="2"/>
        </w:numPr>
        <w:spacing w:after="80" w:line="280"/>
      </w:pPr>
      <w:r>
        <w:t xml:space="preserve">Physical Data Component</w:t>
      </w:r>
    </w:p>
    <w:p>
      <w:pPr>
        <w:pStyle w:val="Heading3"/>
        <w:spacing w:after="120" w:before="220"/>
      </w:pPr>
      <w:r>
        <w:rPr>
          <w:b/>
          <w:bCs/>
          <w:color w:val="404040"/>
        </w:rPr>
        <w:t xml:space="preserve">Application Architecture</w:t>
      </w:r>
    </w:p>
    <w:p>
      <w:pPr>
        <w:pStyle w:val="ListParagraph"/>
        <w:numPr>
          <w:ilvl w:val="0"/>
          <w:numId w:val="2"/>
        </w:numPr>
        <w:spacing w:after="80" w:line="280"/>
      </w:pPr>
      <w:r>
        <w:t xml:space="preserve">Logical Application Component</w:t>
      </w:r>
    </w:p>
    <w:p>
      <w:pPr>
        <w:pStyle w:val="ListParagraph"/>
        <w:numPr>
          <w:ilvl w:val="0"/>
          <w:numId w:val="2"/>
        </w:numPr>
        <w:spacing w:after="80" w:line="280"/>
      </w:pPr>
      <w:r>
        <w:t xml:space="preserve">Physical Application Component</w:t>
      </w:r>
    </w:p>
    <w:p>
      <w:pPr>
        <w:pStyle w:val="ListParagraph"/>
        <w:numPr>
          <w:ilvl w:val="0"/>
          <w:numId w:val="2"/>
        </w:numPr>
        <w:spacing w:after="80" w:line="280"/>
      </w:pPr>
      <w:r>
        <w:t xml:space="preserve">Information System Service</w:t>
      </w:r>
    </w:p>
    <w:p>
      <w:pPr>
        <w:pStyle w:val="Heading3"/>
        <w:spacing w:after="120" w:before="220"/>
      </w:pPr>
      <w:r>
        <w:rPr>
          <w:b/>
          <w:bCs/>
          <w:color w:val="404040"/>
        </w:rPr>
        <w:t xml:space="preserve">Technology Architecture</w:t>
      </w:r>
    </w:p>
    <w:p>
      <w:pPr>
        <w:pStyle w:val="ListParagraph"/>
        <w:numPr>
          <w:ilvl w:val="0"/>
          <w:numId w:val="2"/>
        </w:numPr>
        <w:spacing w:after="80" w:line="280"/>
      </w:pPr>
      <w:r>
        <w:t xml:space="preserve">Logical Technology Component</w:t>
      </w:r>
    </w:p>
    <w:p>
      <w:pPr>
        <w:pStyle w:val="ListParagraph"/>
        <w:numPr>
          <w:ilvl w:val="0"/>
          <w:numId w:val="2"/>
        </w:numPr>
        <w:spacing w:after="80" w:line="280"/>
      </w:pPr>
      <w:r>
        <w:t xml:space="preserve">Physical Technology Component</w:t>
      </w:r>
    </w:p>
    <w:p>
      <w:pPr>
        <w:pStyle w:val="ListParagraph"/>
        <w:numPr>
          <w:ilvl w:val="0"/>
          <w:numId w:val="2"/>
        </w:numPr>
        <w:spacing w:after="80" w:line="280"/>
      </w:pPr>
      <w:r>
        <w:t xml:space="preserve">Platform Service</w:t>
      </w:r>
    </w:p>
    <w:p>
      <w:pPr>
        <w:pStyle w:val="Heading3"/>
        <w:spacing w:after="120" w:before="220"/>
      </w:pPr>
      <w:r>
        <w:rPr>
          <w:b/>
          <w:bCs/>
          <w:color w:val="404040"/>
        </w:rPr>
        <w:t xml:space="preserve">Architecture Realisation</w:t>
      </w:r>
    </w:p>
    <w:p>
      <w:pPr>
        <w:pStyle w:val="ListParagraph"/>
        <w:numPr>
          <w:ilvl w:val="0"/>
          <w:numId w:val="2"/>
        </w:numPr>
        <w:spacing w:after="80" w:line="280"/>
      </w:pPr>
      <w:r>
        <w:t xml:space="preserve">Work Package</w:t>
      </w:r>
    </w:p>
    <w:p>
      <w:pPr>
        <w:pStyle w:val="ListParagraph"/>
        <w:numPr>
          <w:ilvl w:val="0"/>
          <w:numId w:val="2"/>
        </w:numPr>
        <w:spacing w:after="80" w:line="280"/>
      </w:pPr>
      <w:r>
        <w:t xml:space="preserve">Capability Increment</w:t>
      </w:r>
    </w:p>
    <w:p>
      <w:pPr>
        <w:pStyle w:val="ListParagraph"/>
        <w:numPr>
          <w:ilvl w:val="0"/>
          <w:numId w:val="2"/>
        </w:numPr>
        <w:spacing w:after="80" w:line="280"/>
      </w:pPr>
      <w:r>
        <w:t xml:space="preserve">Architecture Building Block (ABB)</w:t>
      </w:r>
    </w:p>
    <w:p>
      <w:pPr>
        <w:pStyle w:val="ListParagraph"/>
        <w:numPr>
          <w:ilvl w:val="0"/>
          <w:numId w:val="2"/>
        </w:numPr>
        <w:spacing w:after="80" w:line="280"/>
      </w:pPr>
      <w:r>
        <w:t xml:space="preserve">Solution Building Block (SBB)</w:t>
      </w:r>
    </w:p>
    <w:p>
      <w:pPr>
        <w:pStyle w:val="Heading2"/>
        <w:spacing w:after="160" w:before="280"/>
      </w:pPr>
      <w:r>
        <w:rPr>
          <w:b/>
          <w:bCs/>
          <w:color w:val="2E75B6"/>
        </w:rPr>
        <w:t xml:space="preserve">5.3 Core Relationships</w:t>
      </w:r>
    </w:p>
    <w:p>
      <w:pPr>
        <w:spacing w:after="120" w:line="300"/>
        <w:jc w:val="both"/>
      </w:pPr>
      <w:r>
        <w:t xml:space="preserve">The Metamodel defines relationships between entity types. The most important relationships, and the ones most often referenced in architecture work, include:</w:t>
      </w:r>
    </w:p>
    <w:p>
      <w:pPr>
        <w:pStyle w:val="ListParagraph"/>
        <w:numPr>
          <w:ilvl w:val="0"/>
          <w:numId w:val="2"/>
        </w:numPr>
        <w:spacing w:after="80" w:line="280"/>
      </w:pPr>
      <w:r>
        <w:t xml:space="preserve">Capability is realised by Application — a business capability is implemented by one or more applications.</w:t>
      </w:r>
    </w:p>
    <w:p>
      <w:pPr>
        <w:pStyle w:val="ListParagraph"/>
        <w:numPr>
          <w:ilvl w:val="0"/>
          <w:numId w:val="2"/>
        </w:numPr>
        <w:spacing w:after="80" w:line="280"/>
      </w:pPr>
      <w:r>
        <w:t xml:space="preserve">Application is hosted on Technology — an application runs on technology components.</w:t>
      </w:r>
    </w:p>
    <w:p>
      <w:pPr>
        <w:pStyle w:val="ListParagraph"/>
        <w:numPr>
          <w:ilvl w:val="0"/>
          <w:numId w:val="2"/>
        </w:numPr>
        <w:spacing w:after="80" w:line="280"/>
      </w:pPr>
      <w:r>
        <w:t xml:space="preserve">Application creates / reads / updates / deletes Data Entity — applications act on data.</w:t>
      </w:r>
    </w:p>
    <w:p>
      <w:pPr>
        <w:pStyle w:val="ListParagraph"/>
        <w:numPr>
          <w:ilvl w:val="0"/>
          <w:numId w:val="2"/>
        </w:numPr>
        <w:spacing w:after="80" w:line="280"/>
      </w:pPr>
      <w:r>
        <w:t xml:space="preserve">Process consumes Capability — a business process uses one or more capabilities to operate.</w:t>
      </w:r>
    </w:p>
    <w:p>
      <w:pPr>
        <w:pStyle w:val="ListParagraph"/>
        <w:numPr>
          <w:ilvl w:val="0"/>
          <w:numId w:val="2"/>
        </w:numPr>
        <w:spacing w:after="80" w:line="280"/>
      </w:pPr>
      <w:r>
        <w:t xml:space="preserve">Value Stream stage uses Capability — each stage of a value stream consumes capabilities.</w:t>
      </w:r>
    </w:p>
    <w:p>
      <w:pPr>
        <w:pStyle w:val="ListParagraph"/>
        <w:numPr>
          <w:ilvl w:val="0"/>
          <w:numId w:val="2"/>
        </w:numPr>
        <w:spacing w:after="80" w:line="280"/>
      </w:pPr>
      <w:r>
        <w:t xml:space="preserve">Organization Unit owns Capability — an organisational unit is accountable for a capability.</w:t>
      </w:r>
    </w:p>
    <w:p>
      <w:pPr>
        <w:pStyle w:val="ListParagraph"/>
        <w:numPr>
          <w:ilvl w:val="0"/>
          <w:numId w:val="2"/>
        </w:numPr>
        <w:spacing w:after="80" w:line="280"/>
      </w:pPr>
      <w:r>
        <w:t xml:space="preserve">Role performs Process — a role is the unit of accountability for process activities.</w:t>
      </w:r>
    </w:p>
    <w:p>
      <w:pPr>
        <w:pStyle w:val="ListParagraph"/>
        <w:numPr>
          <w:ilvl w:val="0"/>
          <w:numId w:val="2"/>
        </w:numPr>
        <w:spacing w:after="80" w:line="280"/>
      </w:pPr>
      <w:r>
        <w:t xml:space="preserve">Requirement is satisfied by ABB — each requirement is addressed by one or more architecture building blocks.</w:t>
      </w:r>
    </w:p>
    <w:p>
      <w:pPr>
        <w:pStyle w:val="ListParagraph"/>
        <w:numPr>
          <w:ilvl w:val="0"/>
          <w:numId w:val="2"/>
        </w:numPr>
        <w:spacing w:after="80" w:line="280"/>
      </w:pPr>
      <w:r>
        <w:t xml:space="preserve">ABB is realised by SBB — each abstract specification is implemented by a concrete solution building block.</w:t>
      </w:r>
    </w:p>
    <w:p>
      <w:pPr>
        <w:pStyle w:val="ListParagraph"/>
        <w:numPr>
          <w:ilvl w:val="0"/>
          <w:numId w:val="2"/>
        </w:numPr>
        <w:spacing w:after="80" w:line="280"/>
      </w:pPr>
      <w:r>
        <w:t xml:space="preserve">Work Package implements ABB / SBB — work packages deliver building blocks into production.</w:t>
      </w:r>
    </w:p>
    <w:p>
      <w:pPr>
        <w:pStyle w:val="ListParagraph"/>
        <w:numPr>
          <w:ilvl w:val="0"/>
          <w:numId w:val="2"/>
        </w:numPr>
        <w:spacing w:after="80" w:line="280"/>
      </w:pPr>
      <w:r>
        <w:t xml:space="preserve">Capability Increment is delivered by Work Package — each measurable improvement is the result of one or more work packages.</w:t>
      </w:r>
    </w:p>
    <w:p>
      <w:pPr>
        <w:pStyle w:val="Heading2"/>
        <w:spacing w:after="160" w:before="280"/>
      </w:pPr>
      <w:r>
        <w:rPr>
          <w:b/>
          <w:bCs/>
          <w:color w:val="2E75B6"/>
        </w:rPr>
        <w:t xml:space="preserve">5.4 The Metamodel and Tooling</w:t>
      </w:r>
    </w:p>
    <w:p>
      <w:pPr>
        <w:spacing w:after="120" w:line="300"/>
        <w:jc w:val="both"/>
      </w:pPr>
      <w:r>
        <w:t xml:space="preserve">In modern enterprises, the Metamodel is implemented in an Enterprise Architecture management tool (LeanIX, Ardoq, Bizzdesign, Sparx EA, and others). The tool provides a structured database where each entity type is a kind of object, each relationship is a kind of link, and queries can be run across the entire architecture content (e.g., "show me every Application that is not linked to any Capability" — typically a sign of orphan systems).</w:t>
      </w:r>
    </w:p>
    <w:p>
      <w:pPr>
        <w:spacing w:after="120" w:line="300"/>
        <w:jc w:val="both"/>
      </w:pPr>
      <w:r>
        <w:t xml:space="preserve">The Metamodel is what allows the tool to be useful. Without it, tools would degenerate into glorified document stores; with it, they become queryable, auditable, and analysable architecture knowledge bases.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Metamodel in Action — A Single Query</w:t>
            </w:r>
          </w:p>
          <w:p>
            <w:pPr>
              <w:spacing w:after="60" w:line="280"/>
              <w:jc w:val="both"/>
            </w:pPr>
            <w:r>
              <w:t xml:space="preserve">Question: "Which capabilities are at risk because their supporting applications are TIME=Eliminate?"</w:t>
            </w:r>
          </w:p>
          <w:p>
            <w:pPr>
              <w:spacing w:after="60" w:line="280"/>
              <w:jc w:val="both"/>
            </w:pPr>
            <w:r>
              <w:t xml:space="preserve">Walking the Metamodel: Capability → realised-by → Application → uses → Technology Component → has-classification → TIME.</w:t>
            </w:r>
          </w:p>
          <w:p>
            <w:pPr>
              <w:spacing w:after="60" w:line="280"/>
              <w:jc w:val="both"/>
            </w:pPr>
            <w:r>
              <w:t xml:space="preserve">The query traverses three relationships and one attribute. Without a Metamodel, this would be five spreadsheets and a manual reconciliation taking days. With a Metamodel implemented in a tool, it is a single query taking seconds.</w:t>
            </w:r>
          </w:p>
          <w:p>
            <w:pPr>
              <w:spacing w:after="60" w:line="280"/>
              <w:jc w:val="both"/>
            </w:pPr>
            <w:r>
              <w:t xml:space="preserve">Sample result: "Customer Onboarding capability is at risk because its supporting Application — Legacy Onboarding System — uses Technology Component Sybase ASE which is classified TIME=Eliminate. Risk owner: Head of Operations. Remediation: scheduled in WP-007."</w:t>
            </w:r>
          </w:p>
          <w:p>
            <w:pPr>
              <w:spacing w:after="60" w:line="280"/>
              <w:jc w:val="both"/>
            </w:pPr>
            <w:r>
              <w:t xml:space="preserve">This is what the Metamodel buys: queryability of architecture content. Every modern EA tool depends on it.</w:t>
            </w:r>
          </w:p>
        </w:tc>
      </w:tr>
    </w:tbl>
    <w:p>
      <w:r>
        <w:br w:type="page"/>
      </w:r>
    </w:p>
    <w:p>
      <w:pPr>
        <w:pStyle w:val="Heading1"/>
        <w:spacing w:after="200" w:before="360"/>
      </w:pPr>
      <w:r>
        <w:rPr>
          <w:b/>
          <w:bCs/>
          <w:color w:val="1F4E78"/>
        </w:rPr>
        <w:t xml:space="preserve">6. The Traceability Chain — Goal → Capability → Application → Technology</w:t>
      </w:r>
    </w:p>
    <w:p>
      <w:pPr>
        <w:spacing w:after="120" w:line="300"/>
        <w:jc w:val="both"/>
      </w:pPr>
      <w:r>
        <w:t xml:space="preserve">Traceability is the property that every architectural element can be linked, upward and downward, to the elements that motivate or implement it. The most-cited traceability chain in TOGAF runs vertically through the four BDAT domains: Goal → Capability → Application → Technology. This chain is what allows the architecture to demonstrate that every business goal is addressed and every technology choice is justified.</w:t>
      </w:r>
    </w:p>
    <w:p>
      <w:pPr>
        <w:pStyle w:val="Heading2"/>
        <w:spacing w:after="160" w:before="280"/>
      </w:pPr>
      <w:r>
        <w:rPr>
          <w:b/>
          <w:bCs/>
          <w:color w:val="2E75B6"/>
        </w:rPr>
        <w:t xml:space="preserve">6.1 What Traceability Means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2F2F2" w:val="clear"/>
            <w:tcMar>
              <w:top w:type="dxa" w:w="120"/>
              <w:left w:type="dxa" w:w="160"/>
              <w:bottom w:type="dxa" w:w="120"/>
              <w:right w:type="dxa" w:w="160"/>
            </w:tcMar>
          </w:tcPr>
          <w:p>
            <w:pPr>
              <w:spacing w:after="60"/>
            </w:pPr>
            <w:r>
              <w:rPr>
                <w:b/>
                <w:bCs/>
                <w:color w:val="1F4E78"/>
              </w:rPr>
              <w:t xml:space="preserve">🔑 Traceability: </w:t>
            </w:r>
            <w:r>
              <w:t xml:space="preserve">The property of architecture content that every element can be linked, upward to the goals and requirements that motivate it, and downward to the implementations that realise it. Achieved through the relationships defined in the Architecture Content Metamodel and the discipline of capturing those relationships in every artefact produced.</w:t>
            </w:r>
          </w:p>
        </w:tc>
      </w:tr>
    </w:tbl>
    <w:p>
      <w:pPr>
        <w:spacing w:after="120" w:line="300"/>
        <w:jc w:val="both"/>
      </w:pPr>
      <w:r>
        <w:t xml:space="preserve">Without traceability, architecture decisions cannot be defended. "Why are we buying this technology?" — a defensible answer says "because it implements Application X, which supports Capability Y, which is required by Goal Z." An indefensible answer says "because we always have." Traceability is what makes the defensible answer possible.</w:t>
      </w:r>
    </w:p>
    <w:p>
      <w:pPr>
        <w:pStyle w:val="Heading2"/>
        <w:spacing w:after="160" w:before="280"/>
      </w:pPr>
      <w:r>
        <w:rPr>
          <w:b/>
          <w:bCs/>
          <w:color w:val="2E75B6"/>
        </w:rPr>
        <w:t xml:space="preserve">6.2 The Vertical Chain</w:t>
      </w:r>
    </w:p>
    <w:p>
      <w:pPr>
        <w:spacing w:after="120" w:line="300"/>
        <w:jc w:val="both"/>
      </w:pPr>
      <w:r>
        <w:t xml:space="preserve">The most-tested traceability chain runs through the four BDAT domains, in this order:</w:t>
      </w:r>
    </w:p>
    <w:p>
      <w:pPr>
        <w:pStyle w:val="ListParagraph"/>
        <w:numPr>
          <w:ilvl w:val="0"/>
          <w:numId w:val="3"/>
        </w:numPr>
        <w:spacing w:after="80" w:line="280"/>
      </w:pPr>
      <w:r>
        <w:t xml:space="preserve">Goal — a strategic business objective the enterprise has committed to (e.g., "reduce customer onboarding cost by 60% within two years").</w:t>
      </w:r>
    </w:p>
    <w:p>
      <w:pPr>
        <w:pStyle w:val="ListParagraph"/>
        <w:numPr>
          <w:ilvl w:val="0"/>
          <w:numId w:val="3"/>
        </w:numPr>
        <w:spacing w:after="80" w:line="280"/>
      </w:pPr>
      <w:r>
        <w:t xml:space="preserve">Capability — the business capability that the goal depends on (e.g., "Customer Onboarding").</w:t>
      </w:r>
    </w:p>
    <w:p>
      <w:pPr>
        <w:pStyle w:val="ListParagraph"/>
        <w:numPr>
          <w:ilvl w:val="0"/>
          <w:numId w:val="3"/>
        </w:numPr>
        <w:spacing w:after="80" w:line="280"/>
      </w:pPr>
      <w:r>
        <w:t xml:space="preserve">Application — the application(s) that realise the capability (e.g., "Onboarding Orchestrator").</w:t>
      </w:r>
    </w:p>
    <w:p>
      <w:pPr>
        <w:pStyle w:val="ListParagraph"/>
        <w:numPr>
          <w:ilvl w:val="0"/>
          <w:numId w:val="3"/>
        </w:numPr>
        <w:spacing w:after="80" w:line="280"/>
      </w:pPr>
      <w:r>
        <w:t xml:space="preserve">Technology — the technology component(s) on which the application runs (e.g., "Kubernetes cluster on AWS eu-west-2").</w:t>
      </w:r>
    </w:p>
    <w:p>
      <w:pPr>
        <w:spacing w:after="120" w:line="300"/>
        <w:jc w:val="both"/>
      </w:pPr>
      <w:r>
        <w:t xml:space="preserve">The chain reads in both directions. Reading downward, it shows that a goal is implemented through a capability, which is realised by an application, which runs on a technology. Reading upward, it shows that a technology supports an application, which realises a capability, which contributes to a goal.</w:t>
      </w:r>
    </w:p>
    <w:p>
      <w:pPr>
        <w:pStyle w:val="Heading2"/>
        <w:spacing w:after="160" w:before="280"/>
      </w:pPr>
      <w:r>
        <w:rPr>
          <w:b/>
          <w:bCs/>
          <w:color w:val="2E75B6"/>
        </w:rPr>
        <w:t xml:space="preserve">6.3 The Chain Visualised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400"/>
        <w:gridCol w:w="3300"/>
        <w:gridCol w:w="2160"/>
      </w:tblGrid>
      <w:tr>
        <w:trPr>
          <w:tblHeader/>
        </w:trPr>
        <w:tc>
          <w:tcPr>
            <w:tcW w:type="dxa" w:w="15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Level</w:t>
            </w:r>
          </w:p>
        </w:tc>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Domain</w:t>
            </w:r>
          </w:p>
        </w:tc>
        <w:tc>
          <w:tcPr>
            <w:tcW w:type="dxa" w:w="33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Question Answered</w:t>
            </w:r>
          </w:p>
        </w:tc>
        <w:tc>
          <w:tcPr>
            <w:tcW w:type="dxa" w:w="21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Example</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Goal</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Strategy / Vision</w:t>
            </w:r>
          </w:p>
        </w:tc>
        <w:tc>
          <w:tcPr>
            <w:tcW w:type="dxa" w:w="3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Why does this matter to the business?</w:t>
            </w:r>
          </w:p>
        </w:tc>
        <w:tc>
          <w:tcPr>
            <w:tcW w:type="dxa" w:w="2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"Reduce onboarding cost by 60% in 2 years"</w:t>
            </w:r>
          </w:p>
        </w:tc>
      </w:tr>
      <w:tr>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Capability</w:t>
            </w:r>
          </w:p>
        </w:tc>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Business Architecture</w:t>
            </w:r>
          </w:p>
        </w:tc>
        <w:tc>
          <w:tcPr>
            <w:tcW w:type="dxa" w:w="33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What can the enterprise do that delivers this?</w:t>
            </w:r>
          </w:p>
        </w:tc>
        <w:tc>
          <w:tcPr>
            <w:tcW w:type="dxa" w:w="21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"Customer Onboarding"</w:t>
            </w:r>
          </w:p>
        </w:tc>
      </w:tr>
      <w:tr>
        <w:tc>
          <w:tcPr>
            <w:tcW w:type="dxa" w:w="15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Application</w:t>
            </w:r>
          </w:p>
        </w:tc>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Application Architecture</w:t>
            </w:r>
          </w:p>
        </w:tc>
        <w:tc>
          <w:tcPr>
            <w:tcW w:type="dxa" w:w="33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What system realises this capability?</w:t>
            </w:r>
          </w:p>
        </w:tc>
        <w:tc>
          <w:tcPr>
            <w:tcW w:type="dxa" w:w="21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"Onboarding Orchestrator"</w:t>
            </w:r>
          </w:p>
        </w:tc>
      </w:tr>
      <w:tr>
        <w:tc>
          <w:tcPr>
            <w:tcW w:type="dxa" w:w="15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Technology</w:t>
            </w:r>
          </w:p>
        </w:tc>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Technology Architecture</w:t>
            </w:r>
          </w:p>
        </w:tc>
        <w:tc>
          <w:tcPr>
            <w:tcW w:type="dxa" w:w="33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What technology supports this system?</w:t>
            </w:r>
          </w:p>
        </w:tc>
        <w:tc>
          <w:tcPr>
            <w:tcW w:type="dxa" w:w="21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"Kubernetes on AWS eu-west-2"</w:t>
            </w:r>
          </w:p>
        </w:tc>
      </w:tr>
    </w:tbl>
    <w:p>
      <w:pPr>
        <w:pStyle w:val="Heading2"/>
        <w:spacing w:after="160" w:before="280"/>
      </w:pPr>
      <w:r>
        <w:rPr>
          <w:b/>
          <w:bCs/>
          <w:color w:val="2E75B6"/>
        </w:rPr>
        <w:t xml:space="preserve">6.4 Why Traceability Matters</w:t>
      </w:r>
    </w:p>
    <w:p>
      <w:pPr>
        <w:spacing w:after="120" w:line="300"/>
        <w:jc w:val="both"/>
      </w:pPr>
      <w:r>
        <w:t xml:space="preserve">Three concrete uses of traceability in practice:</w:t>
      </w:r>
    </w:p>
    <w:p>
      <w:pPr>
        <w:pStyle w:val="Heading3"/>
        <w:spacing w:after="120" w:before="220"/>
      </w:pPr>
      <w:r>
        <w:rPr>
          <w:b/>
          <w:bCs/>
          <w:color w:val="404040"/>
        </w:rPr>
        <w:t xml:space="preserve">Use 1: Defending Architecture Decisions</w:t>
      </w:r>
    </w:p>
    <w:p>
      <w:pPr>
        <w:spacing w:after="120" w:line="300"/>
        <w:jc w:val="both"/>
      </w:pPr>
      <w:r>
        <w:t xml:space="preserve">Every architectural choice is defensible by walking up the chain. A challenged technology choice is defended by reference to the application it supports; the application is defended by reference to the capability it realises; the capability is defended by reference to the goal it serves. If the chain breaks anywhere — a technology that is not linked to an application, an application that does not realise a capability, a capability that does not serve a goal — that element is, by definition, indefensible. It is a candidate for elimination.</w:t>
      </w:r>
    </w:p>
    <w:p>
      <w:pPr>
        <w:pStyle w:val="Heading3"/>
        <w:spacing w:after="120" w:before="220"/>
      </w:pPr>
      <w:r>
        <w:rPr>
          <w:b/>
          <w:bCs/>
          <w:color w:val="404040"/>
        </w:rPr>
        <w:t xml:space="preserve">Use 2: Impact Analysis</w:t>
      </w:r>
    </w:p>
    <w:p>
      <w:pPr>
        <w:spacing w:after="120" w:line="300"/>
        <w:jc w:val="both"/>
      </w:pPr>
      <w:r>
        <w:t xml:space="preserve">When a change is proposed at any level, the chain reveals the impact. Retiring a goal cascades downward: which capabilities are affected, which applications, which technologies? Replacing a technology cascades upward: which applications run on it, which capabilities depend on those applications, which goals are at risk? This is the foundation of the Requirements Impact Assessment from Module 8.</w:t>
      </w:r>
    </w:p>
    <w:p>
      <w:pPr>
        <w:pStyle w:val="Heading3"/>
        <w:spacing w:after="120" w:before="220"/>
      </w:pPr>
      <w:r>
        <w:rPr>
          <w:b/>
          <w:bCs/>
          <w:color w:val="404040"/>
        </w:rPr>
        <w:t xml:space="preserve">Use 3: Investment Justification</w:t>
      </w:r>
    </w:p>
    <w:p>
      <w:pPr>
        <w:spacing w:after="120" w:line="300"/>
        <w:jc w:val="both"/>
      </w:pPr>
      <w:r>
        <w:t xml:space="preserve">Every Work Package can be justified by the chain it implements. A Work Package that delivers an Application supports a Capability, which serves a Goal. Investment Committee conversations become rigorous: "This work supports Goal G via Capability C via Application A via Technology T." Investment that cannot be traced through the chain is investment in something the architecture does not see — a sign of either drift or a missing architectural element.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24"/>
              <w:bottom w:val="single" w:color="2E75B6" w:sz="8"/>
              <w:right w:val="single" w:color="2E75B6" w:sz="4"/>
            </w:tcBorders>
            <w:shd w:fill="EAF1F8" w:val="clear"/>
            <w:tcMar>
              <w:top w:type="dxa" w:w="160"/>
              <w:left w:type="dxa" w:w="200"/>
              <w:bottom w:type="dxa" w:w="160"/>
              <w:right w:type="dxa" w:w="200"/>
            </w:tcMar>
          </w:tcPr>
          <w:p>
            <w:pPr>
              <w:spacing w:after="100"/>
            </w:pPr>
            <w:r>
              <w:rPr>
                <w:b/>
                <w:bCs/>
                <w:color w:val="1F4E78"/>
              </w:rPr>
              <w:t xml:space="preserve">▶ A Full Traceability Chain in Action</w:t>
            </w:r>
          </w:p>
          <w:p>
            <w:pPr>
              <w:spacing w:after="60" w:line="280"/>
              <w:jc w:val="both"/>
            </w:pPr>
            <w:r>
              <w:t xml:space="preserve">Goal (from corporate strategy): "Increase digital onboarding completion rate from 33% to 70% by end of 2027."</w:t>
            </w:r>
          </w:p>
          <w:p>
            <w:pPr>
              <w:spacing w:after="60" w:line="280"/>
              <w:jc w:val="both"/>
            </w:pPr>
            <w:r>
              <w:t xml:space="preserve">Linked Capability: "Customer Onboarding" (Level 2, owned by Head of Retail). Maturity score 2.5 of 5.</w:t>
            </w:r>
          </w:p>
          <w:p>
            <w:pPr>
              <w:spacing w:after="60" w:line="280"/>
              <w:jc w:val="both"/>
            </w:pPr>
            <w:r>
              <w:t xml:space="preserve">Linked Applications: "Onboarding Orchestrator" (NEW — to be built); "Identity Verification Service" (NEW); "CRM" (existing, MODIFIED to expose real-time API).</w:t>
            </w:r>
          </w:p>
          <w:p>
            <w:pPr>
              <w:spacing w:after="60" w:line="280"/>
              <w:jc w:val="both"/>
            </w:pPr>
            <w:r>
              <w:t xml:space="preserve">Linked Technology Components: "Kubernetes Container Platform" (TIME=Invest); "Kafka Event Streaming" (TIME=Invest); "Onfido Identity Platform" (vendor SBB realising the Identity Verification ABB); "AWS eu-west-2 Cloud Region" (Foundation infrastructure).</w:t>
            </w:r>
          </w:p>
          <w:p>
            <w:pPr>
              <w:spacing w:after="60" w:line="280"/>
              <w:jc w:val="both"/>
            </w:pPr>
            <w:r>
              <w:t xml:space="preserve">The chain in narrative: "To reach 70% completion (Goal), we modernise Customer Onboarding (Capability) by building the Onboarding Orchestrator (Application), which runs on Kubernetes (Technology). The architecture is therefore investing in Kubernetes — defensibly, because the chain leads to a corporate goal."</w:t>
            </w:r>
          </w:p>
          <w:p>
            <w:pPr>
              <w:spacing w:after="60" w:line="280"/>
              <w:jc w:val="both"/>
            </w:pPr>
            <w:r>
              <w:t xml:space="preserve">Reverse direction: "If we deprecate Kubernetes (Technology), the Onboarding Orchestrator (Application) loses its host. Without the Orchestrator, the Customer Onboarding capability cannot be modernised. Without that modernisation, the 70% completion goal is at risk." The chain is what makes this analysis quick rather than month-long.</w:t>
            </w:r>
          </w:p>
        </w:tc>
      </w:tr>
    </w:tbl>
    <w:p>
      <w:pPr>
        <w:pStyle w:val="Heading2"/>
        <w:spacing w:after="160" w:before="280"/>
      </w:pPr>
      <w:r>
        <w:rPr>
          <w:b/>
          <w:bCs/>
          <w:color w:val="2E75B6"/>
        </w:rPr>
        <w:t xml:space="preserve">6.5 Common Traceability Failures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0000" w:sz="8"/>
              <w:left w:val="single" w:color="C00000" w:sz="24"/>
              <w:bottom w:val="single" w:color="C00000" w:sz="8"/>
              <w:right w:val="single" w:color="C00000" w:sz="4"/>
            </w:tcBorders>
            <w:shd w:fill="FCE4E4" w:val="clear"/>
            <w:tcMar>
              <w:top w:type="dxa" w:w="160"/>
              <w:left w:type="dxa" w:w="200"/>
              <w:bottom w:type="dxa" w:w="160"/>
              <w:right w:type="dxa" w:w="200"/>
            </w:tcMar>
          </w:tcPr>
          <w:p>
            <w:pPr>
              <w:spacing w:after="80"/>
            </w:pPr>
            <w:r>
              <w:rPr>
                <w:b/>
                <w:bCs/>
                <w:color w:val="8B0000"/>
              </w:rPr>
              <w:t xml:space="preserve">⚠ Symptoms of Broken Traceability</w:t>
            </w:r>
          </w:p>
          <w:p>
            <w:pPr>
              <w:spacing w:after="60" w:line="280"/>
              <w:jc w:val="both"/>
            </w:pPr>
            <w:r>
              <w:t xml:space="preserve">Symptom 1: Goals with no linked capabilities. Strategic objectives stated in the Architecture Vision but never traced to specific business capabilities. The architecture cannot show how the strategy will be executed.</w:t>
            </w:r>
          </w:p>
          <w:p>
            <w:pPr>
              <w:spacing w:after="60" w:line="280"/>
              <w:jc w:val="both"/>
            </w:pPr>
            <w:r>
              <w:t xml:space="preserve">Symptom 2: Applications with no linked capabilities. The Application Portfolio Catalogue lists 47 applications but only 38 are linked to capabilities. The other 9 are orphans — possibly redundant, possibly dark-IT, possibly serving capabilities that were never catalogued. All warrant investigation.</w:t>
            </w:r>
          </w:p>
          <w:p>
            <w:pPr>
              <w:spacing w:after="60" w:line="280"/>
              <w:jc w:val="both"/>
            </w:pPr>
            <w:r>
              <w:t xml:space="preserve">Symptom 3: Technology components with no linked applications. The Technology Standards Catalogue lists 200 components but 50 have no application using them. Either they are unused (candidates for retirement), or applications are running them without being catalogued (Application Portfolio is incomplete).</w:t>
            </w:r>
          </w:p>
          <w:p>
            <w:pPr>
              <w:spacing w:after="60" w:line="280"/>
              <w:jc w:val="both"/>
            </w:pPr>
            <w:r>
              <w:t xml:space="preserve">Symptom 4: Work Packages with no linked goals. Investment is being spent on architecture work that cannot be traced to a strategic objective. Either the work is genuinely orphan (and should be reconsidered), or the goals are incomplete (and should be extended).</w:t>
            </w:r>
          </w:p>
          <w:p>
            <w:pPr>
              <w:spacing w:after="60" w:line="280"/>
              <w:jc w:val="both"/>
            </w:pPr>
            <w:r>
              <w:t xml:space="preserve">A robust architecture practice runs periodic traceability audits — typically quarterly — to find and remediate these breaks before they accumulate.</w:t>
            </w:r>
          </w:p>
        </w:tc>
      </w:tr>
    </w:tbl>
    <w:p>
      <w:r>
        <w:br w:type="page"/>
      </w:r>
    </w:p>
    <w:p>
      <w:pPr>
        <w:pStyle w:val="Heading1"/>
        <w:spacing w:after="200" w:before="360"/>
      </w:pPr>
      <w:r>
        <w:rPr>
          <w:b/>
          <w:bCs/>
          <w:color w:val="1F4E78"/>
        </w:rPr>
        <w:t xml:space="preserve">7. Summary and Review</w:t>
      </w:r>
    </w:p>
    <w:p>
      <w:pPr>
        <w:pStyle w:val="Heading2"/>
        <w:spacing w:after="160" w:before="280"/>
      </w:pPr>
      <w:r>
        <w:rPr>
          <w:b/>
          <w:bCs/>
          <w:color w:val="2E75B6"/>
        </w:rPr>
        <w:t xml:space="preserve">7.1 The Big Picture</w:t>
      </w:r>
    </w:p>
    <w:p>
      <w:pPr>
        <w:spacing w:after="120" w:line="300"/>
        <w:jc w:val="both"/>
      </w:pPr>
      <w:r>
        <w:t xml:space="preserve">The Architecture Content Framework is the complementary structure to the ADM. Where the ADM specifies the activities, the Content Framework specifies the outputs — the structure, form, and classification of every artefact the ADM creates. Three categories of content nest: Deliverables (signed off) contain Artifacts (work products) which describe Building Blocks (reusable components). Three artifact types form a precise taxonomy: Catalogs (lists), Matrices (cross-mappings), and Diagrams (visuals). Building Blocks come in two kinds: ABBs (WHAT, technology-agnostic, in the Architecture Continuum) and SBBs (HOW, product-specific, in the Solutions Continuum). The Architecture Content Metamodel formalises the entity types and relationships that hold the structure together; the traceability chain Goal → Capability → Application → Technology runs through it, making every architecture decision defensible.</w:t>
      </w:r>
    </w:p>
    <w:p>
      <w:pPr>
        <w:pStyle w:val="Heading2"/>
        <w:spacing w:after="160" w:before="280"/>
      </w:pPr>
      <w:r>
        <w:rPr>
          <w:b/>
          <w:bCs/>
          <w:color w:val="2E75B6"/>
        </w:rPr>
        <w:t xml:space="preserve">7.2 Quick-Reference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Topic</w:t>
            </w:r>
          </w:p>
        </w:tc>
        <w:tc>
          <w:tcPr>
            <w:tcW w:type="dxa" w:w="6960"/>
            <w:tcBorders>
              <w:top w:val="single" w:color="999999" w:sz="4"/>
              <w:left w:val="single" w:color="999999" w:sz="4"/>
              <w:bottom w:val="single" w:color="999999" w:sz="4"/>
              <w:right w:val="single" w:color="999999" w:sz="4"/>
            </w:tcBorders>
            <w:shd w:fill="1F4E78" w:val="clear"/>
            <w:tcMar>
              <w:top w:type="dxa" w:w="100"/>
              <w:left w:type="dxa" w:w="120"/>
              <w:bottom w:type="dxa" w:w="100"/>
              <w:right w:type="dxa" w:w="120"/>
            </w:tcMar>
          </w:tcPr>
          <w:p>
            <w:r>
              <w:rPr>
                <w:b/>
                <w:bCs/>
                <w:color w:val="FFFFFF"/>
              </w:rPr>
              <w:t xml:space="preserve">Takeaway</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Three categories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Deliverable (signed off) → contains Artifacts → which describe Building Blocks. Nested, not parallel.</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Deliverable</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Formal contracted output, signed off by stakeholders. Examples: ADD, Roadmap, Architecture Vision, SoAW.</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Artifact</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Work product within a Deliverable. Three types: Catalog, Matrix, Diagram.</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Building Block</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Reusable architecture component. Two kinds: ABB and SBB.</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Catalog</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List of one element type with metadata. Answers: what do we have?</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Matrix</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Cross-mapping of two element types. Answers: how does X relate to Y?</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Diagram</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Visual depiction of elements and relationships. Answers: what does this look like?</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ABB</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Building Block. Defines WHAT. Technology-agnostic. Lives in Architecture Continuum.</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SBB</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Solution Building Block. Defines HOW. Product-specific. Lives in Solutions Continuum.</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ABB / SBB pairing</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Each SBB fulfils an ABB. The same ABB can be fulfilled by different SBBs over time as products change.</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Continuum locations</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ABBs in Architecture Continuum; SBBs in Solutions Continuum. Putting them in the wrong Continuum breaks the model.</w:t>
            </w:r>
          </w:p>
        </w:tc>
      </w:tr>
      <w:tr>
        <w:tc>
          <w:tcPr>
            <w:tcW w:type="dxa" w:w="240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Architecture Content Metamodel</w:t>
            </w:r>
          </w:p>
        </w:tc>
        <w:tc>
          <w:tcPr>
            <w:tcW w:type="dxa" w:w="6960"/>
            <w:tcBorders>
              <w:top w:val="single" w:color="999999" w:sz="4"/>
              <w:left w:val="single" w:color="999999" w:sz="4"/>
              <w:bottom w:val="single" w:color="999999" w:sz="4"/>
              <w:right w:val="single" w:color="999999" w:sz="4"/>
            </w:tcBorders>
            <w:shd w:fill="EAF1F8" w:val="clear"/>
            <w:tcMar>
              <w:top w:type="dxa" w:w="80"/>
              <w:left w:type="dxa" w:w="120"/>
              <w:bottom w:type="dxa" w:w="80"/>
              <w:right w:type="dxa" w:w="120"/>
            </w:tcMar>
          </w:tcPr>
          <w:p>
            <w:pPr>
              <w:spacing w:after="40" w:line="260"/>
            </w:pPr>
            <w:r>
              <w:t xml:space="preserve">Formal model of entity types (Capability, Application, etc.) and relationships (realised-by, runs-on, etc.). Implemented in EA tooling.</w:t>
            </w:r>
          </w:p>
        </w:tc>
      </w:tr>
      <w:tr>
        <w:tc>
          <w:tcPr>
            <w:tcW w:type="dxa" w:w="240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Traceability chain</w:t>
            </w:r>
          </w:p>
        </w:tc>
        <w:tc>
          <w:tcPr>
            <w:tcW w:type="dxa" w:w="6960"/>
            <w:tcBorders>
              <w:top w:val="single" w:color="999999" w:sz="4"/>
              <w:left w:val="single" w:color="999999" w:sz="4"/>
              <w:bottom w:val="single" w:color="999999" w:sz="4"/>
              <w:right w:val="single" w:color="999999" w:sz="4"/>
            </w:tcBorders>
            <w:shd w:fill="FFFFFF" w:val="clear"/>
            <w:tcMar>
              <w:top w:type="dxa" w:w="80"/>
              <w:left w:type="dxa" w:w="120"/>
              <w:bottom w:type="dxa" w:w="80"/>
              <w:right w:type="dxa" w:w="120"/>
            </w:tcMar>
          </w:tcPr>
          <w:p>
            <w:pPr>
              <w:spacing w:after="40" w:line="260"/>
            </w:pPr>
            <w:r>
              <w:t xml:space="preserve">Goal → Capability → Application → Technology. Reads both ways. Defends decisions, supports impact analysis, justifies investment.</w:t>
            </w:r>
          </w:p>
        </w:tc>
      </w:tr>
    </w:tbl>
    <w:p>
      <w:pPr>
        <w:pStyle w:val="Heading2"/>
        <w:spacing w:after="160" w:before="280"/>
      </w:pPr>
      <w:r>
        <w:rPr>
          <w:b/>
          <w:bCs/>
          <w:color w:val="2E75B6"/>
        </w:rPr>
        <w:t xml:space="preserve">7.3 Self-Test Questions</w:t>
      </w:r>
    </w:p>
    <w:p>
      <w:pPr>
        <w:pStyle w:val="ListParagraph"/>
        <w:numPr>
          <w:ilvl w:val="0"/>
          <w:numId w:val="3"/>
        </w:numPr>
        <w:spacing w:after="80" w:line="280"/>
      </w:pPr>
      <w:r>
        <w:t xml:space="preserve">Name the three categories of content in the Content Framework and the relationship between them.</w:t>
      </w:r>
    </w:p>
    <w:p>
      <w:pPr>
        <w:pStyle w:val="ListParagraph"/>
        <w:numPr>
          <w:ilvl w:val="0"/>
          <w:numId w:val="3"/>
        </w:numPr>
        <w:spacing w:after="80" w:line="280"/>
      </w:pPr>
      <w:r>
        <w:t xml:space="preserve">Define each of the three artifact types and give one example of each.</w:t>
      </w:r>
    </w:p>
    <w:p>
      <w:pPr>
        <w:pStyle w:val="ListParagraph"/>
        <w:numPr>
          <w:ilvl w:val="0"/>
          <w:numId w:val="3"/>
        </w:numPr>
        <w:spacing w:after="80" w:line="280"/>
      </w:pPr>
      <w:r>
        <w:t xml:space="preserve">If a stakeholder asks "how do our applications support our business capabilities?", which artifact type do you produce and why?</w:t>
      </w:r>
    </w:p>
    <w:p>
      <w:pPr>
        <w:pStyle w:val="ListParagraph"/>
        <w:numPr>
          <w:ilvl w:val="0"/>
          <w:numId w:val="3"/>
        </w:numPr>
        <w:spacing w:after="80" w:line="280"/>
      </w:pPr>
      <w:r>
        <w:t xml:space="preserve">State the one-sentence distinction between an ABB and an SBB.</w:t>
      </w:r>
    </w:p>
    <w:p>
      <w:pPr>
        <w:pStyle w:val="ListParagraph"/>
        <w:numPr>
          <w:ilvl w:val="0"/>
          <w:numId w:val="3"/>
        </w:numPr>
        <w:spacing w:after="80" w:line="280"/>
      </w:pPr>
      <w:r>
        <w:t xml:space="preserve">Where does an ABB live? Where does an SBB live? Why does this matter?</w:t>
      </w:r>
    </w:p>
    <w:p>
      <w:pPr>
        <w:pStyle w:val="ListParagraph"/>
        <w:numPr>
          <w:ilvl w:val="0"/>
          <w:numId w:val="3"/>
        </w:numPr>
        <w:spacing w:after="80" w:line="280"/>
      </w:pPr>
      <w:r>
        <w:t xml:space="preserve">Give an example of an ABB and a corresponding SBB that fulfils it. Why is the separation valuable?</w:t>
      </w:r>
    </w:p>
    <w:p>
      <w:pPr>
        <w:pStyle w:val="ListParagraph"/>
        <w:numPr>
          <w:ilvl w:val="0"/>
          <w:numId w:val="3"/>
        </w:numPr>
        <w:spacing w:after="80" w:line="280"/>
      </w:pPr>
      <w:r>
        <w:t xml:space="preserve">Define the Architecture Content Metamodel. Why does it matter for tooling?</w:t>
      </w:r>
    </w:p>
    <w:p>
      <w:pPr>
        <w:pStyle w:val="ListParagraph"/>
        <w:numPr>
          <w:ilvl w:val="0"/>
          <w:numId w:val="3"/>
        </w:numPr>
        <w:spacing w:after="80" w:line="280"/>
      </w:pPr>
      <w:r>
        <w:t xml:space="preserve">State the four-element traceability chain in order, with the question each element answers.</w:t>
      </w:r>
    </w:p>
    <w:p>
      <w:pPr>
        <w:pStyle w:val="ListParagraph"/>
        <w:numPr>
          <w:ilvl w:val="0"/>
          <w:numId w:val="3"/>
        </w:numPr>
        <w:spacing w:after="80" w:line="280"/>
      </w:pPr>
      <w:r>
        <w:t xml:space="preserve">Give two concrete uses of traceability in architecture practice.</w:t>
      </w:r>
    </w:p>
    <w:p>
      <w:pPr>
        <w:pStyle w:val="ListParagraph"/>
        <w:numPr>
          <w:ilvl w:val="0"/>
          <w:numId w:val="3"/>
        </w:numPr>
        <w:spacing w:after="80" w:line="280"/>
      </w:pPr>
      <w:r>
        <w:t xml:space="preserve">Name three symptoms of broken traceability and what they indicate.</w:t>
      </w:r>
    </w:p>
    <w:p>
      <w:pPr>
        <w:pStyle w:val="Heading2"/>
        <w:spacing w:after="160" w:before="280"/>
      </w:pPr>
      <w:r>
        <w:rPr>
          <w:b/>
          <w:bCs/>
          <w:color w:val="2E75B6"/>
        </w:rPr>
        <w:t xml:space="preserve">7.4 Closing Note</w:t>
      </w:r>
    </w:p>
    <w:p>
      <w:pPr>
        <w:spacing w:after="120" w:line="300"/>
        <w:jc w:val="both"/>
      </w:pPr>
      <w:r>
        <w:t xml:space="preserve">Module 9 has covered the structure of architecture content. The next module turns to the Enterprise Continuum and the Architecture Repository — the storage and classification structures that hold all of this content together. Once the structure (this module) and the storage (the next) are in place, the rest of the body of knowledge — Architecture Capability Framework, Governance, Reference Models, supporting techniques — sits naturally on top. Make sure you can recite the three categories, the three artifact types, the ABB/SBB distinction, the two Continuum locations, and the four-element traceability chain from memory before moving on.</w:t>
      </w:r>
    </w:p>
    <w:p>
      <w:pPr>
        <w:spacing w:after="120"/>
      </w:pPr>
      <w:r>
        <w:t xml:space="preserve"/>
      </w:r>
    </w:p>
    <w:p>
      <w:pPr>
        <w:spacing w:before="400"/>
        <w:jc w:val="center"/>
      </w:pPr>
      <w:r>
        <w:rPr>
          <w:i/>
          <w:iCs/>
          <w:color w:val="808080"/>
        </w:rPr>
        <w:t xml:space="preserve">— End of Module 9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t xml:space="preserve">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08080"/>
        <w:sz w:val="18"/>
        <w:szCs w:val="18"/>
      </w:rPr>
      <w:t xml:space="preserve">TOGAF Module 9: Architecture Content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8"/>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2E75B6"/>
      <w:sz w:val="30"/>
      <w:szCs w:val="30"/>
    </w:rPr>
  </w:style>
  <w:style w:type="paragraph" w:styleId="Heading3">
    <w:name w:val="Heading 3"/>
    <w:basedOn w:val="Normal"/>
    <w:next w:val="Normal"/>
    <w:qFormat/>
    <w:pPr>
      <w:spacing w:after="120" w:before="220"/>
      <w:outlineLvl w:val="2"/>
    </w:pPr>
    <w:rPr>
      <w:rFonts w:ascii="Calibri" w:cs="Calibri" w:eastAsia="Calibri" w:hAnsi="Calibri"/>
      <w:b/>
      <w:bCs/>
      <w:color w:val="404040"/>
      <w:sz w:val="26"/>
      <w:szCs w:val="26"/>
    </w:rPr>
  </w:style>
  <w:style w:type="paragraph" w:styleId="Heading4">
    <w:name w:val="Heading 4"/>
    <w:basedOn w:val="Normal"/>
    <w:next w:val="Normal"/>
    <w:qFormat/>
    <w:pPr>
      <w:spacing w:after="80" w:before="160"/>
      <w:outlineLvl w:val="3"/>
    </w:pPr>
    <w:rPr>
      <w:rFonts w:ascii="Calibri" w:cs="Calibri" w:eastAsia="Calibri" w:hAnsi="Calibri"/>
      <w:b/>
      <w:bCs/>
      <w:i/>
      <w:iCs/>
      <w:color w:val="59595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TOGAF Module 9 Study Guide</dc:title>
  <dc:creator>Claude</dc:creator>
  <dc:description>Comprehensive study guide for the Architecture Content Framework</dc:description>
  <cp:lastModifiedBy>Un-named</cp:lastModifiedBy>
  <cp:revision>1</cp:revision>
  <dcterms:created xsi:type="dcterms:W3CDTF">2026-05-02T14:49:40.038Z</dcterms:created>
  <dcterms:modified xsi:type="dcterms:W3CDTF">2026-05-02T14:49:40.083Z</dcterms:modified>
</cp:coreProperties>
</file>

<file path=docProps/custom.xml><?xml version="1.0" encoding="utf-8"?>
<Properties xmlns="http://schemas.openxmlformats.org/officeDocument/2006/custom-properties" xmlns:vt="http://schemas.openxmlformats.org/officeDocument/2006/docPropsVTypes"/>
</file>