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2E75B6"/>
          <w:sz w:val="32"/>
          <w:szCs w:val="32"/>
        </w:rPr>
        <w:t xml:space="preserve">STUDY GUIDE</w:t>
      </w:r>
    </w:p>
    <w:p>
      <w:pPr>
        <w:spacing w:after="240"/>
        <w:jc w:val="center"/>
      </w:pPr>
      <w:r>
        <w:rPr>
          <w:b/>
          <w:bCs/>
          <w:color w:val="595959"/>
          <w:sz w:val="28"/>
          <w:szCs w:val="28"/>
        </w:rPr>
        <w:t xml:space="preserve">DORA &amp; Engineering Metrics — Module 1</w:t>
      </w:r>
    </w:p>
    <w:p>
      <w:pPr>
        <w:spacing w:after="360"/>
        <w:jc w:val="center"/>
      </w:pPr>
      <w:r>
        <w:rPr>
          <w:b/>
          <w:bCs/>
          <w:color w:val="1F3864"/>
          <w:sz w:val="56"/>
          <w:szCs w:val="56"/>
        </w:rPr>
        <w:t xml:space="preserve">The DORA Research</w:t>
      </w:r>
    </w:p>
    <w:p>
      <w:pPr>
        <w:spacing w:after="480"/>
        <w:jc w:val="center"/>
      </w:pPr>
      <w:r>
        <w:rPr>
          <w:i/>
          <w:iCs/>
          <w:color w:val="595959"/>
          <w:sz w:val="28"/>
          <w:szCs w:val="28"/>
        </w:rPr>
        <w:t xml:space="preserve">A Comprehensive, In-Depth Study Guide</w:t>
      </w:r>
    </w:p>
    <w:p>
      <w:pPr>
        <w:spacing w:after="240"/>
        <w:jc w:val="center"/>
      </w:pPr>
      <w:r>
        <w:rPr>
          <w:color w:val="404040"/>
          <w:sz w:val="22"/>
          <w:szCs w:val="22"/>
        </w:rPr>
        <w:t xml:space="preserve">Covering: Origins of the Research, Accelerate, the State of DevOps Reports,</w:t>
      </w:r>
    </w:p>
    <w:p>
      <w:pPr>
        <w:spacing w:after="800"/>
        <w:jc w:val="center"/>
      </w:pPr>
      <w:r>
        <w:rPr>
          <w:color w:val="404040"/>
          <w:sz w:val="22"/>
          <w:szCs w:val="22"/>
        </w:rPr>
        <w:t xml:space="preserve">Methodology, Core Findings, and the Performance-vs-Business-Outcome Link</w:t>
      </w:r>
    </w:p>
    <w:p>
      <w:r>
        <w:br w:type="page"/>
      </w:r>
    </w:p>
    <w:p>
      <w:pPr>
        <w:pStyle w:val="Heading1"/>
        <w:spacing w:after="180" w:before="360"/>
      </w:pPr>
      <w:r>
        <w:t xml:space="preserve">Table of Contents</w:t>
      </w:r>
    </w:p>
    <w:p>
      <w:pPr>
        <w:spacing w:after="80"/>
      </w:pPr>
      <w:r>
        <w:rPr>
          <w:b/>
          <w:bCs/>
          <w:color w:val="1F3864"/>
          <w:sz w:val="22"/>
          <w:szCs w:val="22"/>
        </w:rPr>
        <w:t xml:space="preserve">1. Introduction: Why DORA Matters</w:t>
      </w:r>
    </w:p>
    <w:p>
      <w:pPr>
        <w:spacing w:after="80"/>
      </w:pPr>
      <w:r>
        <w:rPr>
          <w:b/>
          <w:bCs/>
          <w:color w:val="1F3864"/>
          <w:sz w:val="22"/>
          <w:szCs w:val="22"/>
        </w:rPr>
        <w:t xml:space="preserve">2. What DORA Is</w:t>
      </w:r>
    </w:p>
    <w:p>
      <w:pPr>
        <w:spacing w:after="80"/>
        <w:ind w:left="360"/>
      </w:pPr>
      <w:r>
        <w:rPr>
          <w:b w:val="false"/>
          <w:bCs w:val="false"/>
          <w:color w:val="595959"/>
          <w:sz w:val="22"/>
          <w:szCs w:val="22"/>
        </w:rPr>
        <w:t xml:space="preserve">   2.1  The Acronym and the Group</w:t>
      </w:r>
    </w:p>
    <w:p>
      <w:pPr>
        <w:spacing w:after="80"/>
        <w:ind w:left="360"/>
      </w:pPr>
      <w:r>
        <w:rPr>
          <w:b w:val="false"/>
          <w:bCs w:val="false"/>
          <w:color w:val="595959"/>
          <w:sz w:val="22"/>
          <w:szCs w:val="22"/>
        </w:rPr>
        <w:t xml:space="preserve">   2.2  Founding Researchers</w:t>
      </w:r>
    </w:p>
    <w:p>
      <w:pPr>
        <w:spacing w:after="80"/>
        <w:ind w:left="360"/>
      </w:pPr>
      <w:r>
        <w:rPr>
          <w:b w:val="false"/>
          <w:bCs w:val="false"/>
          <w:color w:val="595959"/>
          <w:sz w:val="22"/>
          <w:szCs w:val="22"/>
        </w:rPr>
        <w:t xml:space="preserve">   2.3  Acquisition by Google Cloud</w:t>
      </w:r>
    </w:p>
    <w:p>
      <w:pPr>
        <w:spacing w:after="80"/>
      </w:pPr>
      <w:r>
        <w:rPr>
          <w:b/>
          <w:bCs/>
          <w:color w:val="1F3864"/>
          <w:sz w:val="22"/>
          <w:szCs w:val="22"/>
        </w:rPr>
        <w:t xml:space="preserve">3. The Accelerate Book</w:t>
      </w:r>
    </w:p>
    <w:p>
      <w:pPr>
        <w:spacing w:after="80"/>
        <w:ind w:left="360"/>
      </w:pPr>
      <w:r>
        <w:rPr>
          <w:b w:val="false"/>
          <w:bCs w:val="false"/>
          <w:color w:val="595959"/>
          <w:sz w:val="22"/>
          <w:szCs w:val="22"/>
        </w:rPr>
        <w:t xml:space="preserve">   3.1  What the Book Is</w:t>
      </w:r>
    </w:p>
    <w:p>
      <w:pPr>
        <w:spacing w:after="80"/>
        <w:ind w:left="360"/>
      </w:pPr>
      <w:r>
        <w:rPr>
          <w:b w:val="false"/>
          <w:bCs w:val="false"/>
          <w:color w:val="595959"/>
          <w:sz w:val="22"/>
          <w:szCs w:val="22"/>
        </w:rPr>
        <w:t xml:space="preserve">   3.2  Why It Matters</w:t>
      </w:r>
    </w:p>
    <w:p>
      <w:pPr>
        <w:spacing w:after="80"/>
        <w:ind w:left="360"/>
      </w:pPr>
      <w:r>
        <w:rPr>
          <w:b w:val="false"/>
          <w:bCs w:val="false"/>
          <w:color w:val="595959"/>
          <w:sz w:val="22"/>
          <w:szCs w:val="22"/>
        </w:rPr>
        <w:t xml:space="preserve">   3.3  How to Read It</w:t>
      </w:r>
    </w:p>
    <w:p>
      <w:pPr>
        <w:spacing w:after="80"/>
      </w:pPr>
      <w:r>
        <w:rPr>
          <w:b/>
          <w:bCs/>
          <w:color w:val="1F3864"/>
          <w:sz w:val="22"/>
          <w:szCs w:val="22"/>
        </w:rPr>
        <w:t xml:space="preserve">4. The State of DevOps Reports</w:t>
      </w:r>
    </w:p>
    <w:p>
      <w:pPr>
        <w:spacing w:after="80"/>
        <w:ind w:left="360"/>
      </w:pPr>
      <w:r>
        <w:rPr>
          <w:b w:val="false"/>
          <w:bCs w:val="false"/>
          <w:color w:val="595959"/>
          <w:sz w:val="22"/>
          <w:szCs w:val="22"/>
        </w:rPr>
        <w:t xml:space="preserve">   4.1  A Decade-Plus of Annual Research</w:t>
      </w:r>
    </w:p>
    <w:p>
      <w:pPr>
        <w:spacing w:after="80"/>
        <w:ind w:left="360"/>
      </w:pPr>
      <w:r>
        <w:rPr>
          <w:b w:val="false"/>
          <w:bCs w:val="false"/>
          <w:color w:val="595959"/>
          <w:sz w:val="22"/>
          <w:szCs w:val="22"/>
        </w:rPr>
        <w:t xml:space="preserve">   4.2  How the Reports Have Evolved</w:t>
      </w:r>
    </w:p>
    <w:p>
      <w:pPr>
        <w:spacing w:after="80"/>
        <w:ind w:left="360"/>
      </w:pPr>
      <w:r>
        <w:rPr>
          <w:b w:val="false"/>
          <w:bCs w:val="false"/>
          <w:color w:val="595959"/>
          <w:sz w:val="22"/>
          <w:szCs w:val="22"/>
        </w:rPr>
        <w:t xml:space="preserve">   4.3  The 2024 Report</w:t>
      </w:r>
    </w:p>
    <w:p>
      <w:pPr>
        <w:spacing w:after="80"/>
        <w:ind w:left="360"/>
      </w:pPr>
      <w:r>
        <w:rPr>
          <w:b w:val="false"/>
          <w:bCs w:val="false"/>
          <w:color w:val="595959"/>
          <w:sz w:val="22"/>
          <w:szCs w:val="22"/>
        </w:rPr>
        <w:t xml:space="preserve">   4.4  The 2025 Shift to Team Archetypes</w:t>
      </w:r>
    </w:p>
    <w:p>
      <w:pPr>
        <w:spacing w:after="80"/>
      </w:pPr>
      <w:r>
        <w:rPr>
          <w:b/>
          <w:bCs/>
          <w:color w:val="1F3864"/>
          <w:sz w:val="22"/>
          <w:szCs w:val="22"/>
        </w:rPr>
        <w:t xml:space="preserve">5. The Scientific Approach</w:t>
      </w:r>
    </w:p>
    <w:p>
      <w:pPr>
        <w:spacing w:after="80"/>
        <w:ind w:left="360"/>
      </w:pPr>
      <w:r>
        <w:rPr>
          <w:b w:val="false"/>
          <w:bCs w:val="false"/>
          <w:color w:val="595959"/>
          <w:sz w:val="22"/>
          <w:szCs w:val="22"/>
        </w:rPr>
        <w:t xml:space="preserve">   5.1  Why a Scientific Approach Was Necessary</w:t>
      </w:r>
    </w:p>
    <w:p>
      <w:pPr>
        <w:spacing w:after="80"/>
        <w:ind w:left="360"/>
      </w:pPr>
      <w:r>
        <w:rPr>
          <w:b w:val="false"/>
          <w:bCs w:val="false"/>
          <w:color w:val="595959"/>
          <w:sz w:val="22"/>
          <w:szCs w:val="22"/>
        </w:rPr>
        <w:t xml:space="preserve">   5.2  Survey-Based Methodology</w:t>
      </w:r>
    </w:p>
    <w:p>
      <w:pPr>
        <w:spacing w:after="80"/>
        <w:ind w:left="360"/>
      </w:pPr>
      <w:r>
        <w:rPr>
          <w:b w:val="false"/>
          <w:bCs w:val="false"/>
          <w:color w:val="595959"/>
          <w:sz w:val="22"/>
          <w:szCs w:val="22"/>
        </w:rPr>
        <w:t xml:space="preserve">   5.3  Statistical Techniques</w:t>
      </w:r>
    </w:p>
    <w:p>
      <w:pPr>
        <w:spacing w:after="80"/>
        <w:ind w:left="360"/>
      </w:pPr>
      <w:r>
        <w:rPr>
          <w:b w:val="false"/>
          <w:bCs w:val="false"/>
          <w:color w:val="595959"/>
          <w:sz w:val="22"/>
          <w:szCs w:val="22"/>
        </w:rPr>
        <w:t xml:space="preserve">   5.4  Predictive vs. Descriptive Metrics</w:t>
      </w:r>
    </w:p>
    <w:p>
      <w:pPr>
        <w:spacing w:after="80"/>
      </w:pPr>
      <w:r>
        <w:rPr>
          <w:b/>
          <w:bCs/>
          <w:color w:val="1F3864"/>
          <w:sz w:val="22"/>
          <w:szCs w:val="22"/>
        </w:rPr>
        <w:t xml:space="preserve">6. The Core Finding: Four Metrics That Predict Performance</w:t>
      </w:r>
    </w:p>
    <w:p>
      <w:pPr>
        <w:spacing w:after="80"/>
        <w:ind w:left="360"/>
      </w:pPr>
      <w:r>
        <w:rPr>
          <w:b w:val="false"/>
          <w:bCs w:val="false"/>
          <w:color w:val="595959"/>
          <w:sz w:val="22"/>
          <w:szCs w:val="22"/>
        </w:rPr>
        <w:t xml:space="preserve">   6.1  The Four Keys at a Glance</w:t>
      </w:r>
    </w:p>
    <w:p>
      <w:pPr>
        <w:spacing w:after="80"/>
        <w:ind w:left="360"/>
      </w:pPr>
      <w:r>
        <w:rPr>
          <w:b w:val="false"/>
          <w:bCs w:val="false"/>
          <w:color w:val="595959"/>
          <w:sz w:val="22"/>
          <w:szCs w:val="22"/>
        </w:rPr>
        <w:t xml:space="preserve">   6.2  Throughput and Stability — Both at Once</w:t>
      </w:r>
    </w:p>
    <w:p>
      <w:pPr>
        <w:spacing w:after="80"/>
        <w:ind w:left="360"/>
      </w:pPr>
      <w:r>
        <w:rPr>
          <w:b w:val="false"/>
          <w:bCs w:val="false"/>
          <w:color w:val="595959"/>
          <w:sz w:val="22"/>
          <w:szCs w:val="22"/>
        </w:rPr>
        <w:t xml:space="preserve">   6.3  The Refinement of the Metrics Over Time</w:t>
      </w:r>
    </w:p>
    <w:p>
      <w:pPr>
        <w:spacing w:after="80"/>
      </w:pPr>
      <w:r>
        <w:rPr>
          <w:b/>
          <w:bCs/>
          <w:color w:val="1F3864"/>
          <w:sz w:val="22"/>
          <w:szCs w:val="22"/>
        </w:rPr>
        <w:t xml:space="preserve">7. Performance Correlates with Business Outcomes</w:t>
      </w:r>
    </w:p>
    <w:p>
      <w:pPr>
        <w:spacing w:after="80"/>
        <w:ind w:left="360"/>
      </w:pPr>
      <w:r>
        <w:rPr>
          <w:b w:val="false"/>
          <w:bCs w:val="false"/>
          <w:color w:val="595959"/>
          <w:sz w:val="22"/>
          <w:szCs w:val="22"/>
        </w:rPr>
        <w:t xml:space="preserve">   7.1  The Business-Outcome Findings</w:t>
      </w:r>
    </w:p>
    <w:p>
      <w:pPr>
        <w:spacing w:after="80"/>
        <w:ind w:left="360"/>
      </w:pPr>
      <w:r>
        <w:rPr>
          <w:b w:val="false"/>
          <w:bCs w:val="false"/>
          <w:color w:val="595959"/>
          <w:sz w:val="22"/>
          <w:szCs w:val="22"/>
        </w:rPr>
        <w:t xml:space="preserve">   7.2  Why This Link Mattered</w:t>
      </w:r>
    </w:p>
    <w:p>
      <w:pPr>
        <w:spacing w:after="80"/>
        <w:ind w:left="360"/>
      </w:pPr>
      <w:r>
        <w:rPr>
          <w:b w:val="false"/>
          <w:bCs w:val="false"/>
          <w:color w:val="595959"/>
          <w:sz w:val="22"/>
          <w:szCs w:val="22"/>
        </w:rPr>
        <w:t xml:space="preserve">   7.3  How DORA Established the Causal Chain</w:t>
      </w:r>
    </w:p>
    <w:p>
      <w:pPr>
        <w:spacing w:after="80"/>
      </w:pPr>
      <w:r>
        <w:rPr>
          <w:b/>
          <w:bCs/>
          <w:color w:val="1F3864"/>
          <w:sz w:val="22"/>
          <w:szCs w:val="22"/>
        </w:rPr>
        <w:t xml:space="preserve">8. The Headline Numbers: 200x and 2600x</w:t>
      </w:r>
    </w:p>
    <w:p>
      <w:pPr>
        <w:spacing w:after="80"/>
        <w:ind w:left="360"/>
      </w:pPr>
      <w:r>
        <w:rPr>
          <w:b w:val="false"/>
          <w:bCs w:val="false"/>
          <w:color w:val="595959"/>
          <w:sz w:val="22"/>
          <w:szCs w:val="22"/>
        </w:rPr>
        <w:t xml:space="preserve">   8.1  Where the Numbers Come From</w:t>
      </w:r>
    </w:p>
    <w:p>
      <w:pPr>
        <w:spacing w:after="80"/>
        <w:ind w:left="360"/>
      </w:pPr>
      <w:r>
        <w:rPr>
          <w:b w:val="false"/>
          <w:bCs w:val="false"/>
          <w:color w:val="595959"/>
          <w:sz w:val="22"/>
          <w:szCs w:val="22"/>
        </w:rPr>
        <w:t xml:space="preserve">   8.2  What They Mean and What They Don't</w:t>
      </w:r>
    </w:p>
    <w:p>
      <w:pPr>
        <w:spacing w:after="80"/>
        <w:ind w:left="360"/>
      </w:pPr>
      <w:r>
        <w:rPr>
          <w:b w:val="false"/>
          <w:bCs w:val="false"/>
          <w:color w:val="595959"/>
          <w:sz w:val="22"/>
          <w:szCs w:val="22"/>
        </w:rPr>
        <w:t xml:space="preserve">   8.3  Why These Numbers Changed the Industry Conversation</w:t>
      </w:r>
    </w:p>
    <w:p>
      <w:pPr>
        <w:spacing w:after="80"/>
      </w:pPr>
      <w:r>
        <w:rPr>
          <w:b/>
          <w:bCs/>
          <w:color w:val="1F3864"/>
          <w:sz w:val="22"/>
          <w:szCs w:val="22"/>
        </w:rPr>
        <w:t xml:space="preserve">9. End-to-End Worked Example: 'Meridian Software' Discovers DORA</w:t>
      </w:r>
    </w:p>
    <w:p>
      <w:pPr>
        <w:spacing w:after="80"/>
      </w:pPr>
      <w:r>
        <w:rPr>
          <w:b/>
          <w:bCs/>
          <w:color w:val="1F3864"/>
          <w:sz w:val="22"/>
          <w:szCs w:val="22"/>
        </w:rPr>
        <w:t xml:space="preserve">10. Common Misunderstandings of the DORA Research</w:t>
      </w:r>
    </w:p>
    <w:p>
      <w:pPr>
        <w:spacing w:after="80"/>
      </w:pPr>
      <w:r>
        <w:rPr>
          <w:b/>
          <w:bCs/>
          <w:color w:val="1F3864"/>
          <w:sz w:val="22"/>
          <w:szCs w:val="22"/>
        </w:rPr>
        <w:t xml:space="preserve">11. Quick-Reference Summary</w:t>
      </w:r>
    </w:p>
    <w:p>
      <w:pPr>
        <w:spacing w:after="80"/>
      </w:pPr>
      <w:r>
        <w:rPr>
          <w:b/>
          <w:bCs/>
          <w:color w:val="1F3864"/>
          <w:sz w:val="22"/>
          <w:szCs w:val="22"/>
        </w:rPr>
        <w:t xml:space="preserve">12. Self-Test Questions</w:t>
      </w:r>
    </w:p>
    <w:p>
      <w:r>
        <w:br w:type="page"/>
      </w:r>
    </w:p>
    <w:p>
      <w:pPr>
        <w:pStyle w:val="Heading1"/>
        <w:spacing w:after="180" w:before="360"/>
      </w:pPr>
      <w:r>
        <w:t xml:space="preserve">1. Introduction: Why DORA Matters</w:t>
      </w:r>
    </w:p>
    <w:p>
      <w:pPr>
        <w:spacing w:after="120" w:line="320"/>
        <w:jc w:val="both"/>
      </w:pPr>
      <w:r>
        <w:t xml:space="preserve">Software engineering, for most of its history, has been long on opinions and short on evidence. Senior engineers and consultants would tell you 'fast deployments cause more failures' or 'big batches reduce risk' or 'mature teams move slower' — and you had no real way to argue. The arguments rested on intuition, individual experience, and rhetorical flair. Whoever was the most senior or the most persuasive in the room won. Many of these widely-held beliefs turned out to be wrong, but proving them wrong required something the field largely lacked: rigorous, reproducible, statistically valid research.</w:t>
      </w:r>
    </w:p>
    <w:p>
      <w:pPr>
        <w:spacing w:after="120" w:line="320"/>
        <w:jc w:val="both"/>
      </w:pPr>
      <w:r>
        <w:t xml:space="preserve">The DORA program changed this. Beginning in 2014, a small team of researchers — initially independent, later acquired by Google Cloud — began conducting structured surveys of engineering professionals at scale, applying real statistical analysis, and publishing what they found. Over the following decade, they accumulated data from tens of thousands of respondents across thousands of organizations and built what is now the largest body of empirical research on software delivery performance ever assembled. Their findings overturned conventional wisdom on multiple fronts and gave the industry, for the first time, a vocabulary for software-delivery performance grounded in evidence rather than opinion.</w:t>
      </w:r>
    </w:p>
    <w:p>
      <w:pPr>
        <w:spacing w:after="120" w:line="320"/>
        <w:jc w:val="both"/>
      </w:pPr>
      <w:r>
        <w:t xml:space="preserve">This module is the first in a curriculum on engineering metrics, and DORA is the natural starting point. The metrics most platform teams measure today, the language most engineering leaders use to describe performance, and the empirical case for investments in continuous delivery, automation, and platform engineering — all of these trace, in significant part, to the DORA research. Understanding DORA is therefore not optional knowledge for an engineering leader or platform engineer. It is the bedrock from which most modern conversations about engineering effectiveness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DEEAF6" w:val="clear"/>
            <w:tcMar>
              <w:top w:type="dxa" w:w="140"/>
              <w:left w:type="dxa" w:w="200"/>
              <w:bottom w:type="dxa" w:w="140"/>
              <w:right w:type="dxa" w:w="200"/>
            </w:tcMar>
          </w:tcPr>
          <w:p>
            <w:pPr>
              <w:spacing w:after="80"/>
            </w:pPr>
            <w:r>
              <w:rPr>
                <w:b/>
                <w:bCs/>
                <w:color w:val="1F3864"/>
                <w:sz w:val="22"/>
                <w:szCs w:val="22"/>
              </w:rPr>
              <w:t xml:space="preserve">Key Insight</w:t>
            </w:r>
          </w:p>
          <w:p>
            <w:pPr>
              <w:spacing w:after="0" w:line="300"/>
            </w:pPr>
            <w:r>
              <w:rPr>
                <w:sz w:val="22"/>
                <w:szCs w:val="22"/>
              </w:rPr>
              <w:t xml:space="preserve">DORA's enduring contribution is not specific metric thresholds — those have changed across reports, and the 2025 report dropped the elite-tier framework entirely. The contribution is the methodology: a scientific approach that demonstrated, repeatedly and rigorously, that software delivery performance is measurable, that some practices reliably produce better performance than others, and that better performance reliably produces better business outcomes.</w:t>
            </w:r>
          </w:p>
        </w:tc>
      </w:tr>
    </w:tbl>
    <w:p>
      <w:pPr>
        <w:pStyle w:val="Heading1"/>
        <w:spacing w:after="180" w:before="360"/>
      </w:pPr>
      <w:r>
        <w:t xml:space="preserve">2. What DORA Is</w:t>
      </w:r>
    </w:p>
    <w:p>
      <w:pPr>
        <w:pStyle w:val="Heading2"/>
        <w:spacing w:after="140" w:before="280"/>
      </w:pPr>
      <w:r>
        <w:t xml:space="preserve">2.1 The Acronym and the Group</w:t>
      </w:r>
    </w:p>
    <w:p>
      <w:pPr>
        <w:spacing w:after="120" w:line="320"/>
        <w:jc w:val="both"/>
      </w:pPr>
      <w:r>
        <w:t xml:space="preserve">DORA originally stood for 'DevOps Research and Assessment'. It began as an independent research program in 2014, organized around the goal of applying scientific methodology to the question of what makes software delivery effective. The name was practical rather than catchy — it described what the group did. Over the years the acronym has occasionally been said to stand for slightly different phrases, but the core meaning has stayed consistent: a research program studying DevOps and engineering performance.</w:t>
      </w:r>
    </w:p>
    <w:p>
      <w:pPr>
        <w:spacing w:after="120" w:line="320"/>
        <w:jc w:val="both"/>
      </w:pPr>
      <w:r>
        <w:t xml:space="preserve">The original DORA group was small — initially three researchers and a handful of supporting contributors. They published their findings in annual 'State of DevOps' reports beginning in 2014, with later reports running into the hundreds of pages and serving as the most-cited source on the topic for years afterward. The reports established DORA as the authoritative voice on engineering performance research, a position the program continues to hold today.</w:t>
      </w:r>
    </w:p>
    <w:p>
      <w:pPr>
        <w:pStyle w:val="Heading2"/>
        <w:spacing w:after="140" w:before="280"/>
      </w:pPr>
      <w:r>
        <w:t xml:space="preserve">2.2 Founding Researchers</w:t>
      </w:r>
    </w:p>
    <w:p>
      <w:pPr>
        <w:spacing w:after="120" w:line="320"/>
        <w:jc w:val="both"/>
      </w:pPr>
      <w:r>
        <w:t xml:space="preserve">Three researchers are particularly associated with the founding of DORA and the establishment of its methodology: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Researcher</w:t>
            </w:r>
          </w:p>
        </w:tc>
        <w:tc>
          <w:tcPr>
            <w:tcW w:type="dxa" w:w="666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Background and Contribution</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Nicole Forsgren</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PhD in management information systems; the lead researcher behind DORA's statistical methodology. Forsgren designed the surveys, validated the constructs, and ran the analysis that produced the four key metrics. Her academic rigor is what gave DORA's findings credibility outside the practitioner community.</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Jez Humble</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Co-author of 'Continuous Delivery' (2010), one of the foundational books on modern software delivery. Brought practitioner depth to DORA's framework and helped translate research findings into actionable practices.</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Gene Kim</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Co-author of 'The Phoenix Project' (a novelized DevOps narrative) and 'The DevOps Handbook'. Brought storytelling, organizational context, and the broader DevOps movement's perspective. Kim founded IT Revolution Press, which published Accelerate.</w:t>
            </w:r>
          </w:p>
        </w:tc>
      </w:tr>
    </w:tbl>
    <w:p>
      <w:pPr>
        <w:spacing w:after="120" w:line="320"/>
        <w:jc w:val="both"/>
      </w:pPr>
      <w:r>
        <w:t xml:space="preserve"/>
      </w:r>
    </w:p>
    <w:p>
      <w:pPr>
        <w:spacing w:after="120" w:line="320"/>
        <w:jc w:val="both"/>
      </w:pPr>
      <w:r>
        <w:t xml:space="preserve">This combination of academic rigor (Forsgren), engineering practice (Humble), and movement-building (Kim) was unusually powerful. Forsgren's statistical methods made the research credible; Humble's practitioner authority made it actionable; Kim's narrative ability made it shareable. None of them alone would have produced what DORA became; together they produced something genuinely new in the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FFF2CC" w:val="clear"/>
            <w:tcMar>
              <w:top w:type="dxa" w:w="140"/>
              <w:left w:type="dxa" w:w="200"/>
              <w:bottom w:type="dxa" w:w="140"/>
              <w:right w:type="dxa" w:w="200"/>
            </w:tcMar>
          </w:tcPr>
          <w:p>
            <w:pPr>
              <w:spacing w:after="80"/>
            </w:pPr>
            <w:r>
              <w:rPr>
                <w:b/>
                <w:bCs/>
                <w:color w:val="1F3864"/>
                <w:sz w:val="22"/>
                <w:szCs w:val="22"/>
              </w:rPr>
              <w:t xml:space="preserve">On the SPACE Connection</w:t>
            </w:r>
          </w:p>
          <w:p>
            <w:pPr>
              <w:spacing w:after="0" w:line="300"/>
            </w:pPr>
            <w:r>
              <w:rPr>
                <w:sz w:val="22"/>
                <w:szCs w:val="22"/>
              </w:rPr>
              <w:t xml:space="preserve">Several years after Accelerate, Nicole Forsgren co-authored the 2021 SPACE paper covered earlier in this curriculum. SPACE was, in part, a response to misuses of the DORA research — organizations were treating the four DORA metrics as the complete picture of productivity, when DORA itself had always been clear that productivity was multidimensional. The same researcher behind the rigorous DORA work pushed back on its over-simplification.</w:t>
            </w:r>
          </w:p>
        </w:tc>
      </w:tr>
    </w:tbl>
    <w:p>
      <w:pPr>
        <w:pStyle w:val="Heading2"/>
        <w:spacing w:after="140" w:before="280"/>
      </w:pPr>
      <w:r>
        <w:t xml:space="preserve">2.3 Acquisition by Google Cloud</w:t>
      </w:r>
    </w:p>
    <w:p>
      <w:pPr>
        <w:spacing w:after="120" w:line="320"/>
        <w:jc w:val="both"/>
      </w:pPr>
      <w:r>
        <w:t xml:space="preserve">In 2018, Google Cloud acquired DORA, and the program transitioned from being an independent research operation to being part of Google Cloud's broader cloud-and-DevOps offering. The acquisition continued the research with significant additional resources — Google's reach, infrastructure, and access to enterprise customers gave the DORA program a level of data and audience that an independent team could not have sustained alone.</w:t>
      </w:r>
    </w:p>
    <w:p>
      <w:pPr>
        <w:spacing w:after="120" w:line="320"/>
        <w:jc w:val="both"/>
      </w:pPr>
      <w:r>
        <w:t xml:space="preserve">Some practitioners worried at the time that the acquisition would compromise the research's neutrality, but the State of DevOps reports have continued to be published as research output rather than as marketing material for Google products. The reports remain freely available from Google Cloud's website, and the methodology has continued to evolve in the direction of greater rigor and broader scope rather than narrowing to fit Google's commercial interests.</w:t>
      </w:r>
    </w:p>
    <w:p>
      <w:pPr>
        <w:spacing w:after="120" w:line="320"/>
        <w:jc w:val="both"/>
      </w:pPr>
      <w:r>
        <w:t xml:space="preserve">Today, the DORA research operates as part of Google Cloud's broader engineering-effectiveness work. The annual reports continue; supporting tooling has been developed (the DORA Quick Check, the DORA Capabilities Catalog); and DORA's methodology continues to influence research at other organizations and academic institutions.</w:t>
      </w:r>
    </w:p>
    <w:p>
      <w:r>
        <w:br w:type="page"/>
      </w:r>
    </w:p>
    <w:p>
      <w:pPr>
        <w:pStyle w:val="Heading1"/>
        <w:spacing w:after="180" w:before="360"/>
      </w:pPr>
      <w:r>
        <w:t xml:space="preserve">3. The Accelerate Book</w:t>
      </w:r>
    </w:p>
    <w:p>
      <w:pPr>
        <w:pStyle w:val="Heading2"/>
        <w:spacing w:after="140" w:before="280"/>
      </w:pPr>
      <w:r>
        <w:t xml:space="preserve">3.1 What the Book Is</w:t>
      </w:r>
    </w:p>
    <w:p>
      <w:pPr>
        <w:spacing w:after="120" w:line="320"/>
        <w:jc w:val="both"/>
      </w:pPr>
      <w:r>
        <w:t xml:space="preserve">'Accelerate: The Science of Lean Software and DevOps — Building and Scaling High Performing Technology Organizations,' published in March 2018 by IT Revolution Press, is the foundational book of the DORA research. Authored by Forsgren, Humble, and Kim, the book consolidated four years of DORA findings into a single, accessible volume. It is, in effect, the canonical reference for the early DORA work — the first place a reader new to the field should go to understand what the research actually said and why it mattered.</w:t>
      </w:r>
    </w:p>
    <w:p>
      <w:pPr>
        <w:spacing w:after="120" w:line="320"/>
        <w:jc w:val="both"/>
      </w:pPr>
      <w:r>
        <w:t xml:space="preserve">The book is short by technical-book standards (roughly 250 pages), and structured deliberately to serve multiple audiences. The first part presents the findings in plain language: what predicts software delivery performance, what predicts business outcomes, what the four key metrics are. The second part walks through the practices and capabilities the research identifies as drivers of high performance. The third part — often skipped by casual readers but valuable for anyone evaluating the research's credibility — explains the statistical methodology in detail, including survey design, construct validation, and the latent constructs the analysis depends on.</w:t>
      </w:r>
    </w:p>
    <w:p>
      <w:pPr>
        <w:pStyle w:val="Heading2"/>
        <w:spacing w:after="140" w:before="280"/>
      </w:pPr>
      <w:r>
        <w:t xml:space="preserve">3.2 Why It Matters</w:t>
      </w:r>
    </w:p>
    <w:p>
      <w:pPr>
        <w:spacing w:after="120" w:line="320"/>
        <w:jc w:val="both"/>
      </w:pPr>
      <w:r>
        <w:t xml:space="preserve">Accelerate's importance comes from several factors that, in combination, made it unusually influential.</w:t>
      </w:r>
    </w:p>
    <w:p>
      <w:pPr>
        <w:pStyle w:val="ListParagraph"/>
        <w:numPr>
          <w:ilvl w:val="0"/>
          <w:numId w:val="2"/>
        </w:numPr>
        <w:spacing w:after="80" w:line="300"/>
      </w:pPr>
      <w:r>
        <w:t xml:space="preserve">Empirical credibility: the book did not rely on opinion or anecdote. It presented statistically validated findings from large-sample surveys, with full transparency about methodology. This was a sharp departure from the typical software-engineering management book.</w:t>
      </w:r>
    </w:p>
    <w:p>
      <w:pPr>
        <w:pStyle w:val="ListParagraph"/>
        <w:numPr>
          <w:ilvl w:val="0"/>
          <w:numId w:val="2"/>
        </w:numPr>
        <w:spacing w:after="80" w:line="300"/>
      </w:pPr>
      <w:r>
        <w:t xml:space="preserve">Counterintuitive findings: the book demonstrated that several widely-held beliefs about software delivery were wrong. The most striking: speed and stability are not in tension. Elite teams are simultaneously fast AND stable. This single finding reshaped how the industry thought about delivery quality.</w:t>
      </w:r>
    </w:p>
    <w:p>
      <w:pPr>
        <w:pStyle w:val="ListParagraph"/>
        <w:numPr>
          <w:ilvl w:val="0"/>
          <w:numId w:val="2"/>
        </w:numPr>
        <w:spacing w:after="80" w:line="300"/>
      </w:pPr>
      <w:r>
        <w:t xml:space="preserve">Specific metrics: the book introduced the four key metrics — deployment frequency, lead time for changes, change failure rate, mean time to restore — that have since become the industry standard for measuring software delivery performance.</w:t>
      </w:r>
    </w:p>
    <w:p>
      <w:pPr>
        <w:pStyle w:val="ListParagraph"/>
        <w:numPr>
          <w:ilvl w:val="0"/>
          <w:numId w:val="2"/>
        </w:numPr>
        <w:spacing w:after="80" w:line="300"/>
      </w:pPr>
      <w:r>
        <w:t xml:space="preserve">Connection to business outcomes: the book demonstrated that high software delivery performance correlated with better business outcomes, including profitability, market share, and customer satisfaction. This made software delivery a strategic, not just operational, concern.</w:t>
      </w:r>
    </w:p>
    <w:p>
      <w:pPr>
        <w:pStyle w:val="ListParagraph"/>
        <w:numPr>
          <w:ilvl w:val="0"/>
          <w:numId w:val="2"/>
        </w:numPr>
        <w:spacing w:after="80" w:line="300"/>
      </w:pPr>
      <w:r>
        <w:t xml:space="preserve">Practical guidance: alongside the empirical findings, the book identified the practices and capabilities that drive high performance — automated testing, trunk-based development, loosely coupled architecture, generative culture, and many more.</w:t>
      </w:r>
    </w:p>
    <w:p>
      <w:pPr>
        <w:pStyle w:val="ListParagraph"/>
        <w:numPr>
          <w:ilvl w:val="0"/>
          <w:numId w:val="2"/>
        </w:numPr>
        <w:spacing w:after="80" w:line="300"/>
      </w:pPr>
      <w:r>
        <w:t xml:space="preserve">Methodological transparency: the book explained how the research was done, allowing readers to evaluate the findings on their merits rather than taking them on authority.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E2EFDA" w:val="clear"/>
            <w:tcMar>
              <w:top w:type="dxa" w:w="140"/>
              <w:left w:type="dxa" w:w="200"/>
              <w:bottom w:type="dxa" w:w="140"/>
              <w:right w:type="dxa" w:w="200"/>
            </w:tcMar>
          </w:tcPr>
          <w:p>
            <w:pPr>
              <w:spacing w:after="80"/>
            </w:pPr>
            <w:r>
              <w:rPr>
                <w:b/>
                <w:bCs/>
                <w:color w:val="1F3864"/>
                <w:sz w:val="22"/>
                <w:szCs w:val="22"/>
              </w:rPr>
              <w:t xml:space="preserve">Why It Won the Shingo Prize</w:t>
            </w:r>
          </w:p>
          <w:p>
            <w:pPr>
              <w:spacing w:after="0" w:line="300"/>
            </w:pPr>
            <w:r>
              <w:rPr>
                <w:sz w:val="22"/>
                <w:szCs w:val="22"/>
              </w:rPr>
              <w:t xml:space="preserve">Accelerate won the Shingo Publication Award in 2018, an award given for books that contribute substantially to organizational excellence research. The award was unusual recognition for a software-focused book, reflecting the book's broader contribution to the management literature, not just to engineering practice.</w:t>
            </w:r>
          </w:p>
        </w:tc>
      </w:tr>
    </w:tbl>
    <w:p>
      <w:pPr>
        <w:pStyle w:val="Heading2"/>
        <w:spacing w:after="140" w:before="280"/>
      </w:pPr>
      <w:r>
        <w:t xml:space="preserve">3.3 How to Read It</w:t>
      </w:r>
    </w:p>
    <w:p>
      <w:pPr>
        <w:spacing w:after="120" w:line="320"/>
        <w:jc w:val="both"/>
      </w:pPr>
      <w:r>
        <w:t xml:space="preserve">For different audiences, different reading approaches make sense:</w:t>
      </w:r>
    </w:p>
    <w:p>
      <w:pPr>
        <w:pStyle w:val="ListParagraph"/>
        <w:numPr>
          <w:ilvl w:val="0"/>
          <w:numId w:val="2"/>
        </w:numPr>
        <w:spacing w:after="80" w:line="300"/>
      </w:pPr>
      <w:r>
        <w:t xml:space="preserve">Engineering leaders: read Parts I and II in full. Skim Part III unless you need to defend the research's methodology to skeptics.</w:t>
      </w:r>
    </w:p>
    <w:p>
      <w:pPr>
        <w:pStyle w:val="ListParagraph"/>
        <w:numPr>
          <w:ilvl w:val="0"/>
          <w:numId w:val="2"/>
        </w:numPr>
        <w:spacing w:after="80" w:line="300"/>
      </w:pPr>
      <w:r>
        <w:t xml:space="preserve">Platform engineers: read Part I and the chapters in Part II that touch on continuous delivery, deployment, and architecture. Use as a reference for justifying technical investments.</w:t>
      </w:r>
    </w:p>
    <w:p>
      <w:pPr>
        <w:pStyle w:val="ListParagraph"/>
        <w:numPr>
          <w:ilvl w:val="0"/>
          <w:numId w:val="2"/>
        </w:numPr>
        <w:spacing w:after="80" w:line="300"/>
      </w:pPr>
      <w:r>
        <w:t xml:space="preserve">Researchers: read the entire book, paying particular attention to Part III, which explains construct validity, latent variable analysis, and the survey methodology.</w:t>
      </w:r>
    </w:p>
    <w:p>
      <w:pPr>
        <w:pStyle w:val="ListParagraph"/>
        <w:numPr>
          <w:ilvl w:val="0"/>
          <w:numId w:val="2"/>
        </w:numPr>
        <w:spacing w:after="80" w:line="300"/>
      </w:pPr>
      <w:r>
        <w:t xml:space="preserve">Skeptics: read Part III first. The methodology is what makes the findings credible; if you cannot accept the methodology, the findings will not persuade you regardless of how clearly they are presented.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FFF2CC" w:val="clear"/>
            <w:tcMar>
              <w:top w:type="dxa" w:w="140"/>
              <w:left w:type="dxa" w:w="200"/>
              <w:bottom w:type="dxa" w:w="140"/>
              <w:right w:type="dxa" w:w="200"/>
            </w:tcMar>
          </w:tcPr>
          <w:p>
            <w:pPr>
              <w:spacing w:after="80"/>
            </w:pPr>
            <w:r>
              <w:rPr>
                <w:b/>
                <w:bCs/>
                <w:color w:val="1F3864"/>
                <w:sz w:val="22"/>
                <w:szCs w:val="22"/>
              </w:rPr>
              <w:t xml:space="preserve">Worth Knowing</w:t>
            </w:r>
          </w:p>
          <w:p>
            <w:pPr>
              <w:spacing w:after="0" w:line="300"/>
            </w:pPr>
            <w:r>
              <w:rPr>
                <w:sz w:val="22"/>
                <w:szCs w:val="22"/>
              </w:rPr>
              <w:t xml:space="preserve">Accelerate is one of the most-cited books in modern engineering leadership, alongside 'The Phoenix Project', 'Continuous Delivery', and 'Team Topologies'. If you are working in or around platform engineering, reading it is one of the highest-leverage uses of a few hours of your time. The findings have aged well, and even where the specifics have evolved (the 2025 DORA report has moved past some of the original tier framework), the methodology and the foundational insights remain valid.</w:t>
            </w:r>
          </w:p>
        </w:tc>
      </w:tr>
    </w:tbl>
    <w:p>
      <w:r>
        <w:br w:type="page"/>
      </w:r>
    </w:p>
    <w:p>
      <w:pPr>
        <w:pStyle w:val="Heading1"/>
        <w:spacing w:after="180" w:before="360"/>
      </w:pPr>
      <w:r>
        <w:t xml:space="preserve">4. The State of DevOps Reports</w:t>
      </w:r>
    </w:p>
    <w:p>
      <w:pPr>
        <w:pStyle w:val="Heading2"/>
        <w:spacing w:after="140" w:before="280"/>
      </w:pPr>
      <w:r>
        <w:t xml:space="preserve">4.1 A Decade-Plus of Annual Research</w:t>
      </w:r>
    </w:p>
    <w:p>
      <w:pPr>
        <w:spacing w:after="120" w:line="320"/>
        <w:jc w:val="both"/>
      </w:pPr>
      <w:r>
        <w:t xml:space="preserve">Beyond the Accelerate book, DORA's primary output has been the annual State of DevOps Report, published every year since 2014. Each report builds on the previous one, refining methodology, exploring new variables, and tracking how the engineering profession evolves. The cumulative effect — over a decade of structured research, all freely available — is the largest empirical record of the field that exists.</w:t>
      </w:r>
    </w:p>
    <w:p>
      <w:pPr>
        <w:spacing w:after="120" w:line="320"/>
        <w:jc w:val="both"/>
      </w:pPr>
      <w:r>
        <w:t xml:space="preserve">The reports have been hosted at various points by Puppet Labs (the original sponsor of the research before DORA's formation as an independent group), by the independent DORA group, and since 2018 by Google Cloud. Through all of these institutional homes, the reports have maintained roughly the same structure: a survey of engineering professionals, statistical analysis of the responses, identification of patterns and predictors, and translation of the findings into practical guidance.</w:t>
      </w:r>
    </w:p>
    <w:p>
      <w:pPr>
        <w:pStyle w:val="Heading2"/>
        <w:spacing w:after="140" w:before="280"/>
      </w:pPr>
      <w:r>
        <w:t xml:space="preserve">4.2 How the Reports Have Evolved</w:t>
      </w:r>
    </w:p>
    <w:p>
      <w:pPr>
        <w:spacing w:after="120" w:line="320"/>
        <w:jc w:val="both"/>
      </w:pPr>
      <w:r>
        <w:t xml:space="preserve">Following the report series across years reveals an interesting evolution. Early reports focused tightly on the four key metrics and the cluster analysis that distinguished elite, high, medium, and low performers. As the research matured, each year added new dimensions — culture, leadership, architecture, security, well-being, and most recently, AI-assisted development. The methodology has also matured: cluster boundaries have been re-derived each year rather than fixed, additional latent constructs have been validated, and the surveys themselves have been refined to capture nuance the original instrument missed.</w:t>
      </w:r>
    </w:p>
    <w:p>
      <w:pPr>
        <w:pStyle w:val="Heading3"/>
        <w:spacing w:after="120" w:before="220"/>
      </w:pPr>
      <w:r>
        <w:t xml:space="preserve">Themes by Year (Selective)</w:t>
      </w:r>
    </w:p>
    <w:p>
      <w:pPr>
        <w:pStyle w:val="ListParagraph"/>
        <w:numPr>
          <w:ilvl w:val="0"/>
          <w:numId w:val="2"/>
        </w:numPr>
        <w:spacing w:after="80" w:line="300"/>
      </w:pPr>
      <w:r>
        <w:t xml:space="preserve">2014-2017: Establishment of the four key metrics; identification of elite/high/medium/low performance tiers; demonstration that high performers exist across organization size and industry.</w:t>
      </w:r>
    </w:p>
    <w:p>
      <w:pPr>
        <w:pStyle w:val="ListParagraph"/>
        <w:numPr>
          <w:ilvl w:val="0"/>
          <w:numId w:val="2"/>
        </w:numPr>
        <w:spacing w:after="80" w:line="300"/>
      </w:pPr>
      <w:r>
        <w:t xml:space="preserve">2018-2019: Expansion into culture and leadership; the introduction of 'generative culture' as a predictor; deeper exploration of the connection between technical practices and business outcomes.</w:t>
      </w:r>
    </w:p>
    <w:p>
      <w:pPr>
        <w:pStyle w:val="ListParagraph"/>
        <w:numPr>
          <w:ilvl w:val="0"/>
          <w:numId w:val="2"/>
        </w:numPr>
        <w:spacing w:after="80" w:line="300"/>
      </w:pPr>
      <w:r>
        <w:t xml:space="preserve">2020: Reliability emerged as a key topic; SRE practices were studied in depth; the COVID period drove increased attention to remote-work effects on delivery.</w:t>
      </w:r>
    </w:p>
    <w:p>
      <w:pPr>
        <w:pStyle w:val="ListParagraph"/>
        <w:numPr>
          <w:ilvl w:val="0"/>
          <w:numId w:val="2"/>
        </w:numPr>
        <w:spacing w:after="80" w:line="300"/>
      </w:pPr>
      <w:r>
        <w:t xml:space="preserve">2021-2022: Documentation quality, security integration ('SLSA' practices), and supply-chain concerns; growing attention to platform engineering as a discipline.</w:t>
      </w:r>
    </w:p>
    <w:p>
      <w:pPr>
        <w:pStyle w:val="ListParagraph"/>
        <w:numPr>
          <w:ilvl w:val="0"/>
          <w:numId w:val="2"/>
        </w:numPr>
        <w:spacing w:after="80" w:line="300"/>
      </w:pPr>
      <w:r>
        <w:t xml:space="preserve">2023-2024: Platform engineering becomes a central topic; the 2024 report explored how platform engineering affects performance, with mixed findings (improves productivity but can hurt stability if implemented poorly). User-centricity emerged as the strongest predictor.</w:t>
      </w:r>
    </w:p>
    <w:p>
      <w:pPr>
        <w:pStyle w:val="ListParagraph"/>
        <w:numPr>
          <w:ilvl w:val="0"/>
          <w:numId w:val="2"/>
        </w:numPr>
        <w:spacing w:after="80" w:line="300"/>
      </w:pPr>
      <w:r>
        <w:t xml:space="preserve">2025: A significant shift — the report moved from elite/high/medium/low performance tiers to seven team archetypes (e.g., 'Pragmatic Performers', 'Harmonious High-Achievers', 'Legacy Bottleneck'). The headline focus shifted to AI-assisted software development.</w:t>
      </w:r>
    </w:p>
    <w:p>
      <w:pPr>
        <w:pStyle w:val="Heading2"/>
        <w:spacing w:after="140" w:before="280"/>
      </w:pPr>
      <w:r>
        <w:t xml:space="preserve">4.3 The 2024 Report</w:t>
      </w:r>
    </w:p>
    <w:p>
      <w:pPr>
        <w:spacing w:after="120" w:line="320"/>
        <w:jc w:val="both"/>
      </w:pPr>
      <w:r>
        <w:t xml:space="preserve">The 2024 State of DevOps Report — the last to use the original elite/high/medium/low tier framework — is worth examining specifically because it represents the mature form of the original DORA model. Its key findings include:</w:t>
      </w:r>
    </w:p>
    <w:p>
      <w:pPr>
        <w:pStyle w:val="ListParagraph"/>
        <w:numPr>
          <w:ilvl w:val="0"/>
          <w:numId w:val="2"/>
        </w:numPr>
        <w:spacing w:after="80" w:line="300"/>
      </w:pPr>
      <w:r>
        <w:t xml:space="preserve">User-centricity is the strongest single predictor of organizational performance — teams focused on end-user experience build better products and have happier engineers.</w:t>
      </w:r>
    </w:p>
    <w:p>
      <w:pPr>
        <w:pStyle w:val="ListParagraph"/>
        <w:numPr>
          <w:ilvl w:val="0"/>
          <w:numId w:val="2"/>
        </w:numPr>
        <w:spacing w:after="80" w:line="300"/>
      </w:pPr>
      <w:r>
        <w:t xml:space="preserve">Platform engineering improves individual productivity, team performance, and overall organizational performance — but if implemented poorly, it can decrease change stability and throughput. The implementation matters at least as much as the decision to invest.</w:t>
      </w:r>
    </w:p>
    <w:p>
      <w:pPr>
        <w:pStyle w:val="ListParagraph"/>
        <w:numPr>
          <w:ilvl w:val="0"/>
          <w:numId w:val="2"/>
        </w:numPr>
        <w:spacing w:after="80" w:line="300"/>
      </w:pPr>
      <w:r>
        <w:t xml:space="preserve">Stable organizational priorities are critical for well-being. Unstable priorities cause sharp decreases in productivity and significant increases in burnout, even in environments with otherwise strong leadership.</w:t>
      </w:r>
    </w:p>
    <w:p>
      <w:pPr>
        <w:pStyle w:val="ListParagraph"/>
        <w:numPr>
          <w:ilvl w:val="0"/>
          <w:numId w:val="2"/>
        </w:numPr>
        <w:spacing w:after="80" w:line="300"/>
      </w:pPr>
      <w:r>
        <w:t xml:space="preserve">Transformational leadership — leaders who inspire, intellectually stimulate, and individually support their teams — significantly improves employee productivity, organizational performance, and job satisfaction while decreasing burnout.</w:t>
      </w:r>
    </w:p>
    <w:p>
      <w:pPr>
        <w:pStyle w:val="ListParagraph"/>
        <w:numPr>
          <w:ilvl w:val="0"/>
          <w:numId w:val="2"/>
        </w:numPr>
        <w:spacing w:after="80" w:line="300"/>
      </w:pPr>
      <w:r>
        <w:t xml:space="preserve">Flexible cloud infrastructure remains essential. Simply migrating to cloud without adopting its inherent flexibility produces worse outcomes than staying on traditional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FFE6E6" w:val="clear"/>
            <w:tcMar>
              <w:top w:type="dxa" w:w="140"/>
              <w:left w:type="dxa" w:w="200"/>
              <w:bottom w:type="dxa" w:w="140"/>
              <w:right w:type="dxa" w:w="200"/>
            </w:tcMar>
          </w:tcPr>
          <w:p>
            <w:pPr>
              <w:spacing w:after="80"/>
            </w:pPr>
            <w:r>
              <w:rPr>
                <w:b/>
                <w:bCs/>
                <w:color w:val="1F3864"/>
                <w:sz w:val="22"/>
                <w:szCs w:val="22"/>
              </w:rPr>
              <w:t xml:space="preserve">The Platform Engineering Caveat</w:t>
            </w:r>
          </w:p>
          <w:p>
            <w:pPr>
              <w:spacing w:after="0" w:line="300"/>
            </w:pPr>
            <w:r>
              <w:rPr>
                <w:sz w:val="22"/>
                <w:szCs w:val="22"/>
              </w:rPr>
              <w:t xml:space="preserve">The 2024 DORA finding that 'platform engineering can decrease stability and throughput if poorly implemented' is one of the most important findings for anyone reading earlier modules of this curriculum. Platforms are not magic — building one badly produces worse outcomes than not having one. The roadmap and discipline covered in earlier modules of this curriculum are the antidote.</w:t>
            </w:r>
          </w:p>
        </w:tc>
      </w:tr>
    </w:tbl>
    <w:p>
      <w:pPr>
        <w:pStyle w:val="Heading2"/>
        <w:spacing w:after="140" w:before="280"/>
      </w:pPr>
      <w:r>
        <w:t xml:space="preserve">4.4 The 2025 Shift to Team Archetypes</w:t>
      </w:r>
    </w:p>
    <w:p>
      <w:pPr>
        <w:spacing w:after="120" w:line="320"/>
        <w:jc w:val="both"/>
      </w:pPr>
      <w:r>
        <w:t xml:space="preserve">The 2025 DORA Report — titled 'State of AI-assisted Software Development' — represented the largest methodological shift in the program's history. Two major changes:</w:t>
      </w:r>
    </w:p>
    <w:p>
      <w:pPr>
        <w:pStyle w:val="Heading3"/>
        <w:spacing w:after="120" w:before="220"/>
      </w:pPr>
      <w:r>
        <w:t xml:space="preserve">Change 1: Performance Tiers Replaced by Team Archetypes</w:t>
      </w:r>
    </w:p>
    <w:p>
      <w:pPr>
        <w:spacing w:after="120" w:line="320"/>
        <w:jc w:val="both"/>
      </w:pPr>
      <w:r>
        <w:t xml:space="preserve">After more than a decade of elite/high/medium/low performance clusters, the 2025 report dropped the tier framework entirely. The new model presents seven 'team archetypes' (named patterns like 'Harmonious High-Achievers', 'Pragmatic Performers', 'Legacy Bottleneck') based on a richer set of measures including not just delivery metrics but also team well-being, friction, and the nature of the work being done.</w:t>
      </w:r>
    </w:p>
    <w:p>
      <w:pPr>
        <w:spacing w:after="120" w:line="320"/>
        <w:jc w:val="both"/>
      </w:pPr>
      <w:r>
        <w:t xml:space="preserve">The DORA team's reasoning for this change was that the tier framework, while useful as a benchmark, had become an oversimplification. Many organizations did not fit neatly into a single tier. Worse, 'chasing elite status' had become a goal in itself, producing superficial improvements aimed at hitting metric thresholds rather than meaningful organizational change. The archetype model is intended to capture the multidimensional nature of team health more holistically.</w:t>
      </w:r>
    </w:p>
    <w:p>
      <w:pPr>
        <w:pStyle w:val="Heading3"/>
        <w:spacing w:after="120" w:before="220"/>
      </w:pPr>
      <w:r>
        <w:t xml:space="preserve">Change 2: AI-Assisted Development as the Central Topic</w:t>
      </w:r>
    </w:p>
    <w:p>
      <w:pPr>
        <w:spacing w:after="120" w:line="320"/>
        <w:jc w:val="both"/>
      </w:pPr>
      <w:r>
        <w:t xml:space="preserve">The 2025 report focused on the impact of AI on software development. Key findings included that AI adoption clearly correlates with higher software-delivery throughput (teams ship faster) but also with higher instability (more change failures, more rework, longer cycle times to resolve issues). The report introduced an 'AI Capabilities Model' identifying seven practices that amplify AI's positive effects and mitigate its risks — and notably, those practices are largely the same battle-tested principles of high-performance software delivery that have been part of DORA's findings all along.</w:t>
      </w:r>
    </w:p>
    <w:p>
      <w:pPr>
        <w:spacing w:after="120" w:line="320"/>
        <w:jc w:val="both"/>
      </w:pPr>
      <w:r>
        <w:t xml:space="preserve">The 2025 report's most-quoted line — 'AI does not create elite organizations; it anoints them' — captures the essence of the finding. AI is a force multiplier on whatever the underlying organization already is. Strong cultures and platforms get stronger; weak ones get more visibly weak. Investment in foundations (platforms, processes, culture) matters more, not less, in the AI 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FFF2CC" w:val="clear"/>
            <w:tcMar>
              <w:top w:type="dxa" w:w="140"/>
              <w:left w:type="dxa" w:w="200"/>
              <w:bottom w:type="dxa" w:w="140"/>
              <w:right w:type="dxa" w:w="200"/>
            </w:tcMar>
          </w:tcPr>
          <w:p>
            <w:pPr>
              <w:spacing w:after="80"/>
            </w:pPr>
            <w:r>
              <w:rPr>
                <w:b/>
                <w:bCs/>
                <w:color w:val="1F3864"/>
                <w:sz w:val="22"/>
                <w:szCs w:val="22"/>
              </w:rPr>
              <w:t xml:space="preserve">Why the Tier Change Matters</w:t>
            </w:r>
          </w:p>
          <w:p>
            <w:pPr>
              <w:spacing w:after="0" w:line="300"/>
            </w:pPr>
            <w:r>
              <w:rPr>
                <w:sz w:val="22"/>
                <w:szCs w:val="22"/>
              </w:rPr>
              <w:t xml:space="preserve">If you are reading older DORA-derived material, you will see references to 'elite performers' and specific thresholds (e.g., 'lead time under one hour'). These are based on 2024 and earlier reports and remain useful as benchmarks even though the 2025 report has moved past the framework. When citing DORA, be explicit about which year's report you are drawing from — the methodology is not static.</w:t>
            </w:r>
          </w:p>
        </w:tc>
      </w:tr>
    </w:tbl>
    <w:p>
      <w:r>
        <w:br w:type="page"/>
      </w:r>
    </w:p>
    <w:p>
      <w:pPr>
        <w:pStyle w:val="Heading1"/>
        <w:spacing w:after="180" w:before="360"/>
      </w:pPr>
      <w:r>
        <w:t xml:space="preserve">5. The Scientific Approach</w:t>
      </w:r>
    </w:p>
    <w:p>
      <w:pPr>
        <w:pStyle w:val="Heading2"/>
        <w:spacing w:after="140" w:before="280"/>
      </w:pPr>
      <w:r>
        <w:t xml:space="preserve">5.1 Why a Scientific Approach Was Necessary</w:t>
      </w:r>
    </w:p>
    <w:p>
      <w:pPr>
        <w:spacing w:after="120" w:line="320"/>
        <w:jc w:val="both"/>
      </w:pPr>
      <w:r>
        <w:t xml:space="preserve">Before DORA, most claims about software delivery were either anecdotal ('at my company we did X and it worked') or normative ('you SHOULD do X because it's good practice'). Neither category produced evidence in any rigorous sense. The same software-engineering thought leader who recommended X in one talk would recommend Y in another, and there was no neutral way to evaluate which was actually correct. The field was, methodologically, where medicine had been before randomized controlled trials — full of confident practitioners with conflicting opinions, no reliable way to tell who was right.</w:t>
      </w:r>
    </w:p>
    <w:p>
      <w:pPr>
        <w:spacing w:after="120" w:line="320"/>
        <w:jc w:val="both"/>
      </w:pPr>
      <w:r>
        <w:t xml:space="preserve">DORA's contribution was to take the question seriously as an empirical one. If certain practices produce better software-delivery outcomes than others, that is a testable claim. Survey enough professionals, capture both their practices and their outcomes, apply statistical analysis to the relationship, and you can identify which practices reliably correlate with which outcomes. This is not a new methodology — management science had been doing this for decades — but it had not previously been applied to software delivery at this scale or rigor.</w:t>
      </w:r>
    </w:p>
    <w:p>
      <w:pPr>
        <w:pStyle w:val="Heading2"/>
        <w:spacing w:after="140" w:before="280"/>
      </w:pPr>
      <w:r>
        <w:t xml:space="preserve">5.2 Survey-Based Methodology</w:t>
      </w:r>
    </w:p>
    <w:p>
      <w:pPr>
        <w:spacing w:after="120" w:line="320"/>
        <w:jc w:val="both"/>
      </w:pPr>
      <w:r>
        <w:t xml:space="preserve">The DORA research is fundamentally survey-based. Each year, an annual structured survey is distributed to engineering professionals worldwide. Recent reports have drawn responses from tens of thousands of individuals across thousands of organizations, spanning company sizes, industries, geographies, and roles. This scale is what gives the findings statistical power that no individual case study could match.</w:t>
      </w:r>
    </w:p>
    <w:p>
      <w:pPr>
        <w:pStyle w:val="Heading3"/>
        <w:spacing w:after="120" w:before="220"/>
      </w:pPr>
      <w:r>
        <w:t xml:space="preserve">Survey Design Principles</w:t>
      </w:r>
    </w:p>
    <w:p>
      <w:pPr>
        <w:pStyle w:val="ListParagraph"/>
        <w:numPr>
          <w:ilvl w:val="0"/>
          <w:numId w:val="2"/>
        </w:numPr>
        <w:spacing w:after="80" w:line="300"/>
      </w:pPr>
      <w:r>
        <w:t xml:space="preserve">Validated constructs: rather than asking 'how good is your team?', the surveys ask carefully designed multi-question batteries that, in combination, reliably measure underlying concepts (a 'latent variable' in statistical terms). For example, 'generative culture' is measured by a battery of questions about psychological safety, blame patterns, and information flow.</w:t>
      </w:r>
    </w:p>
    <w:p>
      <w:pPr>
        <w:pStyle w:val="ListParagraph"/>
        <w:numPr>
          <w:ilvl w:val="0"/>
          <w:numId w:val="2"/>
        </w:numPr>
        <w:spacing w:after="80" w:line="300"/>
      </w:pPr>
      <w:r>
        <w:t xml:space="preserve">Self-report with cross-validation: respondents report their own practices and outcomes. Where possible, multiple questions cross-check each claim — if someone says they deploy daily, follow-up questions about lead time and change-failure rate provide internal consistency checks.</w:t>
      </w:r>
    </w:p>
    <w:p>
      <w:pPr>
        <w:pStyle w:val="ListParagraph"/>
        <w:numPr>
          <w:ilvl w:val="0"/>
          <w:numId w:val="2"/>
        </w:numPr>
        <w:spacing w:after="80" w:line="300"/>
      </w:pPr>
      <w:r>
        <w:t xml:space="preserve">Anonymous: respondents are not identified, which encourages honest answers (the 'social desirability bias' that affects identified surveys is reduced).</w:t>
      </w:r>
    </w:p>
    <w:p>
      <w:pPr>
        <w:pStyle w:val="ListParagraph"/>
        <w:numPr>
          <w:ilvl w:val="0"/>
          <w:numId w:val="2"/>
        </w:numPr>
        <w:spacing w:after="80" w:line="300"/>
      </w:pPr>
      <w:r>
        <w:t xml:space="preserve">Voluntary: respondents are not paid or coerced, which means the sample is somewhat self-selected. DORA's analysis explicitly addresses this and adjusts for it.</w:t>
      </w:r>
    </w:p>
    <w:p>
      <w:pPr>
        <w:pStyle w:val="ListParagraph"/>
        <w:numPr>
          <w:ilvl w:val="0"/>
          <w:numId w:val="2"/>
        </w:numPr>
        <w:spacing w:after="80" w:line="300"/>
      </w:pPr>
      <w:r>
        <w:t xml:space="preserve">Annual repetition: the same surveys, with carefully tracked changes, are run year over year. This allows trend analysis and validates that findings are reproducible.</w:t>
      </w:r>
    </w:p>
    <w:p>
      <w:pPr>
        <w:pStyle w:val="Heading2"/>
        <w:spacing w:after="140" w:before="280"/>
      </w:pPr>
      <w:r>
        <w:t xml:space="preserve">5.3 Statistical Techniques</w:t>
      </w:r>
    </w:p>
    <w:p>
      <w:pPr>
        <w:spacing w:after="120" w:line="320"/>
        <w:jc w:val="both"/>
      </w:pPr>
      <w:r>
        <w:t xml:space="preserve">Several statistical techniques are central to DORA's methodology. Understanding them at a high level helps in evaluating the research's claims.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Technique</w:t>
            </w:r>
          </w:p>
        </w:tc>
        <w:tc>
          <w:tcPr>
            <w:tcW w:type="dxa" w:w="624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What It Does and Why It Matters</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Cluster analysis</w:t>
            </w:r>
          </w:p>
        </w:tc>
        <w:tc>
          <w:tcPr>
            <w:tcW w:type="dxa" w:w="62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Groups respondents into clusters based on similar response patterns. This is how DORA originally identified the elite/high/medium/low tiers — they were emergent from the data, not predefined.</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Latent variable analysis</w:t>
            </w:r>
          </w:p>
        </w:tc>
        <w:tc>
          <w:tcPr>
            <w:tcW w:type="dxa" w:w="62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Identifies underlying concepts (latent variables) that are measured by groups of related questions. Examples: 'generative culture', 'continuous delivery capability'. Allows the research to study things that cannot be directly observed.</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Structural equation modeling</w:t>
            </w:r>
          </w:p>
        </w:tc>
        <w:tc>
          <w:tcPr>
            <w:tcW w:type="dxa" w:w="62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Tests whether the relationships between variables are consistent with hypothesized causal structures. Allows DORA to make claims like 'X drives Y' rather than just 'X correlates with Y'.</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Construct validity testing</w:t>
            </w:r>
          </w:p>
        </w:tc>
        <w:tc>
          <w:tcPr>
            <w:tcW w:type="dxa" w:w="62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Confirms that the survey questions actually measure what they claim to measure. Multiple statistical checks (Cronbach's alpha, factor loadings) validate this. Without this step, results would be unreliable.</w:t>
            </w:r>
          </w:p>
        </w:tc>
      </w:tr>
    </w:tbl>
    <w:p>
      <w:pPr>
        <w:spacing w:after="120" w:line="320"/>
        <w:jc w:val="both"/>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DEEAF6" w:val="clear"/>
            <w:tcMar>
              <w:top w:type="dxa" w:w="140"/>
              <w:left w:type="dxa" w:w="200"/>
              <w:bottom w:type="dxa" w:w="140"/>
              <w:right w:type="dxa" w:w="200"/>
            </w:tcMar>
          </w:tcPr>
          <w:p>
            <w:pPr>
              <w:spacing w:after="80"/>
            </w:pPr>
            <w:r>
              <w:rPr>
                <w:b/>
                <w:bCs/>
                <w:color w:val="1F3864"/>
                <w:sz w:val="22"/>
                <w:szCs w:val="22"/>
              </w:rPr>
              <w:t xml:space="preserve">Why This Matters</w:t>
            </w:r>
          </w:p>
          <w:p>
            <w:pPr>
              <w:spacing w:after="0" w:line="300"/>
            </w:pPr>
            <w:r>
              <w:rPr>
                <w:sz w:val="22"/>
                <w:szCs w:val="22"/>
              </w:rPr>
              <w:t xml:space="preserve">Most popular software-engineering claims you encounter — 'pair programming improves quality' or 'microservices increase deploy speed' — come with no statistical backing whatsoever. They might be true; they might not be. DORA's methodological work is what allows readers to distinguish 'people say this' from 'this is statistically validated across thousands of organizations'. The difference is enormous.</w:t>
            </w:r>
          </w:p>
        </w:tc>
      </w:tr>
    </w:tbl>
    <w:p>
      <w:pPr>
        <w:pStyle w:val="Heading2"/>
        <w:spacing w:after="140" w:before="280"/>
      </w:pPr>
      <w:r>
        <w:t xml:space="preserve">5.4 Predictive vs. Descriptive Metrics</w:t>
      </w:r>
    </w:p>
    <w:p>
      <w:pPr>
        <w:spacing w:after="120" w:line="320"/>
        <w:jc w:val="both"/>
      </w:pPr>
      <w:r>
        <w:t xml:space="preserve">A subtle but important point in the DORA methodology: the four key metrics are not just descriptive — they are predictive. That is, the metrics correlate with broader organizational performance to a degree that is not just statistically significant but practically meaningful.</w:t>
      </w:r>
    </w:p>
    <w:p>
      <w:pPr>
        <w:spacing w:after="120" w:line="320"/>
        <w:jc w:val="both"/>
      </w:pPr>
      <w:r>
        <w:t xml:space="preserve">Many metrics in software engineering are descriptive only. 'Lines of code per engineer per day' describes how much code a team produces, but does not predict whether the team is producing valuable code. 'Story points completed' describes velocity, but does not predict customer satisfaction. The four DORA metrics are different: organizations that score well on them tend, with high statistical reliability, to also have better profitability, customer satisfaction, retention, and other organization-level outcomes. The metrics are diagnostic of broader health, not just signals about delivery mechanics.</w:t>
      </w:r>
    </w:p>
    <w:p>
      <w:pPr>
        <w:spacing w:after="120" w:line="320"/>
        <w:jc w:val="both"/>
      </w:pPr>
      <w:r>
        <w:t xml:space="preserve">This predictive quality is what made the DORA findings so influential. If you wanted to know 'is this engineering organization actually high-performing?', the four metrics would tell you with substantially more accuracy than nearly any other available signal. And because they are technical and measurable, they could be tracked in ways that fuzzier signals could not.</w:t>
      </w:r>
    </w:p>
    <w:p>
      <w:r>
        <w:br w:type="page"/>
      </w:r>
    </w:p>
    <w:p>
      <w:pPr>
        <w:pStyle w:val="Heading1"/>
        <w:spacing w:after="180" w:before="360"/>
      </w:pPr>
      <w:r>
        <w:t xml:space="preserve">6. The Core Finding: Four Metrics That Predict Performance</w:t>
      </w:r>
    </w:p>
    <w:p>
      <w:pPr>
        <w:pStyle w:val="Heading2"/>
        <w:spacing w:after="140" w:before="280"/>
      </w:pPr>
      <w:r>
        <w:t xml:space="preserve">6.1 The Four Keys at a Glance</w:t>
      </w:r>
    </w:p>
    <w:p>
      <w:pPr>
        <w:spacing w:after="120" w:line="320"/>
        <w:jc w:val="both"/>
      </w:pPr>
      <w:r>
        <w:t xml:space="preserve">The most famous output of DORA's research is the set of four metrics — the 'Four Keys' — that, taken together, predict software-delivery performance. These were introduced in the early reports and are the basis on which much of the subsequent industry vocabulary has been built. Module 11 of the previous curriculum (Measuring Success) covered them in detail; here we present them in the context of the research that produced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Metric</w:t>
            </w:r>
          </w:p>
        </w:tc>
        <w:tc>
          <w:tcPr>
            <w:tcW w:type="dxa" w:w="666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What It Measures</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Deployment Frequency</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How often the organization successfully releases changes to production.</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Lead Time for Changes</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The elapsed time from a commit being made to that commit running in production.</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Change Failure Rate</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The percentage of production deploys that result in degraded service or require a hotfix.</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Mean Time to Restore (MTTR)</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How long it takes to restore service after a production incident.</w:t>
            </w:r>
          </w:p>
        </w:tc>
      </w:tr>
    </w:tbl>
    <w:p>
      <w:pPr>
        <w:spacing w:after="120" w:line="320"/>
        <w:jc w:val="both"/>
      </w:pPr>
      <w:r>
        <w:t xml:space="preserve"/>
      </w:r>
    </w:p>
    <w:p>
      <w:pPr>
        <w:spacing w:after="120" w:line="320"/>
        <w:jc w:val="both"/>
      </w:pPr>
      <w:r>
        <w:t xml:space="preserve">Note: in some recent DORA materials, MTTR has been renamed 'failed deployment recovery time' to clarify exactly what is being measured (recovery from a deploy-induced failure, specifically). The 2024 report also expanded toward a 'fifth key' — rework rate (the percentage of work that consists of unplanned fixes to previously-shipped work). The 2025 report's archetype-based model uses a still broader set of measures. The original four, however, remain the foundation.</w:t>
      </w:r>
    </w:p>
    <w:p>
      <w:pPr>
        <w:pStyle w:val="Heading2"/>
        <w:spacing w:after="140" w:before="280"/>
      </w:pPr>
      <w:r>
        <w:t xml:space="preserve">6.2 Throughput and Stability — Both at Once</w:t>
      </w:r>
    </w:p>
    <w:p>
      <w:pPr>
        <w:spacing w:after="120" w:line="320"/>
        <w:jc w:val="both"/>
      </w:pPr>
      <w:r>
        <w:t xml:space="preserve">The four metrics split into two pairs, and this pairing is central to understanding DORA's contribution.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960"/>
      </w:tblGrid>
      <w:tr>
        <w:tc>
          <w:tcPr>
            <w:tcW w:type="dxa" w:w="270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Pair</w:t>
            </w:r>
          </w:p>
        </w:tc>
        <w:tc>
          <w:tcPr>
            <w:tcW w:type="dxa" w:w="270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Metrics</w:t>
            </w:r>
          </w:p>
        </w:tc>
        <w:tc>
          <w:tcPr>
            <w:tcW w:type="dxa" w:w="396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What It Captures</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Throughput</w:t>
            </w:r>
          </w:p>
        </w:tc>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Deployment Frequency, Lead Time for Changes</w:t>
            </w:r>
          </w:p>
        </w:tc>
        <w:tc>
          <w:tcPr>
            <w:tcW w:type="dxa" w:w="39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How fast you ship — speed and volume.</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Stability</w:t>
            </w:r>
          </w:p>
        </w:tc>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Change Failure Rate, Mean Time to Restore</w:t>
            </w:r>
          </w:p>
        </w:tc>
        <w:tc>
          <w:tcPr>
            <w:tcW w:type="dxa" w:w="39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How reliably you ship — quality and recovery.</w:t>
            </w:r>
          </w:p>
        </w:tc>
      </w:tr>
    </w:tbl>
    <w:p>
      <w:pPr>
        <w:spacing w:after="120" w:line="320"/>
        <w:jc w:val="both"/>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E2EFDA" w:val="clear"/>
            <w:tcMar>
              <w:top w:type="dxa" w:w="140"/>
              <w:left w:type="dxa" w:w="200"/>
              <w:bottom w:type="dxa" w:w="140"/>
              <w:right w:type="dxa" w:w="200"/>
            </w:tcMar>
          </w:tcPr>
          <w:p>
            <w:pPr>
              <w:spacing w:after="80"/>
            </w:pPr>
            <w:r>
              <w:rPr>
                <w:b/>
                <w:bCs/>
                <w:color w:val="1F3864"/>
                <w:sz w:val="22"/>
                <w:szCs w:val="22"/>
              </w:rPr>
              <w:t xml:space="preserve">The Counterintuitive Finding</w:t>
            </w:r>
          </w:p>
          <w:p>
            <w:pPr>
              <w:spacing w:after="0" w:line="300"/>
            </w:pPr>
            <w:r>
              <w:rPr>
                <w:sz w:val="22"/>
                <w:szCs w:val="22"/>
              </w:rPr>
              <w:t xml:space="preserve">Before DORA, conventional wisdom held that throughput and stability were in tension — that you could be fast OR stable, but not both. DORA's research showed this was false. Elite teams are simultaneously fast AND stable. The two are positively correlated, not negatively. The same practices that increase throughput (small batches, automation, good tests) also increase stability. This single finding overturned decades of assumed tradeoffs and is, arguably, the most important contribution of the DORA research.</w:t>
            </w:r>
          </w:p>
        </w:tc>
      </w:tr>
    </w:tbl>
    <w:p>
      <w:pPr>
        <w:pStyle w:val="Heading2"/>
        <w:spacing w:after="140" w:before="280"/>
      </w:pPr>
      <w:r>
        <w:t xml:space="preserve">6.3 The Refinement of the Metrics Over Time</w:t>
      </w:r>
    </w:p>
    <w:p>
      <w:pPr>
        <w:spacing w:after="120" w:line="320"/>
        <w:jc w:val="both"/>
      </w:pPr>
      <w:r>
        <w:t xml:space="preserve">The four metrics have been refined over the years. Several changes are worth noting:</w:t>
      </w:r>
    </w:p>
    <w:p>
      <w:pPr>
        <w:pStyle w:val="ListParagraph"/>
        <w:numPr>
          <w:ilvl w:val="0"/>
          <w:numId w:val="2"/>
        </w:numPr>
        <w:spacing w:after="80" w:line="300"/>
      </w:pPr>
      <w:r>
        <w:t xml:space="preserve">Lead Time was originally less precisely defined; over time it has been narrowed to specifically mean 'commit-to-production' time, which is more reproducibly measurable than the broader 'idea-to-production' definition.</w:t>
      </w:r>
    </w:p>
    <w:p>
      <w:pPr>
        <w:pStyle w:val="ListParagraph"/>
        <w:numPr>
          <w:ilvl w:val="0"/>
          <w:numId w:val="2"/>
        </w:numPr>
        <w:spacing w:after="80" w:line="300"/>
      </w:pPr>
      <w:r>
        <w:t xml:space="preserve">Change Failure Rate consistently behaved as a statistical outlier in DORA's analysis — it didn't load cleanly with the other metrics. This suggested it was capturing something different; the methodology was adjusted accordingly in later reports.</w:t>
      </w:r>
    </w:p>
    <w:p>
      <w:pPr>
        <w:pStyle w:val="ListParagraph"/>
        <w:numPr>
          <w:ilvl w:val="0"/>
          <w:numId w:val="2"/>
        </w:numPr>
        <w:spacing w:after="80" w:line="300"/>
      </w:pPr>
      <w:r>
        <w:t xml:space="preserve">MTTR has been progressively renamed to 'time to restore service' and then 'failed deployment recovery time' in the most recent reports, partly to clarify what is being measured and partly to address common misinterpretations.</w:t>
      </w:r>
    </w:p>
    <w:p>
      <w:pPr>
        <w:pStyle w:val="ListParagraph"/>
        <w:numPr>
          <w:ilvl w:val="0"/>
          <w:numId w:val="2"/>
        </w:numPr>
        <w:spacing w:after="80" w:line="300"/>
      </w:pPr>
      <w:r>
        <w:t xml:space="preserve">The 2024 report introduced 'rework rate' as a complementary metric, capturing the percentage of work that fixes previously-shipped problems.</w:t>
      </w:r>
    </w:p>
    <w:p>
      <w:pPr>
        <w:pStyle w:val="ListParagraph"/>
        <w:numPr>
          <w:ilvl w:val="0"/>
          <w:numId w:val="2"/>
        </w:numPr>
        <w:spacing w:after="80" w:line="300"/>
      </w:pPr>
      <w:r>
        <w:t xml:space="preserve">The 2025 report integrated the metrics into a richer eight-measure model alongside team well-being, friction, and other dimensions.</w:t>
      </w:r>
    </w:p>
    <w:p>
      <w:pPr>
        <w:spacing w:after="120" w:line="320"/>
        <w:jc w:val="both"/>
      </w:pPr>
      <w:r>
        <w:t xml:space="preserve">The refinement is healthy science: the methodology evolves as the researchers learn more. None of the changes invalidate the original findings — they just sharpen them.</w:t>
      </w:r>
    </w:p>
    <w:p>
      <w:r>
        <w:br w:type="page"/>
      </w:r>
    </w:p>
    <w:p>
      <w:pPr>
        <w:pStyle w:val="Heading1"/>
        <w:spacing w:after="180" w:before="360"/>
      </w:pPr>
      <w:r>
        <w:t xml:space="preserve">7. Performance Correlates with Business Outcomes</w:t>
      </w:r>
    </w:p>
    <w:p>
      <w:pPr>
        <w:pStyle w:val="Heading2"/>
        <w:spacing w:after="140" w:before="280"/>
      </w:pPr>
      <w:r>
        <w:t xml:space="preserve">7.1 The Business-Outcome Findings</w:t>
      </w:r>
    </w:p>
    <w:p>
      <w:pPr>
        <w:spacing w:after="120" w:line="320"/>
        <w:jc w:val="both"/>
      </w:pPr>
      <w:r>
        <w:t xml:space="preserve">The second-most-influential DORA finding — after the four metrics themselves — is that high software-delivery performance correlates with high organizational performance on multiple business dimensions. This finding is what elevated software delivery from an operational concern to a strategic one.</w:t>
      </w:r>
    </w:p>
    <w:p>
      <w:pPr>
        <w:spacing w:after="120" w:line="320"/>
        <w:jc w:val="both"/>
      </w:pPr>
      <w:r>
        <w:t xml:space="preserve">Specifically, the research found that high-performing software teams (as measured by the four key metrics) are statistically more likely to also achieve, or exceed, organizational performance goals across:</w:t>
      </w:r>
    </w:p>
    <w:p>
      <w:pPr>
        <w:pStyle w:val="ListParagraph"/>
        <w:numPr>
          <w:ilvl w:val="0"/>
          <w:numId w:val="2"/>
        </w:numPr>
        <w:spacing w:after="80" w:line="300"/>
      </w:pPr>
      <w:r>
        <w:t xml:space="preserve">Profitability — the organization's bottom-line financial performance.</w:t>
      </w:r>
    </w:p>
    <w:p>
      <w:pPr>
        <w:pStyle w:val="ListParagraph"/>
        <w:numPr>
          <w:ilvl w:val="0"/>
          <w:numId w:val="2"/>
        </w:numPr>
        <w:spacing w:after="80" w:line="300"/>
      </w:pPr>
      <w:r>
        <w:t xml:space="preserve">Market share — the organization's competitive position in its market.</w:t>
      </w:r>
    </w:p>
    <w:p>
      <w:pPr>
        <w:pStyle w:val="ListParagraph"/>
        <w:numPr>
          <w:ilvl w:val="0"/>
          <w:numId w:val="2"/>
        </w:numPr>
        <w:spacing w:after="80" w:line="300"/>
      </w:pPr>
      <w:r>
        <w:t xml:space="preserve">Productivity — broader measures of organizational efficiency, beyond software-specific signals.</w:t>
      </w:r>
    </w:p>
    <w:p>
      <w:pPr>
        <w:pStyle w:val="ListParagraph"/>
        <w:numPr>
          <w:ilvl w:val="0"/>
          <w:numId w:val="2"/>
        </w:numPr>
        <w:spacing w:after="80" w:line="300"/>
      </w:pPr>
      <w:r>
        <w:t xml:space="preserve">Customer satisfaction — how end users rate their experience with the organization's products.</w:t>
      </w:r>
    </w:p>
    <w:p>
      <w:pPr>
        <w:pStyle w:val="ListParagraph"/>
        <w:numPr>
          <w:ilvl w:val="0"/>
          <w:numId w:val="2"/>
        </w:numPr>
        <w:spacing w:after="80" w:line="300"/>
      </w:pPr>
      <w:r>
        <w:t xml:space="preserve">Quality of products and services — independent assessments of what the organization delivers.</w:t>
      </w:r>
    </w:p>
    <w:p>
      <w:pPr>
        <w:pStyle w:val="ListParagraph"/>
        <w:numPr>
          <w:ilvl w:val="0"/>
          <w:numId w:val="2"/>
        </w:numPr>
        <w:spacing w:after="80" w:line="300"/>
      </w:pPr>
      <w:r>
        <w:t xml:space="preserve">Achieving organizational and mission goals — the broadest measure of success, applicable also to non-commercial organizations like governments and nonprofits.</w:t>
      </w:r>
    </w:p>
    <w:p>
      <w:pPr>
        <w:spacing w:after="120" w:line="320"/>
        <w:jc w:val="both"/>
      </w:pPr>
      <w:r>
        <w:t xml:space="preserve">Concrete numbers vary across reports, but a typical finding is that elite teams are roughly 2x more likely to meet or exceed organizational performance goals than low-performing teams. Some recent reports have cited '2x more likely to exceed organizational performance goals' and '1.8x more likely to report better customer satisfaction'. The exact multipliers shift across years, but the directional finding has been remarkably consistent: better software delivery, better business outcomes.</w:t>
      </w:r>
    </w:p>
    <w:p>
      <w:pPr>
        <w:pStyle w:val="Heading2"/>
        <w:spacing w:after="140" w:before="280"/>
      </w:pPr>
      <w:r>
        <w:t xml:space="preserve">7.2 Why This Link Mattered</w:t>
      </w:r>
    </w:p>
    <w:p>
      <w:pPr>
        <w:spacing w:after="120" w:line="320"/>
        <w:jc w:val="both"/>
      </w:pPr>
      <w:r>
        <w:t xml:space="preserve">Before DORA, software-delivery improvements had to be justified primarily as cost reductions or risk mitigations. 'If we automate this deploy pipeline, we'll spend fewer engineer-hours on deploys' is a real but bounded argument — the upside is the cost saved, which is rarely enough to justify large investment in transformation. DORA changed the conversation by making the case that software-delivery improvements drove top-line outcomes, not just cost reductions.</w:t>
      </w:r>
    </w:p>
    <w:p>
      <w:pPr>
        <w:pStyle w:val="Heading3"/>
        <w:spacing w:after="120" w:before="220"/>
      </w:pPr>
      <w:r>
        <w:t xml:space="preserve">How the Argument Sounds Now</w:t>
      </w:r>
    </w:p>
    <w:p>
      <w:pPr>
        <w:pStyle w:val="ListParagraph"/>
        <w:numPr>
          <w:ilvl w:val="0"/>
          <w:numId w:val="2"/>
        </w:numPr>
        <w:spacing w:after="80" w:line="300"/>
      </w:pPr>
      <w:r>
        <w:t xml:space="preserve">Without DORA: 'Investing in CI/CD will save us 10% on engineer-hours spent on deploys.'</w:t>
      </w:r>
    </w:p>
    <w:p>
      <w:pPr>
        <w:pStyle w:val="ListParagraph"/>
        <w:numPr>
          <w:ilvl w:val="0"/>
          <w:numId w:val="2"/>
        </w:numPr>
        <w:spacing w:after="80" w:line="300"/>
      </w:pPr>
      <w:r>
        <w:t xml:space="preserve">With DORA: 'Investing in CI/CD will move us from medium-performance to high-performance software delivery, which is statistically associated with 2x improvement in our ability to meet organizational goals — including profitability and customer satisfaction.'</w:t>
      </w:r>
    </w:p>
    <w:p>
      <w:pPr>
        <w:spacing w:after="120" w:line="320"/>
        <w:jc w:val="both"/>
      </w:pPr>
      <w:r>
        <w:t xml:space="preserve">The first argument might earn you a small budget. The second argument is a strategic discussion. This shift — from operational to strategic framing — is what made software delivery a board-level concern at many large organizations and what funded the platform-engineering investments that followed.</w:t>
      </w:r>
    </w:p>
    <w:p>
      <w:pPr>
        <w:pStyle w:val="Heading2"/>
        <w:spacing w:after="140" w:before="280"/>
      </w:pPr>
      <w:r>
        <w:t xml:space="preserve">7.3 How DORA Established the Causal Chain</w:t>
      </w:r>
    </w:p>
    <w:p>
      <w:pPr>
        <w:spacing w:after="120" w:line="320"/>
        <w:jc w:val="both"/>
      </w:pPr>
      <w:r>
        <w:t xml:space="preserve">DORA was careful to establish causation, not just correlation. Critics could legitimately ask: 'maybe successful organizations happen to have good software delivery, but the software delivery isn't what's making them successful'. To address this, DORA used structural equation modeling — the statistical technique mentioned in Section 5 — to test the directionality of the relationship.</w:t>
      </w:r>
    </w:p>
    <w:p>
      <w:pPr>
        <w:spacing w:after="120" w:line="320"/>
        <w:jc w:val="both"/>
      </w:pPr>
      <w:r>
        <w:t xml:space="preserve">The findings supported a causal interpretation: technical practices drive software-delivery performance, which drives organizational performance. The reverse direction (good organizations cause good software delivery) was tested and did not hold up nearly as cleanly. This is meaningful because it implies that a struggling organization can improve its broader performance by investing in software-delivery improvements — a more actionable conclusion than 'good organizations have good everything'.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FFF2CC" w:val="clear"/>
            <w:tcMar>
              <w:top w:type="dxa" w:w="140"/>
              <w:left w:type="dxa" w:w="200"/>
              <w:bottom w:type="dxa" w:w="140"/>
              <w:right w:type="dxa" w:w="200"/>
            </w:tcMar>
          </w:tcPr>
          <w:p>
            <w:pPr>
              <w:spacing w:after="80"/>
            </w:pPr>
            <w:r>
              <w:rPr>
                <w:b/>
                <w:bCs/>
                <w:color w:val="1F3864"/>
                <w:sz w:val="22"/>
                <w:szCs w:val="22"/>
              </w:rPr>
              <w:t xml:space="preserve">The Strategic Implication</w:t>
            </w:r>
          </w:p>
          <w:p>
            <w:pPr>
              <w:spacing w:after="0" w:line="300"/>
            </w:pPr>
            <w:r>
              <w:rPr>
                <w:sz w:val="22"/>
                <w:szCs w:val="22"/>
              </w:rPr>
              <w:t xml:space="preserve">DORA gave engineering leaders a research-backed argument that platform investment, automation, and continuous-delivery practices are not cost centers but value drivers. Every modern platform engineering pitch — including the ones in earlier modules of this curriculum — ultimately rests on this finding. Software delivery performance correlates with business outcomes; therefore investing in software delivery is investing in business outcomes.</w:t>
            </w:r>
          </w:p>
        </w:tc>
      </w:tr>
    </w:tbl>
    <w:p>
      <w:r>
        <w:br w:type="page"/>
      </w:r>
    </w:p>
    <w:p>
      <w:pPr>
        <w:pStyle w:val="Heading1"/>
        <w:spacing w:after="180" w:before="360"/>
      </w:pPr>
      <w:r>
        <w:t xml:space="preserve">8. The Headline Numbers: 200x and 2600x</w:t>
      </w:r>
    </w:p>
    <w:p>
      <w:pPr>
        <w:pStyle w:val="Heading2"/>
        <w:spacing w:after="140" w:before="280"/>
      </w:pPr>
      <w:r>
        <w:t xml:space="preserve">8.1 Where the Numbers Come From</w:t>
      </w:r>
    </w:p>
    <w:p>
      <w:pPr>
        <w:spacing w:after="120" w:line="320"/>
        <w:jc w:val="both"/>
      </w:pPr>
      <w:r>
        <w:t xml:space="preserve">Two specific numbers from the DORA research became famous, frequently quoted in keynotes, conference talks, and engineering-leadership presentations:</w:t>
      </w:r>
    </w:p>
    <w:p>
      <w:pPr>
        <w:pStyle w:val="ListParagraph"/>
        <w:numPr>
          <w:ilvl w:val="0"/>
          <w:numId w:val="2"/>
        </w:numPr>
        <w:spacing w:after="80" w:line="300"/>
      </w:pPr>
      <w:r>
        <w:t xml:space="preserve">High performers deploy approximately 200x more frequently than low performers.</w:t>
      </w:r>
    </w:p>
    <w:p>
      <w:pPr>
        <w:pStyle w:val="ListParagraph"/>
        <w:numPr>
          <w:ilvl w:val="0"/>
          <w:numId w:val="2"/>
        </w:numPr>
        <w:spacing w:after="80" w:line="300"/>
      </w:pPr>
      <w:r>
        <w:t xml:space="preserve">High performers recover from incidents approximately 2,600x faster than low performers.</w:t>
      </w:r>
    </w:p>
    <w:p>
      <w:pPr>
        <w:spacing w:after="120" w:line="320"/>
        <w:jc w:val="both"/>
      </w:pPr>
      <w:r>
        <w:t xml:space="preserve">These figures originated in DORA's earlier State of DevOps reports (around 2017-2018) and were prominently featured in the Accelerate book. They are the most-cited specific quantitative findings of the research, and they captured the imagination of the industry in a way that more nuanced statistical findings did not.</w:t>
      </w:r>
    </w:p>
    <w:p>
      <w:pPr>
        <w:spacing w:after="120" w:line="320"/>
        <w:jc w:val="both"/>
      </w:pPr>
      <w:r>
        <w:t xml:space="preserve">The numbers come from comparing the top performance cluster (elite performers) against the bottom performance cluster (low performers) on the relevant metrics. Specifically: elite performers were deploying many times per day per service, while low performers were deploying somewhere between weekly and monthly — when you compare the deployment rates directly, the multiplier comes out around 200x. Similarly, elite performers were recovering from incidents in under an hour, while low performers were taking weeks — that ratio comes to roughly 2,600x.</w:t>
      </w:r>
    </w:p>
    <w:p>
      <w:pPr>
        <w:pStyle w:val="Heading2"/>
        <w:spacing w:after="140" w:before="280"/>
      </w:pPr>
      <w:r>
        <w:t xml:space="preserve">8.2 What They Mean and What They Don't</w:t>
      </w:r>
    </w:p>
    <w:p>
      <w:pPr>
        <w:spacing w:after="120" w:line="320"/>
        <w:jc w:val="both"/>
      </w:pPr>
      <w:r>
        <w:t xml:space="preserve">The numbers are real, but they are easily misunderstood. Several caveats are worth knowing:</w:t>
      </w:r>
    </w:p>
    <w:p>
      <w:pPr>
        <w:pStyle w:val="ListParagraph"/>
        <w:numPr>
          <w:ilvl w:val="0"/>
          <w:numId w:val="2"/>
        </w:numPr>
        <w:spacing w:after="80" w:line="300"/>
      </w:pPr>
      <w:r>
        <w:t xml:space="preserve">They are ratios between the EXTREMES of the performance distribution, not averages. Most organizations do not deploy 200x more than they did before; the ratio compares the top tier to the bottom tier.</w:t>
      </w:r>
    </w:p>
    <w:p>
      <w:pPr>
        <w:pStyle w:val="ListParagraph"/>
        <w:numPr>
          <w:ilvl w:val="0"/>
          <w:numId w:val="2"/>
        </w:numPr>
        <w:spacing w:after="80" w:line="300"/>
      </w:pPr>
      <w:r>
        <w:t xml:space="preserve">The exact multipliers shift across years as the cluster boundaries shift. Some years the deployment-frequency ratio has been higher; some years lower. The 200x figure is a representative number, not a fixed constant.</w:t>
      </w:r>
    </w:p>
    <w:p>
      <w:pPr>
        <w:pStyle w:val="ListParagraph"/>
        <w:numPr>
          <w:ilvl w:val="0"/>
          <w:numId w:val="2"/>
        </w:numPr>
        <w:spacing w:after="80" w:line="300"/>
      </w:pPr>
      <w:r>
        <w:t xml:space="preserve">The 2,600x recovery-time ratio is particularly sensitive to definition: 'low performers take weeks' compared to 'elite recovers in under an hour' produces an enormous ratio, but small definitional differences move the number significantly.</w:t>
      </w:r>
    </w:p>
    <w:p>
      <w:pPr>
        <w:pStyle w:val="ListParagraph"/>
        <w:numPr>
          <w:ilvl w:val="0"/>
          <w:numId w:val="2"/>
        </w:numPr>
        <w:spacing w:after="80" w:line="300"/>
      </w:pPr>
      <w:r>
        <w:t xml:space="preserve">Different reports have cited different specific multipliers as the underlying data has evolved. A reader citing the figures should be careful to mention which year's report the figures come from, and recognize that they are illustrative orders of magnitude rather than precisely fixed measurements.</w:t>
      </w:r>
    </w:p>
    <w:p>
      <w:pPr>
        <w:pStyle w:val="ListParagraph"/>
        <w:numPr>
          <w:ilvl w:val="0"/>
          <w:numId w:val="2"/>
        </w:numPr>
        <w:spacing w:after="80" w:line="300"/>
      </w:pPr>
      <w:r>
        <w:t xml:space="preserve">The 2025 report's shift away from performance tiers means future versions of these comparisons may not be available in the same form. The figures are tied to a methodological framework that DORA itself has now moved past.</w:t>
      </w:r>
    </w:p>
    <w:p>
      <w:pPr>
        <w:pStyle w:val="Heading2"/>
        <w:spacing w:after="140" w:before="280"/>
      </w:pPr>
      <w:r>
        <w:t xml:space="preserve">8.3 Why These Numbers Changed the Industry Conversation</w:t>
      </w:r>
    </w:p>
    <w:p>
      <w:pPr>
        <w:spacing w:after="120" w:line="320"/>
        <w:jc w:val="both"/>
      </w:pPr>
      <w:r>
        <w:t xml:space="preserve">Despite the caveats, the headline numbers had enormous rhetorical power. Three reasons stand out:</w:t>
      </w:r>
    </w:p>
    <w:p>
      <w:pPr>
        <w:pStyle w:val="ListParagraph"/>
        <w:numPr>
          <w:ilvl w:val="0"/>
          <w:numId w:val="2"/>
        </w:numPr>
        <w:spacing w:after="80" w:line="300"/>
      </w:pPr>
      <w:r>
        <w:t xml:space="preserve">Vivid contrast: a 200x difference in deployment frequency is dramatic in a way that statistically modest differences are not. It made the gap between high and low performers feel enormous, urgent, addressable.</w:t>
      </w:r>
    </w:p>
    <w:p>
      <w:pPr>
        <w:pStyle w:val="ListParagraph"/>
        <w:numPr>
          <w:ilvl w:val="0"/>
          <w:numId w:val="2"/>
        </w:numPr>
        <w:spacing w:after="80" w:line="300"/>
      </w:pPr>
      <w:r>
        <w:t xml:space="preserve">Concreteness: 'high-performing teams ship better software' is abstract; 'high-performing teams ship 200 times more often' is concrete enough to plan around.</w:t>
      </w:r>
    </w:p>
    <w:p>
      <w:pPr>
        <w:pStyle w:val="ListParagraph"/>
        <w:numPr>
          <w:ilvl w:val="0"/>
          <w:numId w:val="2"/>
        </w:numPr>
        <w:spacing w:after="80" w:line="300"/>
      </w:pPr>
      <w:r>
        <w:t xml:space="preserve">Boardroom-friendly: a number you can put on a slide is a number senior leaders engage with. The 200x and 2,600x figures fit this format perfectly.</w:t>
      </w:r>
    </w:p>
    <w:p>
      <w:pPr>
        <w:spacing w:after="120" w:line="320"/>
        <w:jc w:val="both"/>
      </w:pPr>
      <w:r>
        <w:t xml:space="preserve">More than any other single output, these numbers made the case for DevOps, continuous delivery, and platform engineering investment to non-engineering leadership. Boards and executives who would never read a 250-page research book understood the implications of 200x and 2,600x intuitively. This is, arguably, what made DORA's research a strategic input rather than just a technical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FFF2CC" w:val="clear"/>
            <w:tcMar>
              <w:top w:type="dxa" w:w="140"/>
              <w:left w:type="dxa" w:w="200"/>
              <w:bottom w:type="dxa" w:w="140"/>
              <w:right w:type="dxa" w:w="200"/>
            </w:tcMar>
          </w:tcPr>
          <w:p>
            <w:pPr>
              <w:spacing w:after="80"/>
            </w:pPr>
            <w:r>
              <w:rPr>
                <w:b/>
                <w:bCs/>
                <w:color w:val="1F3864"/>
                <w:sz w:val="22"/>
                <w:szCs w:val="22"/>
              </w:rPr>
              <w:t xml:space="preserve">Use Honestly</w:t>
            </w:r>
          </w:p>
          <w:p>
            <w:pPr>
              <w:spacing w:after="0" w:line="300"/>
            </w:pPr>
            <w:r>
              <w:rPr>
                <w:sz w:val="22"/>
                <w:szCs w:val="22"/>
              </w:rPr>
              <w:t xml:space="preserve">When citing the 200x and 2,600x figures, do so with appropriate context. They are real findings from real research, but they describe the difference between extremes of the performance distribution, not the typical improvement an organization should expect from one year of platform investment. Used honestly, they are powerful evidence; used carelessly, they invite skepticism that undermines the broader argument.</w:t>
            </w:r>
          </w:p>
        </w:tc>
      </w:tr>
    </w:tbl>
    <w:p>
      <w:r>
        <w:br w:type="page"/>
      </w:r>
    </w:p>
    <w:p>
      <w:pPr>
        <w:pStyle w:val="Heading1"/>
        <w:spacing w:after="180" w:before="360"/>
      </w:pPr>
      <w:r>
        <w:t xml:space="preserve">9. End-to-End Worked Example: 'Meridian Software' Discovers DORA</w:t>
      </w:r>
    </w:p>
    <w:p>
      <w:pPr>
        <w:spacing w:after="120" w:line="320"/>
        <w:jc w:val="both"/>
      </w:pPr>
      <w:r>
        <w:t xml:space="preserve">To make all of this concrete, here is a realistic story of an engineering organization encountering and applying the DORA research.</w:t>
      </w:r>
    </w:p>
    <w:p>
      <w:pPr>
        <w:pStyle w:val="Heading2"/>
        <w:spacing w:after="140" w:before="280"/>
      </w:pPr>
      <w:r>
        <w:t xml:space="preserve">Setting the Scene</w:t>
      </w:r>
    </w:p>
    <w:p>
      <w:pPr>
        <w:spacing w:after="120" w:line="320"/>
        <w:jc w:val="both"/>
      </w:pPr>
      <w:r>
        <w:t xml:space="preserve">Meridian Software is a fictional 270-engineer mid-market SaaS company in 2023. Engineering leadership has been telling the executive team for two years that 'we need to invest in our delivery infrastructure' but has been unable to defend specific budget asks. The executive team has been reluctant — they hear conflicting opinions about software-delivery best practices and don't know which to trust. Tensions have been rising. The new VP of Engineering, brought in to address the situation, decides to ground the conversation in the DORA research.</w:t>
      </w:r>
    </w:p>
    <w:p>
      <w:pPr>
        <w:pStyle w:val="Heading2"/>
        <w:spacing w:after="140" w:before="280"/>
      </w:pPr>
      <w:r>
        <w:t xml:space="preserve">Step 1: Reading the Research</w:t>
      </w:r>
    </w:p>
    <w:p>
      <w:pPr>
        <w:spacing w:after="120" w:line="320"/>
        <w:jc w:val="both"/>
      </w:pPr>
      <w:r>
        <w:t xml:space="preserve">The VP and her tech leads read Accelerate together and review the most recent State of DevOps Report. The reading transforms several internal arguments. The VP highlights three specific findings to leadership:</w:t>
      </w:r>
    </w:p>
    <w:p>
      <w:pPr>
        <w:pStyle w:val="ListParagraph"/>
        <w:numPr>
          <w:ilvl w:val="0"/>
          <w:numId w:val="2"/>
        </w:numPr>
        <w:spacing w:after="80" w:line="300"/>
      </w:pPr>
      <w:r>
        <w:t xml:space="preserve">Speed and stability are not in tension — elite teams achieve both. The team's prior reluctance to deploy more often, citing stability concerns, is unsupported by the research.</w:t>
      </w:r>
    </w:p>
    <w:p>
      <w:pPr>
        <w:pStyle w:val="ListParagraph"/>
        <w:numPr>
          <w:ilvl w:val="0"/>
          <w:numId w:val="2"/>
        </w:numPr>
        <w:spacing w:after="80" w:line="300"/>
      </w:pPr>
      <w:r>
        <w:t xml:space="preserve">Software-delivery performance correlates with profitability and customer satisfaction. The investments she is asking for are not cost-center asks; they are value-driver asks.</w:t>
      </w:r>
    </w:p>
    <w:p>
      <w:pPr>
        <w:pStyle w:val="ListParagraph"/>
        <w:numPr>
          <w:ilvl w:val="0"/>
          <w:numId w:val="2"/>
        </w:numPr>
        <w:spacing w:after="80" w:line="300"/>
      </w:pPr>
      <w:r>
        <w:t xml:space="preserve">Specific practices reliably predict performance: continuous integration, automated testing, trunk-based development, loosely-coupled architecture. These give a concrete priority list.</w:t>
      </w:r>
    </w:p>
    <w:p>
      <w:pPr>
        <w:pStyle w:val="Heading2"/>
        <w:spacing w:after="140" w:before="280"/>
      </w:pPr>
      <w:r>
        <w:t xml:space="preserve">Step 2: Measuring the Baseline</w:t>
      </w:r>
    </w:p>
    <w:p>
      <w:pPr>
        <w:spacing w:after="120" w:line="320"/>
        <w:jc w:val="both"/>
      </w:pPr>
      <w:r>
        <w:t xml:space="preserve">Before pitching the executive team, the VP spends six weeks measuring Meridian's current performance against the DORA framework. The team pulls data from CI/CD systems, incident-management tools, and the version-control history. They find:</w:t>
      </w:r>
    </w:p>
    <w:p>
      <w:pPr>
        <w:pStyle w:val="ListParagraph"/>
        <w:numPr>
          <w:ilvl w:val="0"/>
          <w:numId w:val="2"/>
        </w:numPr>
        <w:spacing w:after="80" w:line="300"/>
      </w:pPr>
      <w:r>
        <w:t xml:space="preserve">Deployment frequency: 0.6 per service per week (Medium tier in the 2024 framework).</w:t>
      </w:r>
    </w:p>
    <w:p>
      <w:pPr>
        <w:pStyle w:val="ListParagraph"/>
        <w:numPr>
          <w:ilvl w:val="0"/>
          <w:numId w:val="2"/>
        </w:numPr>
        <w:spacing w:after="80" w:line="300"/>
      </w:pPr>
      <w:r>
        <w:t xml:space="preserve">Lead time for changes: 11 days median (Medium tier).</w:t>
      </w:r>
    </w:p>
    <w:p>
      <w:pPr>
        <w:pStyle w:val="ListParagraph"/>
        <w:numPr>
          <w:ilvl w:val="0"/>
          <w:numId w:val="2"/>
        </w:numPr>
        <w:spacing w:after="80" w:line="300"/>
      </w:pPr>
      <w:r>
        <w:t xml:space="preserve">Change failure rate: 17% (Medium-to-High range).</w:t>
      </w:r>
    </w:p>
    <w:p>
      <w:pPr>
        <w:pStyle w:val="ListParagraph"/>
        <w:numPr>
          <w:ilvl w:val="0"/>
          <w:numId w:val="2"/>
        </w:numPr>
        <w:spacing w:after="80" w:line="300"/>
      </w:pPr>
      <w:r>
        <w:t xml:space="preserve">Mean time to restore: 4.5 hours (High tier).</w:t>
      </w:r>
    </w:p>
    <w:p>
      <w:pPr>
        <w:pStyle w:val="ListParagraph"/>
        <w:numPr>
          <w:ilvl w:val="0"/>
          <w:numId w:val="2"/>
        </w:numPr>
        <w:spacing w:after="80" w:line="300"/>
      </w:pPr>
      <w:r>
        <w:t xml:space="preserve">Overall classification: comfortably Medium, with stability slightly stronger than throughput.</w:t>
      </w:r>
    </w:p>
    <w:p>
      <w:pPr>
        <w:spacing w:after="120" w:line="320"/>
        <w:jc w:val="both"/>
      </w:pPr>
      <w:r>
        <w:t xml:space="preserve">The baseline is unflattering but specific. The VP can now make the argument 'we are Medium where Elite is achievable; the gap costs us approximately X in business outcomes per year' rather than 'we should be better'.</w:t>
      </w:r>
    </w:p>
    <w:p>
      <w:pPr>
        <w:pStyle w:val="Heading2"/>
        <w:spacing w:after="140" w:before="280"/>
      </w:pPr>
      <w:r>
        <w:t xml:space="preserve">Step 3: Connecting to Business Outcomes</w:t>
      </w:r>
    </w:p>
    <w:p>
      <w:pPr>
        <w:spacing w:after="120" w:line="320"/>
        <w:jc w:val="both"/>
      </w:pPr>
      <w:r>
        <w:t xml:space="preserve">Drawing on the DORA business-outcome findings, the VP frames the budget ask in business language: 'closing this gap is statistically associated with a 2x improvement in our ability to meet organizational performance goals'. She does not claim Meridian will literally achieve 2x — she presents the multiplier as the directional research finding and applies it cautiously to Meridian's specific business goals (revenue growth, customer satisfaction, retention).</w:t>
      </w:r>
    </w:p>
    <w:p>
      <w:pPr>
        <w:spacing w:after="120" w:line="320"/>
        <w:jc w:val="both"/>
      </w:pPr>
      <w:r>
        <w:t xml:space="preserve">The executive team, now hearing software delivery framed in their own language, approves a substantial multi-year platform-engineering investment. The DORA research is the load-bearing element of the pitch.</w:t>
      </w:r>
    </w:p>
    <w:p>
      <w:pPr>
        <w:pStyle w:val="Heading2"/>
        <w:spacing w:after="140" w:before="280"/>
      </w:pPr>
      <w:r>
        <w:t xml:space="preserve">Step 4: Setting Targets</w:t>
      </w:r>
    </w:p>
    <w:p>
      <w:pPr>
        <w:spacing w:after="120" w:line="320"/>
        <w:jc w:val="both"/>
      </w:pPr>
      <w:r>
        <w:t xml:space="preserve">With investment approved, the VP sets explicit DORA-aligned targets for the platform team's first 18 months: lead time below 24 hours, deployment frequency to multi-deploy-per-day per service, change failure rate below 8%, MTTR below one hour. These are aggressive but defensible — they correspond to the High tier of the 2024 framework.</w:t>
      </w:r>
    </w:p>
    <w:p>
      <w:pPr>
        <w:pStyle w:val="Heading2"/>
        <w:spacing w:after="140" w:before="280"/>
      </w:pPr>
      <w:r>
        <w:t xml:space="preserve">Step 5: Tracking Progress</w:t>
      </w:r>
    </w:p>
    <w:p>
      <w:pPr>
        <w:spacing w:after="120" w:line="320"/>
        <w:jc w:val="both"/>
      </w:pPr>
      <w:r>
        <w:t xml:space="preserve">Quarterly, the VP reports DORA metrics to the executive team alongside business outcomes. Over 18 months, the metrics improve substantially: lead time drops to 8 hours, deployment frequency rises to roughly 4 per service per week, change failure rate drops to 6%, MTTR drops to 35 minutes. Most metrics now sit in the High tier; deployment frequency continues to climb toward Elite.</w:t>
      </w:r>
    </w:p>
    <w:p>
      <w:pPr>
        <w:spacing w:after="120" w:line="320"/>
        <w:jc w:val="both"/>
      </w:pPr>
      <w:r>
        <w:t xml:space="preserve">Crucially, business outcomes improve in parallel: customer-satisfaction scores rise, voluntary attrition falls, the company ships several major product launches that the previous pace would have made impossible. The VP can now point to the DORA-aligned chart and say 'the pattern the research predicted is exactly what we are seeing'. The argument for continued platform investment writes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E2EFDA" w:val="clear"/>
            <w:tcMar>
              <w:top w:type="dxa" w:w="140"/>
              <w:left w:type="dxa" w:w="200"/>
              <w:bottom w:type="dxa" w:w="140"/>
              <w:right w:type="dxa" w:w="200"/>
            </w:tcMar>
          </w:tcPr>
          <w:p>
            <w:pPr>
              <w:spacing w:after="80"/>
            </w:pPr>
            <w:r>
              <w:rPr>
                <w:b/>
                <w:bCs/>
                <w:color w:val="1F3864"/>
                <w:sz w:val="22"/>
                <w:szCs w:val="22"/>
              </w:rPr>
              <w:t xml:space="preserve">The Lesson</w:t>
            </w:r>
          </w:p>
          <w:p>
            <w:pPr>
              <w:spacing w:after="0" w:line="300"/>
            </w:pPr>
            <w:r>
              <w:rPr>
                <w:sz w:val="22"/>
                <w:szCs w:val="22"/>
              </w:rPr>
              <w:t xml:space="preserve">Meridian's leadership did not invent any new technical strategy — the practices they invested in (CI/CD, automated testing, trunk-based development, etc.) were standard. What changed was the framing. By grounding the conversation in DORA's research, the VP turned 'we should do platform engineering' from an opinion to an evidence-backed strategic argument. The research did not produce the technical changes; it produced the institutional alignment that funded them.</w:t>
            </w:r>
          </w:p>
        </w:tc>
      </w:tr>
    </w:tbl>
    <w:p>
      <w:r>
        <w:br w:type="page"/>
      </w:r>
    </w:p>
    <w:p>
      <w:pPr>
        <w:pStyle w:val="Heading1"/>
        <w:spacing w:after="180" w:before="360"/>
      </w:pPr>
      <w:r>
        <w:t xml:space="preserve">10. Common Misunderstandings of the DORA Research</w:t>
      </w:r>
    </w:p>
    <w:p>
      <w:pPr>
        <w:pStyle w:val="Heading3"/>
        <w:spacing w:after="120" w:before="220"/>
      </w:pPr>
      <w:r>
        <w:t xml:space="preserve">Misunderstanding 1 — Treating the Tier Thresholds as Universal Targets</w:t>
      </w:r>
    </w:p>
    <w:p>
      <w:pPr>
        <w:spacing w:after="120" w:line="320"/>
        <w:jc w:val="both"/>
      </w:pPr>
      <w:r>
        <w:t xml:space="preserve">The elite/high/medium/low thresholds were derived from cluster analysis of survey data and have shifted year over year. Treating them as fixed universal targets — and demanding every team hit 'elite' — produces gaming and misalignment. The thresholds are benchmarks, not commandments. The 2025 report's move away from tiers entirely partly addresses this.</w:t>
      </w:r>
    </w:p>
    <w:p>
      <w:pPr>
        <w:pStyle w:val="Heading3"/>
        <w:spacing w:after="120" w:before="220"/>
      </w:pPr>
      <w:r>
        <w:t xml:space="preserve">Misunderstanding 2 — Optimizing Single Metrics</w:t>
      </w:r>
    </w:p>
    <w:p>
      <w:pPr>
        <w:spacing w:after="120" w:line="320"/>
        <w:jc w:val="both"/>
      </w:pPr>
      <w:r>
        <w:t xml:space="preserve">DORA itself has been clear that the four metrics must be read together. A team optimizing only deployment frequency can game the metric while degrading stability. The Goodhart's-Law warning from earlier modules applies forcefully here — the metrics work as a set, not individually.</w:t>
      </w:r>
    </w:p>
    <w:p>
      <w:pPr>
        <w:pStyle w:val="Heading3"/>
        <w:spacing w:after="120" w:before="220"/>
      </w:pPr>
      <w:r>
        <w:t xml:space="preserve">Misunderstanding 3 — Treating DORA as the Whole Picture</w:t>
      </w:r>
    </w:p>
    <w:p>
      <w:pPr>
        <w:spacing w:after="120" w:line="320"/>
        <w:jc w:val="both"/>
      </w:pPr>
      <w:r>
        <w:t xml:space="preserve">DORA measures software delivery and broader organizational performance. It does NOT measure all aspects of developer productivity or experience. The SPACE framework (covered earlier in this curriculum) was developed in part to address this. DORA is one tool, complementary to others, not the complete answer.</w:t>
      </w:r>
    </w:p>
    <w:p>
      <w:pPr>
        <w:pStyle w:val="Heading3"/>
        <w:spacing w:after="120" w:before="220"/>
      </w:pPr>
      <w:r>
        <w:t xml:space="preserve">Misunderstanding 4 — Believing the 200x and 2600x Figures Apply to Improvement Trajectories</w:t>
      </w:r>
    </w:p>
    <w:p>
      <w:pPr>
        <w:spacing w:after="120" w:line="320"/>
        <w:jc w:val="both"/>
      </w:pPr>
      <w:r>
        <w:t xml:space="preserve">Those figures describe the difference between extremes of the performance distribution. They do NOT mean an organization that adopts platform engineering will deploy 200x more. The realistic improvement for a typical organization is more like 4x to 10x, which is enormous and worth the investment but is much less than the headline figures suggest.</w:t>
      </w:r>
    </w:p>
    <w:p>
      <w:pPr>
        <w:pStyle w:val="Heading3"/>
        <w:spacing w:after="120" w:before="220"/>
      </w:pPr>
      <w:r>
        <w:t xml:space="preserve">Misunderstanding 5 — Confusing Correlation with Causation</w:t>
      </w:r>
    </w:p>
    <w:p>
      <w:pPr>
        <w:spacing w:after="120" w:line="320"/>
        <w:jc w:val="both"/>
      </w:pPr>
      <w:r>
        <w:t xml:space="preserve">DORA established a causal link from technical practices to delivery performance to business outcomes, using structural equation modeling to test directionality. But not every DORA finding is causal — many are correlational, and the reports try to distinguish them. Reading the methodology section of any cited DORA finding is essential before treating it as 'X causes Y'.</w:t>
      </w:r>
    </w:p>
    <w:p>
      <w:pPr>
        <w:pStyle w:val="Heading3"/>
        <w:spacing w:after="120" w:before="220"/>
      </w:pPr>
      <w:r>
        <w:t xml:space="preserve">Misunderstanding 6 — Citing Old Reports Without Context</w:t>
      </w:r>
    </w:p>
    <w:p>
      <w:pPr>
        <w:spacing w:after="120" w:line="320"/>
        <w:jc w:val="both"/>
      </w:pPr>
      <w:r>
        <w:t xml:space="preserve">The State of DevOps Report has been published annually for over a decade, and the methodology has evolved meaningfully. A finding from 2017 may have been refined or reinterpreted by 2024. When citing DORA, identify the year and version of the framework the citation is drawing from.</w:t>
      </w:r>
    </w:p>
    <w:p>
      <w:pPr>
        <w:pStyle w:val="Heading3"/>
        <w:spacing w:after="120" w:before="220"/>
      </w:pPr>
      <w:r>
        <w:t xml:space="preserve">Misunderstanding 7 — Ignoring the 2025 Methodological Shift</w:t>
      </w:r>
    </w:p>
    <w:p>
      <w:pPr>
        <w:spacing w:after="120" w:line="320"/>
        <w:jc w:val="both"/>
      </w:pPr>
      <w:r>
        <w:t xml:space="preserve">The 2025 report dropped the elite/high/medium/low framework in favor of seven team archetypes and added an AI-focused dimension. Material that pre-dates this shift continues to be valid as historical context but should be supplemented with the current framework when using DORA in 2026 and beyond. Be aware which model your audience is operating with.</w:t>
      </w:r>
    </w:p>
    <w:p>
      <w:pPr>
        <w:pStyle w:val="Heading3"/>
        <w:spacing w:after="120" w:before="220"/>
      </w:pPr>
      <w:r>
        <w:t xml:space="preserve">Misunderstanding 8 — Using the Research as a Cudgel Rather Than a Diagnostic</w:t>
      </w:r>
    </w:p>
    <w:p>
      <w:pPr>
        <w:spacing w:after="120" w:line="320"/>
        <w:jc w:val="both"/>
      </w:pPr>
      <w:r>
        <w:t xml:space="preserve">DORA findings were intended to help teams understand and improve their delivery performance. Using them to shame teams ('you are not Elite') or to mandate behavior produces the gaming and resistance described in earlier modules. The research is most useful as a diagnostic tool, applied with curiosity rather than judgment.</w:t>
      </w:r>
    </w:p>
    <w:p>
      <w:r>
        <w:br w:type="page"/>
      </w:r>
    </w:p>
    <w:p>
      <w:pPr>
        <w:pStyle w:val="Heading1"/>
        <w:spacing w:after="180" w:before="360"/>
      </w:pPr>
      <w:r>
        <w:t xml:space="preserve">11. Quick-Reference Summary</w:t>
      </w:r>
    </w:p>
    <w:p>
      <w:pPr>
        <w:pStyle w:val="Heading3"/>
        <w:spacing w:after="120" w:before="220"/>
      </w:pPr>
      <w:r>
        <w:t xml:space="preserve">DORA in One Sentence</w:t>
      </w:r>
    </w:p>
    <w:p>
      <w:pPr>
        <w:spacing w:after="120" w:line="320"/>
        <w:jc w:val="both"/>
      </w:pPr>
      <w:r>
        <w:t xml:space="preserve">DORA is the research program that, since 2014, has applied scientific methodology to the question of what makes software delivery effective — producing the four key metrics, the Accelerate book, more than a decade of annual State of DevOps reports, and a body of evidence that has reshaped how the industry thinks about engineering performance and platform investment.</w:t>
      </w:r>
    </w:p>
    <w:p>
      <w:pPr>
        <w:pStyle w:val="Heading3"/>
        <w:spacing w:after="120" w:before="220"/>
      </w:pPr>
      <w:r>
        <w:t xml:space="preserve">The Founding Researchers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Researcher</w:t>
            </w:r>
          </w:p>
        </w:tc>
        <w:tc>
          <w:tcPr>
            <w:tcW w:type="dxa" w:w="666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Contribution</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Nicole Forsgren</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Lead researcher; statistical methodology; later co-authored the SPACE paper.</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Jez Humble</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Practitioner depth; co-author of Continuous Delivery (2010); translated findings into practices.</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Gene Kim</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Narrative and movement-building; The Phoenix Project; founded IT Revolution Press.</w:t>
            </w:r>
          </w:p>
        </w:tc>
      </w:tr>
    </w:tbl>
    <w:p>
      <w:pPr>
        <w:spacing w:after="120" w:line="320"/>
        <w:jc w:val="both"/>
      </w:pPr>
      <w:r>
        <w:t xml:space="preserve"/>
      </w:r>
    </w:p>
    <w:p>
      <w:pPr>
        <w:pStyle w:val="Heading3"/>
        <w:spacing w:after="120" w:before="220"/>
      </w:pPr>
      <w:r>
        <w:t xml:space="preserve">Key Outputs</w:t>
      </w:r>
    </w:p>
    <w:p>
      <w:pPr>
        <w:pStyle w:val="ListParagraph"/>
        <w:numPr>
          <w:ilvl w:val="0"/>
          <w:numId w:val="2"/>
        </w:numPr>
        <w:spacing w:after="80" w:line="300"/>
      </w:pPr>
      <w:r>
        <w:t xml:space="preserve">Accelerate (2018) — the canonical book consolidating the early findings.</w:t>
      </w:r>
    </w:p>
    <w:p>
      <w:pPr>
        <w:pStyle w:val="ListParagraph"/>
        <w:numPr>
          <w:ilvl w:val="0"/>
          <w:numId w:val="2"/>
        </w:numPr>
        <w:spacing w:after="80" w:line="300"/>
      </w:pPr>
      <w:r>
        <w:t xml:space="preserve">State of DevOps Reports (annual since 2014) — the ongoing research output.</w:t>
      </w:r>
    </w:p>
    <w:p>
      <w:pPr>
        <w:pStyle w:val="ListParagraph"/>
        <w:numPr>
          <w:ilvl w:val="0"/>
          <w:numId w:val="2"/>
        </w:numPr>
        <w:spacing w:after="80" w:line="300"/>
      </w:pPr>
      <w:r>
        <w:t xml:space="preserve">The Four Keys: Deployment Frequency, Lead Time for Changes, Change Failure Rate, MTTR.</w:t>
      </w:r>
    </w:p>
    <w:p>
      <w:pPr>
        <w:pStyle w:val="ListParagraph"/>
        <w:numPr>
          <w:ilvl w:val="0"/>
          <w:numId w:val="2"/>
        </w:numPr>
        <w:spacing w:after="80" w:line="300"/>
      </w:pPr>
      <w:r>
        <w:t xml:space="preserve">The business-outcome link: software delivery performance correlates with profitability, market share, customer satisfaction.</w:t>
      </w:r>
    </w:p>
    <w:p>
      <w:pPr>
        <w:pStyle w:val="Heading3"/>
        <w:spacing w:after="120" w:before="220"/>
      </w:pPr>
      <w:r>
        <w:t xml:space="preserve">Methodology Highlights</w:t>
      </w:r>
    </w:p>
    <w:p>
      <w:pPr>
        <w:pStyle w:val="ListParagraph"/>
        <w:numPr>
          <w:ilvl w:val="0"/>
          <w:numId w:val="2"/>
        </w:numPr>
        <w:spacing w:after="80" w:line="300"/>
      </w:pPr>
      <w:r>
        <w:t xml:space="preserve">Survey-based research with tens of thousands of respondents annually.</w:t>
      </w:r>
    </w:p>
    <w:p>
      <w:pPr>
        <w:pStyle w:val="ListParagraph"/>
        <w:numPr>
          <w:ilvl w:val="0"/>
          <w:numId w:val="2"/>
        </w:numPr>
        <w:spacing w:after="80" w:line="300"/>
      </w:pPr>
      <w:r>
        <w:t xml:space="preserve">Validated constructs measuring latent variables (culture, capability, etc.).</w:t>
      </w:r>
    </w:p>
    <w:p>
      <w:pPr>
        <w:pStyle w:val="ListParagraph"/>
        <w:numPr>
          <w:ilvl w:val="0"/>
          <w:numId w:val="2"/>
        </w:numPr>
        <w:spacing w:after="80" w:line="300"/>
      </w:pPr>
      <w:r>
        <w:t xml:space="preserve">Cluster analysis to identify performance tiers (in pre-2025 reports).</w:t>
      </w:r>
    </w:p>
    <w:p>
      <w:pPr>
        <w:pStyle w:val="ListParagraph"/>
        <w:numPr>
          <w:ilvl w:val="0"/>
          <w:numId w:val="2"/>
        </w:numPr>
        <w:spacing w:after="80" w:line="300"/>
      </w:pPr>
      <w:r>
        <w:t xml:space="preserve">Structural equation modeling to test causal relationships.</w:t>
      </w:r>
    </w:p>
    <w:p>
      <w:pPr>
        <w:pStyle w:val="Heading3"/>
        <w:spacing w:after="120" w:before="220"/>
      </w:pPr>
      <w:r>
        <w:t xml:space="preserve">Famous Findings</w:t>
      </w:r>
    </w:p>
    <w:p>
      <w:pPr>
        <w:pStyle w:val="ListParagraph"/>
        <w:numPr>
          <w:ilvl w:val="0"/>
          <w:numId w:val="2"/>
        </w:numPr>
        <w:spacing w:after="80" w:line="300"/>
      </w:pPr>
      <w:r>
        <w:t xml:space="preserve">Speed and stability are not in tension — elite teams achieve both simultaneously.</w:t>
      </w:r>
    </w:p>
    <w:p>
      <w:pPr>
        <w:pStyle w:val="ListParagraph"/>
        <w:numPr>
          <w:ilvl w:val="0"/>
          <w:numId w:val="2"/>
        </w:numPr>
        <w:spacing w:after="80" w:line="300"/>
      </w:pPr>
      <w:r>
        <w:t xml:space="preserve">Elite teams deploy approximately 200x more frequently than low performers.</w:t>
      </w:r>
    </w:p>
    <w:p>
      <w:pPr>
        <w:pStyle w:val="ListParagraph"/>
        <w:numPr>
          <w:ilvl w:val="0"/>
          <w:numId w:val="2"/>
        </w:numPr>
        <w:spacing w:after="80" w:line="300"/>
      </w:pPr>
      <w:r>
        <w:t xml:space="preserve">Elite teams recover from incidents approximately 2,600x faster than low performers.</w:t>
      </w:r>
    </w:p>
    <w:p>
      <w:pPr>
        <w:pStyle w:val="ListParagraph"/>
        <w:numPr>
          <w:ilvl w:val="0"/>
          <w:numId w:val="2"/>
        </w:numPr>
        <w:spacing w:after="80" w:line="300"/>
      </w:pPr>
      <w:r>
        <w:t xml:space="preserve">High software delivery performance correlates with 2x likelihood of meeting organizational goals.</w:t>
      </w:r>
    </w:p>
    <w:p>
      <w:pPr>
        <w:pStyle w:val="Heading3"/>
        <w:spacing w:after="120" w:before="220"/>
      </w:pPr>
      <w:r>
        <w:t xml:space="preserve">Evolution Over Time</w:t>
      </w:r>
    </w:p>
    <w:p>
      <w:pPr>
        <w:pStyle w:val="ListParagraph"/>
        <w:numPr>
          <w:ilvl w:val="0"/>
          <w:numId w:val="2"/>
        </w:numPr>
        <w:spacing w:after="80" w:line="300"/>
      </w:pPr>
      <w:r>
        <w:t xml:space="preserve">2014-2017: Foundation; the four metrics; performance tiers.</w:t>
      </w:r>
    </w:p>
    <w:p>
      <w:pPr>
        <w:pStyle w:val="ListParagraph"/>
        <w:numPr>
          <w:ilvl w:val="0"/>
          <w:numId w:val="2"/>
        </w:numPr>
        <w:spacing w:after="80" w:line="300"/>
      </w:pPr>
      <w:r>
        <w:t xml:space="preserve">2018: Accelerate book published; Google Cloud acquires DORA.</w:t>
      </w:r>
    </w:p>
    <w:p>
      <w:pPr>
        <w:pStyle w:val="ListParagraph"/>
        <w:numPr>
          <w:ilvl w:val="0"/>
          <w:numId w:val="2"/>
        </w:numPr>
        <w:spacing w:after="80" w:line="300"/>
      </w:pPr>
      <w:r>
        <w:t xml:space="preserve">2019-2024: Methodology refined; new variables added (culture, leadership, platform engineering).</w:t>
      </w:r>
    </w:p>
    <w:p>
      <w:pPr>
        <w:pStyle w:val="ListParagraph"/>
        <w:numPr>
          <w:ilvl w:val="0"/>
          <w:numId w:val="2"/>
        </w:numPr>
        <w:spacing w:after="80" w:line="300"/>
      </w:pPr>
      <w:r>
        <w:t xml:space="preserve">2024: User-centricity emerges as strongest predictor; platform engineering caveats noted.</w:t>
      </w:r>
    </w:p>
    <w:p>
      <w:pPr>
        <w:pStyle w:val="ListParagraph"/>
        <w:numPr>
          <w:ilvl w:val="0"/>
          <w:numId w:val="2"/>
        </w:numPr>
        <w:spacing w:after="80" w:line="300"/>
      </w:pPr>
      <w:r>
        <w:t xml:space="preserve">2025: Major methodological shift — performance tiers replaced by seven team archetypes; focus shifts to AI-assisted development.</w:t>
      </w:r>
    </w:p>
    <w:p>
      <w:pPr>
        <w:pStyle w:val="Heading3"/>
        <w:spacing w:after="120" w:before="220"/>
      </w:pPr>
      <w:r>
        <w:t xml:space="preserve">How to Use DORA</w:t>
      </w:r>
    </w:p>
    <w:p>
      <w:pPr>
        <w:pStyle w:val="ListParagraph"/>
        <w:numPr>
          <w:ilvl w:val="0"/>
          <w:numId w:val="2"/>
        </w:numPr>
        <w:spacing w:after="80" w:line="300"/>
      </w:pPr>
      <w:r>
        <w:t xml:space="preserve">As an evidence base for arguing for platform investment.</w:t>
      </w:r>
    </w:p>
    <w:p>
      <w:pPr>
        <w:pStyle w:val="ListParagraph"/>
        <w:numPr>
          <w:ilvl w:val="0"/>
          <w:numId w:val="2"/>
        </w:numPr>
        <w:spacing w:after="80" w:line="300"/>
      </w:pPr>
      <w:r>
        <w:t xml:space="preserve">As a diagnostic for understanding your organization's current delivery performance.</w:t>
      </w:r>
    </w:p>
    <w:p>
      <w:pPr>
        <w:pStyle w:val="ListParagraph"/>
        <w:numPr>
          <w:ilvl w:val="0"/>
          <w:numId w:val="2"/>
        </w:numPr>
        <w:spacing w:after="80" w:line="300"/>
      </w:pPr>
      <w:r>
        <w:t xml:space="preserve">As a framework for setting measurable targets aligned to industry-wide research.</w:t>
      </w:r>
    </w:p>
    <w:p>
      <w:pPr>
        <w:pStyle w:val="ListParagraph"/>
        <w:numPr>
          <w:ilvl w:val="0"/>
          <w:numId w:val="2"/>
        </w:numPr>
        <w:spacing w:after="80" w:line="300"/>
      </w:pPr>
      <w:r>
        <w:t xml:space="preserve">Always alongside other measurement layers (DevEx, business outcomes, platform usage).</w:t>
      </w:r>
    </w:p>
    <w:p>
      <w:pPr>
        <w:pStyle w:val="ListParagraph"/>
        <w:numPr>
          <w:ilvl w:val="0"/>
          <w:numId w:val="2"/>
        </w:numPr>
        <w:spacing w:after="80" w:line="300"/>
      </w:pPr>
      <w:r>
        <w:t xml:space="preserve">With awareness of which year's methodology you are citing.</w:t>
      </w:r>
    </w:p>
    <w:p>
      <w:pPr>
        <w:pStyle w:val="Heading1"/>
        <w:spacing w:after="180" w:before="360"/>
      </w:pPr>
      <w:r>
        <w:t xml:space="preserve">12. Self-Test Questions</w:t>
      </w:r>
    </w:p>
    <w:p>
      <w:pPr>
        <w:spacing w:after="120" w:line="320"/>
        <w:jc w:val="both"/>
      </w:pPr>
      <w:r>
        <w:t xml:space="preserve">Use these questions to verify you have internalized the material. Try answering before re-reading.</w:t>
      </w:r>
    </w:p>
    <w:p>
      <w:pPr>
        <w:spacing w:after="160" w:line="320"/>
      </w:pPr>
      <w:r>
        <w:rPr>
          <w:b/>
          <w:bCs/>
          <w:color w:val="2E75B6"/>
        </w:rPr>
        <w:t xml:space="preserve">Q1. </w:t>
      </w:r>
      <w:r>
        <w:t xml:space="preserve">What does DORA stand for, and roughly when did the program begin? Who acquired it, and when?</w:t>
      </w:r>
    </w:p>
    <w:p>
      <w:pPr>
        <w:spacing w:after="160" w:line="320"/>
      </w:pPr>
      <w:r>
        <w:rPr>
          <w:b/>
          <w:bCs/>
          <w:color w:val="2E75B6"/>
        </w:rPr>
        <w:t xml:space="preserve">Q2. </w:t>
      </w:r>
      <w:r>
        <w:t xml:space="preserve">Name the three founding researchers most associated with DORA, and describe each one's distinct contribution.</w:t>
      </w:r>
    </w:p>
    <w:p>
      <w:pPr>
        <w:spacing w:after="160" w:line="320"/>
      </w:pPr>
      <w:r>
        <w:rPr>
          <w:b/>
          <w:bCs/>
          <w:color w:val="2E75B6"/>
        </w:rPr>
        <w:t xml:space="preserve">Q3. </w:t>
      </w:r>
      <w:r>
        <w:t xml:space="preserve">What is the Accelerate book and why is it considered foundational to the modern engineering metrics conversation?</w:t>
      </w:r>
    </w:p>
    <w:p>
      <w:pPr>
        <w:spacing w:after="160" w:line="320"/>
      </w:pPr>
      <w:r>
        <w:rPr>
          <w:b/>
          <w:bCs/>
          <w:color w:val="2E75B6"/>
        </w:rPr>
        <w:t xml:space="preserve">Q4. </w:t>
      </w:r>
      <w:r>
        <w:t xml:space="preserve">Describe the State of DevOps Report. How long has it been published, and how has it evolved over time?</w:t>
      </w:r>
    </w:p>
    <w:p>
      <w:pPr>
        <w:spacing w:after="160" w:line="320"/>
      </w:pPr>
      <w:r>
        <w:rPr>
          <w:b/>
          <w:bCs/>
          <w:color w:val="2E75B6"/>
        </w:rPr>
        <w:t xml:space="preserve">Q5. </w:t>
      </w:r>
      <w:r>
        <w:t xml:space="preserve">Why was a 'scientific approach' considered necessary for software-engineering performance research? What was the field's methodological state before DORA?</w:t>
      </w:r>
    </w:p>
    <w:p>
      <w:pPr>
        <w:spacing w:after="160" w:line="320"/>
      </w:pPr>
      <w:r>
        <w:rPr>
          <w:b/>
          <w:bCs/>
          <w:color w:val="2E75B6"/>
        </w:rPr>
        <w:t xml:space="preserve">Q6. </w:t>
      </w:r>
      <w:r>
        <w:t xml:space="preserve">Describe DORA's survey methodology. Why does the use of validated constructs and latent variable analysis matter?</w:t>
      </w:r>
    </w:p>
    <w:p>
      <w:pPr>
        <w:spacing w:after="160" w:line="320"/>
      </w:pPr>
      <w:r>
        <w:rPr>
          <w:b/>
          <w:bCs/>
          <w:color w:val="2E75B6"/>
        </w:rPr>
        <w:t xml:space="preserve">Q7. </w:t>
      </w:r>
      <w:r>
        <w:t xml:space="preserve">What is the difference between descriptive and predictive metrics, and why does it matter that the four DORA metrics are predictive?</w:t>
      </w:r>
    </w:p>
    <w:p>
      <w:pPr>
        <w:spacing w:after="160" w:line="320"/>
      </w:pPr>
      <w:r>
        <w:rPr>
          <w:b/>
          <w:bCs/>
          <w:color w:val="2E75B6"/>
        </w:rPr>
        <w:t xml:space="preserve">Q8. </w:t>
      </w:r>
      <w:r>
        <w:t xml:space="preserve">Name the four DORA key metrics and describe how they group into the throughput-and-stability pairing.</w:t>
      </w:r>
    </w:p>
    <w:p>
      <w:pPr>
        <w:spacing w:after="160" w:line="320"/>
      </w:pPr>
      <w:r>
        <w:rPr>
          <w:b/>
          <w:bCs/>
          <w:color w:val="2E75B6"/>
        </w:rPr>
        <w:t xml:space="preserve">Q9. </w:t>
      </w:r>
      <w:r>
        <w:t xml:space="preserve">What is DORA's most counterintuitive finding about the relationship between speed and stability? Why was it so important?</w:t>
      </w:r>
    </w:p>
    <w:p>
      <w:pPr>
        <w:spacing w:after="160" w:line="320"/>
      </w:pPr>
      <w:r>
        <w:rPr>
          <w:b/>
          <w:bCs/>
          <w:color w:val="2E75B6"/>
        </w:rPr>
        <w:t xml:space="preserve">Q10. </w:t>
      </w:r>
      <w:r>
        <w:t xml:space="preserve">Describe at least four specific business outcomes that DORA's research connected to high software-delivery performance.</w:t>
      </w:r>
    </w:p>
    <w:p>
      <w:pPr>
        <w:spacing w:after="160" w:line="320"/>
      </w:pPr>
      <w:r>
        <w:rPr>
          <w:b/>
          <w:bCs/>
          <w:color w:val="2E75B6"/>
        </w:rPr>
        <w:t xml:space="preserve">Q11. </w:t>
      </w:r>
      <w:r>
        <w:t xml:space="preserve">Where do the famous '200x' and '2,600x' headline figures come from, and what are the most important caveats when citing them?</w:t>
      </w:r>
    </w:p>
    <w:p>
      <w:pPr>
        <w:spacing w:after="160" w:line="320"/>
      </w:pPr>
      <w:r>
        <w:rPr>
          <w:b/>
          <w:bCs/>
          <w:color w:val="2E75B6"/>
        </w:rPr>
        <w:t xml:space="preserve">Q12. </w:t>
      </w:r>
      <w:r>
        <w:t xml:space="preserve">What major methodological change did the 2025 State of DevOps Report introduce, and why?</w:t>
      </w:r>
    </w:p>
    <w:p>
      <w:pPr>
        <w:spacing w:after="160" w:line="320"/>
      </w:pPr>
      <w:r>
        <w:rPr>
          <w:b/>
          <w:bCs/>
          <w:color w:val="2E75B6"/>
        </w:rPr>
        <w:t xml:space="preserve">Q13. </w:t>
      </w:r>
      <w:r>
        <w:t xml:space="preserve">If you were arguing to a skeptical executive team for platform engineering investment, how would you use the DORA research to frame the argument? Walk through the structure of your pitch.</w:t>
      </w:r>
    </w:p>
    <w:p>
      <w:pPr>
        <w:spacing w:after="160" w:line="320"/>
      </w:pPr>
      <w:r>
        <w:rPr>
          <w:b/>
          <w:bCs/>
          <w:color w:val="2E75B6"/>
        </w:rPr>
        <w:t xml:space="preserve">Q14. </w:t>
      </w:r>
      <w:r>
        <w:t xml:space="preserve">Describe at least four common misunderstandings or misuses of the DORA research, and how to avoid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FFF2CC" w:val="clear"/>
            <w:tcMar>
              <w:top w:type="dxa" w:w="140"/>
              <w:left w:type="dxa" w:w="200"/>
              <w:bottom w:type="dxa" w:w="140"/>
              <w:right w:type="dxa" w:w="200"/>
            </w:tcMar>
          </w:tcPr>
          <w:p>
            <w:pPr>
              <w:spacing w:after="80"/>
            </w:pPr>
            <w:r>
              <w:rPr>
                <w:b/>
                <w:bCs/>
                <w:color w:val="1F3864"/>
                <w:sz w:val="22"/>
                <w:szCs w:val="22"/>
              </w:rPr>
              <w:t xml:space="preserve">Final Thought</w:t>
            </w:r>
          </w:p>
          <w:p>
            <w:pPr>
              <w:spacing w:after="0" w:line="300"/>
            </w:pPr>
            <w:r>
              <w:rPr>
                <w:sz w:val="22"/>
                <w:szCs w:val="22"/>
              </w:rPr>
              <w:t xml:space="preserve">The DORA research is the closest the software industry has come to producing rigorous, reproducible, statistically valid evidence about its own practices. It is not perfect — methodology has evolved, findings have been refined, and 2025 saw the largest framework shift in the program's history. But the underlying contribution is permanent: the field now has, for the first time, a serious empirical basis for some of its most consequential claims. Engineering leaders who treat DORA as the foundation of their measurement practice — not the whole of it, but the foundation — gain access to evidence the rest of the industry cannot match. That is the real and lasting contribution of the DORA program: not specific numbers, but the legitimization of a scientific approach to a field that had operated for decades on opinion alone.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The DORA Research —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DORA Research - Study Guide</dc:title>
  <dc:creator>Claude</dc:creator>
  <cp:lastModifiedBy>Un-named</cp:lastModifiedBy>
  <cp:revision>1</cp:revision>
  <dcterms:created xsi:type="dcterms:W3CDTF">2026-04-25T16:54:31.196Z</dcterms:created>
  <dcterms:modified xsi:type="dcterms:W3CDTF">2026-04-25T16:54:31.197Z</dcterms:modified>
</cp:coreProperties>
</file>

<file path=docProps/custom.xml><?xml version="1.0" encoding="utf-8"?>
<Properties xmlns="http://schemas.openxmlformats.org/officeDocument/2006/custom-properties" xmlns:vt="http://schemas.openxmlformats.org/officeDocument/2006/docPropsVTypes"/>
</file>