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12-Factor App Study Guide</w:t>
      </w:r>
    </w:p>
    <w:p>
      <w:pPr>
        <w:pStyle w:val="SubtitleCustom"/>
        <w:jc w:val="center"/>
      </w:pPr>
      <w:r>
        <w:t>A detailed curriculum on cloud-native application design, operational discipline, and modern platform mapping</w:t>
      </w:r>
    </w:p>
    <w:p>
      <w:pPr>
        <w:jc w:val="center"/>
      </w:pPr>
      <w:r>
        <w:rPr>
          <w:color w:val="505050"/>
          <w:sz w:val="22"/>
        </w:rPr>
        <w:br/>
        <w:t>Coverage: all twelve factors, Spring Boot / Docker / Kubernetes mapping, and modern extensions for API design, telemetry, and security</w:t>
      </w:r>
    </w:p>
    <w:tbl>
      <w:tblPr>
        <w:tblW w:type="auto" w:w="0"/>
        <w:jc w:val="center"/>
        <w:tblLayout w:type="fixed"/>
        <w:tblLook w:firstColumn="1" w:firstRow="1" w:lastColumn="0" w:lastRow="0" w:noHBand="0" w:noVBand="1" w:val="04A0"/>
      </w:tblPr>
      <w:tblGrid>
        <w:gridCol w:w="4968"/>
        <w:gridCol w:w="4968"/>
      </w:tblGrid>
      <w:tr>
        <w:tc>
          <w:tcPr>
            <w:tcW w:type="dxa" w:w="2736"/>
            <w:shd w:fill="D9EAF7"/>
            <w:tcMar>
              <w:top w:w="90" w:type="dxa"/>
              <w:start w:w="120" w:type="dxa"/>
              <w:bottom w:w="90" w:type="dxa"/>
              <w:end w:w="120" w:type="dxa"/>
            </w:tcMar>
            <w:vAlign w:val="center"/>
          </w:tcPr>
          <w:p>
            <w:pPr>
              <w:spacing w:after="40"/>
            </w:pPr>
            <w:r>
              <w:t>Document type</w:t>
            </w:r>
          </w:p>
        </w:tc>
        <w:tc>
          <w:tcPr>
            <w:tcW w:type="dxa" w:w="6912"/>
            <w:shd w:fill="F7FAFC"/>
            <w:tcMar>
              <w:top w:w="90" w:type="dxa"/>
              <w:start w:w="120" w:type="dxa"/>
              <w:bottom w:w="90" w:type="dxa"/>
              <w:end w:w="120" w:type="dxa"/>
            </w:tcMar>
            <w:vAlign w:val="center"/>
          </w:tcPr>
          <w:p>
            <w:pPr>
              <w:spacing w:after="40"/>
            </w:pPr>
            <w:r>
              <w:t>Study Guide</w:t>
            </w:r>
          </w:p>
        </w:tc>
      </w:tr>
      <w:tr>
        <w:tc>
          <w:tcPr>
            <w:tcW w:type="dxa" w:w="2736"/>
            <w:shd w:fill="D9EAF7"/>
            <w:tcMar>
              <w:top w:w="90" w:type="dxa"/>
              <w:start w:w="120" w:type="dxa"/>
              <w:bottom w:w="90" w:type="dxa"/>
              <w:end w:w="120" w:type="dxa"/>
            </w:tcMar>
            <w:vAlign w:val="center"/>
          </w:tcPr>
          <w:p>
            <w:pPr>
              <w:spacing w:after="40"/>
            </w:pPr>
            <w:r>
              <w:t>Focus</w:t>
            </w:r>
          </w:p>
        </w:tc>
        <w:tc>
          <w:tcPr>
            <w:tcW w:type="dxa" w:w="6912"/>
            <w:shd w:fill="F7FAFC"/>
            <w:tcMar>
              <w:top w:w="90" w:type="dxa"/>
              <w:start w:w="120" w:type="dxa"/>
              <w:bottom w:w="90" w:type="dxa"/>
              <w:end w:w="120" w:type="dxa"/>
            </w:tcMar>
            <w:vAlign w:val="center"/>
          </w:tcPr>
          <w:p>
            <w:pPr>
              <w:spacing w:after="40"/>
            </w:pPr>
            <w:r>
              <w:t>12-Factor principles, operational reasoning, platform mapping, and modern cloud-native extensions</w:t>
            </w:r>
          </w:p>
        </w:tc>
      </w:tr>
    </w:tbl>
    <w:p>
      <w:r>
        <w:br w:type="page"/>
      </w:r>
    </w:p>
    <w:p>
      <w:pPr>
        <w:pStyle w:val="Heading1"/>
        <w:keepNext/>
      </w:pPr>
      <w:r>
        <w:t>Contents</w:t>
      </w:r>
    </w:p>
    <w:p>
      <w:pPr>
        <w:spacing w:after="60"/>
        <w:ind w:left="216"/>
      </w:pPr>
      <w:r>
        <w:t>1. Foundations and goals of 12-Factor</w:t>
      </w:r>
    </w:p>
    <w:p>
      <w:pPr>
        <w:spacing w:after="60"/>
        <w:ind w:left="216"/>
      </w:pPr>
      <w:r>
        <w:t>2. Factors I–IV: codebase, dependencies, config, backing services</w:t>
      </w:r>
    </w:p>
    <w:p>
      <w:pPr>
        <w:spacing w:after="60"/>
        <w:ind w:left="216"/>
      </w:pPr>
      <w:r>
        <w:t>3. Factors V–VIII: build/release/run, processes, port binding, concurrency</w:t>
      </w:r>
    </w:p>
    <w:p>
      <w:pPr>
        <w:spacing w:after="60"/>
        <w:ind w:left="216"/>
      </w:pPr>
      <w:r>
        <w:t>4. Factors IX–XII: disposability, parity, logs, admin processes</w:t>
      </w:r>
    </w:p>
    <w:p>
      <w:pPr>
        <w:spacing w:after="60"/>
        <w:ind w:left="216"/>
      </w:pPr>
      <w:r>
        <w:t>5. Mapping 12-Factor to Spring Boot, Docker, Kubernetes</w:t>
      </w:r>
    </w:p>
    <w:p>
      <w:pPr>
        <w:spacing w:after="60"/>
        <w:ind w:left="216"/>
      </w:pPr>
      <w:r>
        <w:t>6. Beyond 12-Factor: API first, telemetry, security</w:t>
      </w:r>
    </w:p>
    <w:p>
      <w:pPr>
        <w:spacing w:after="60"/>
        <w:ind w:left="216"/>
      </w:pPr>
      <w:r>
        <w:t>7. Strengths, limits, and practical review checklist</w:t>
      </w:r>
    </w:p>
    <w:p>
      <w:pPr>
        <w:pStyle w:val="Heading2"/>
        <w:keepNext/>
      </w:pPr>
      <w:r>
        <w:t>12-Factor summary table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936"/>
            <w:shd w:fill="D9EAF7"/>
            <w:tcMar>
              <w:top w:w="90" w:type="dxa"/>
              <w:start w:w="90" w:type="dxa"/>
              <w:bottom w:w="90" w:type="dxa"/>
              <w:end w:w="90" w:type="dxa"/>
            </w:tcMar>
          </w:tcPr>
          <w:p>
            <w:pPr>
              <w:jc w:val="center"/>
            </w:pPr>
            <w:r>
              <w:rPr>
                <w:b/>
              </w:rPr>
              <w:t>#</w:t>
            </w:r>
          </w:p>
        </w:tc>
        <w:tc>
          <w:tcPr>
            <w:tcW w:type="dxa" w:w="2160"/>
            <w:shd w:fill="D9EAF7"/>
            <w:tcMar>
              <w:top w:w="90" w:type="dxa"/>
              <w:start w:w="90" w:type="dxa"/>
              <w:bottom w:w="90" w:type="dxa"/>
              <w:end w:w="90" w:type="dxa"/>
            </w:tcMar>
          </w:tcPr>
          <w:p>
            <w:pPr>
              <w:jc w:val="center"/>
            </w:pPr>
            <w:r>
              <w:rPr>
                <w:b/>
              </w:rPr>
              <w:t>Factor</w:t>
            </w:r>
          </w:p>
        </w:tc>
        <w:tc>
          <w:tcPr>
            <w:tcW w:type="dxa" w:w="2592"/>
            <w:shd w:fill="D9EAF7"/>
            <w:tcMar>
              <w:top w:w="90" w:type="dxa"/>
              <w:start w:w="90" w:type="dxa"/>
              <w:bottom w:w="90" w:type="dxa"/>
              <w:end w:w="90" w:type="dxa"/>
            </w:tcMar>
          </w:tcPr>
          <w:p>
            <w:pPr>
              <w:jc w:val="center"/>
            </w:pPr>
            <w:r>
              <w:rPr>
                <w:b/>
              </w:rPr>
              <w:t>Core idea</w:t>
            </w:r>
          </w:p>
        </w:tc>
        <w:tc>
          <w:tcPr>
            <w:tcW w:type="dxa" w:w="2448"/>
            <w:shd w:fill="D9EAF7"/>
            <w:tcMar>
              <w:top w:w="90" w:type="dxa"/>
              <w:start w:w="90" w:type="dxa"/>
              <w:bottom w:w="90" w:type="dxa"/>
              <w:end w:w="90" w:type="dxa"/>
            </w:tcMar>
          </w:tcPr>
          <w:p>
            <w:pPr>
              <w:jc w:val="center"/>
            </w:pPr>
            <w:r>
              <w:rPr>
                <w:b/>
              </w:rPr>
              <w:t>Operational value</w:t>
            </w:r>
          </w:p>
        </w:tc>
        <w:tc>
          <w:tcPr>
            <w:tcW w:type="dxa" w:w="2016"/>
            <w:shd w:fill="D9EAF7"/>
            <w:tcMar>
              <w:top w:w="90" w:type="dxa"/>
              <w:start w:w="90" w:type="dxa"/>
              <w:bottom w:w="90" w:type="dxa"/>
              <w:end w:w="90" w:type="dxa"/>
            </w:tcMar>
          </w:tcPr>
          <w:p>
            <w:pPr>
              <w:jc w:val="center"/>
            </w:pPr>
            <w:r>
              <w:rPr>
                <w:b/>
              </w:rPr>
              <w:t>Typical failure</w:t>
            </w:r>
          </w:p>
        </w:tc>
      </w:tr>
      <w:tr>
        <w:tc>
          <w:tcPr>
            <w:tcW w:type="dxa" w:w="1987"/>
            <w:tcMar>
              <w:top w:w="80" w:type="dxa"/>
              <w:start w:w="90" w:type="dxa"/>
              <w:bottom w:w="80" w:type="dxa"/>
              <w:end w:w="90" w:type="dxa"/>
            </w:tcMar>
          </w:tcPr>
          <w:p>
            <w:pPr>
              <w:spacing w:after="20"/>
              <w:jc w:val="center"/>
            </w:pPr>
            <w:r>
              <w:t>I</w:t>
            </w:r>
          </w:p>
        </w:tc>
        <w:tc>
          <w:tcPr>
            <w:tcW w:type="dxa" w:w="1987"/>
            <w:tcMar>
              <w:top w:w="80" w:type="dxa"/>
              <w:start w:w="90" w:type="dxa"/>
              <w:bottom w:w="80" w:type="dxa"/>
              <w:end w:w="90" w:type="dxa"/>
            </w:tcMar>
          </w:tcPr>
          <w:p>
            <w:pPr>
              <w:spacing w:after="20"/>
              <w:jc w:val="left"/>
            </w:pPr>
            <w:r>
              <w:t>Codebase</w:t>
            </w:r>
          </w:p>
        </w:tc>
        <w:tc>
          <w:tcPr>
            <w:tcW w:type="dxa" w:w="1987"/>
            <w:tcMar>
              <w:top w:w="80" w:type="dxa"/>
              <w:start w:w="90" w:type="dxa"/>
              <w:bottom w:w="80" w:type="dxa"/>
              <w:end w:w="90" w:type="dxa"/>
            </w:tcMar>
          </w:tcPr>
          <w:p>
            <w:pPr>
              <w:spacing w:after="20"/>
              <w:jc w:val="left"/>
            </w:pPr>
            <w:r>
              <w:t>One codebase, many deploys</w:t>
            </w:r>
          </w:p>
        </w:tc>
        <w:tc>
          <w:tcPr>
            <w:tcW w:type="dxa" w:w="1987"/>
            <w:tcMar>
              <w:top w:w="80" w:type="dxa"/>
              <w:start w:w="90" w:type="dxa"/>
              <w:bottom w:w="80" w:type="dxa"/>
              <w:end w:w="90" w:type="dxa"/>
            </w:tcMar>
          </w:tcPr>
          <w:p>
            <w:pPr>
              <w:spacing w:after="20"/>
              <w:jc w:val="left"/>
            </w:pPr>
            <w:r>
              <w:t>Source truth and traceability</w:t>
            </w:r>
          </w:p>
        </w:tc>
        <w:tc>
          <w:tcPr>
            <w:tcW w:type="dxa" w:w="1987"/>
            <w:tcMar>
              <w:top w:w="80" w:type="dxa"/>
              <w:start w:w="90" w:type="dxa"/>
              <w:bottom w:w="80" w:type="dxa"/>
              <w:end w:w="90" w:type="dxa"/>
            </w:tcMar>
          </w:tcPr>
          <w:p>
            <w:pPr>
              <w:spacing w:after="20"/>
              <w:jc w:val="left"/>
            </w:pPr>
            <w:r>
              <w:t>Environment-specific forks</w:t>
            </w:r>
          </w:p>
        </w:tc>
      </w:tr>
      <w:tr>
        <w:tc>
          <w:tcPr>
            <w:tcW w:type="dxa" w:w="1987"/>
            <w:tcMar>
              <w:top w:w="80" w:type="dxa"/>
              <w:start w:w="90" w:type="dxa"/>
              <w:bottom w:w="80" w:type="dxa"/>
              <w:end w:w="90" w:type="dxa"/>
            </w:tcMar>
          </w:tcPr>
          <w:p>
            <w:pPr>
              <w:spacing w:after="20"/>
              <w:jc w:val="center"/>
            </w:pPr>
            <w:r>
              <w:t>II</w:t>
            </w:r>
          </w:p>
        </w:tc>
        <w:tc>
          <w:tcPr>
            <w:tcW w:type="dxa" w:w="1987"/>
            <w:tcMar>
              <w:top w:w="80" w:type="dxa"/>
              <w:start w:w="90" w:type="dxa"/>
              <w:bottom w:w="80" w:type="dxa"/>
              <w:end w:w="90" w:type="dxa"/>
            </w:tcMar>
          </w:tcPr>
          <w:p>
            <w:pPr>
              <w:spacing w:after="20"/>
              <w:jc w:val="left"/>
            </w:pPr>
            <w:r>
              <w:t>Dependencies</w:t>
            </w:r>
          </w:p>
        </w:tc>
        <w:tc>
          <w:tcPr>
            <w:tcW w:type="dxa" w:w="1987"/>
            <w:tcMar>
              <w:top w:w="80" w:type="dxa"/>
              <w:start w:w="90" w:type="dxa"/>
              <w:bottom w:w="80" w:type="dxa"/>
              <w:end w:w="90" w:type="dxa"/>
            </w:tcMar>
          </w:tcPr>
          <w:p>
            <w:pPr>
              <w:spacing w:after="20"/>
              <w:jc w:val="left"/>
            </w:pPr>
            <w:r>
              <w:t>Declare and isolate</w:t>
            </w:r>
          </w:p>
        </w:tc>
        <w:tc>
          <w:tcPr>
            <w:tcW w:type="dxa" w:w="1987"/>
            <w:tcMar>
              <w:top w:w="80" w:type="dxa"/>
              <w:start w:w="90" w:type="dxa"/>
              <w:bottom w:w="80" w:type="dxa"/>
              <w:end w:w="90" w:type="dxa"/>
            </w:tcMar>
          </w:tcPr>
          <w:p>
            <w:pPr>
              <w:spacing w:after="20"/>
              <w:jc w:val="left"/>
            </w:pPr>
            <w:r>
              <w:t>Reproducibility</w:t>
            </w:r>
          </w:p>
        </w:tc>
        <w:tc>
          <w:tcPr>
            <w:tcW w:type="dxa" w:w="1987"/>
            <w:tcMar>
              <w:top w:w="80" w:type="dxa"/>
              <w:start w:w="90" w:type="dxa"/>
              <w:bottom w:w="80" w:type="dxa"/>
              <w:end w:w="90" w:type="dxa"/>
            </w:tcMar>
          </w:tcPr>
          <w:p>
            <w:pPr>
              <w:spacing w:after="20"/>
              <w:jc w:val="left"/>
            </w:pPr>
            <w:r>
              <w:t>Implicit machine setup</w:t>
            </w:r>
          </w:p>
        </w:tc>
      </w:tr>
      <w:tr>
        <w:tc>
          <w:tcPr>
            <w:tcW w:type="dxa" w:w="1987"/>
            <w:tcMar>
              <w:top w:w="80" w:type="dxa"/>
              <w:start w:w="90" w:type="dxa"/>
              <w:bottom w:w="80" w:type="dxa"/>
              <w:end w:w="90" w:type="dxa"/>
            </w:tcMar>
          </w:tcPr>
          <w:p>
            <w:pPr>
              <w:spacing w:after="20"/>
              <w:jc w:val="center"/>
            </w:pPr>
            <w:r>
              <w:t>III</w:t>
            </w:r>
          </w:p>
        </w:tc>
        <w:tc>
          <w:tcPr>
            <w:tcW w:type="dxa" w:w="1987"/>
            <w:tcMar>
              <w:top w:w="80" w:type="dxa"/>
              <w:start w:w="90" w:type="dxa"/>
              <w:bottom w:w="80" w:type="dxa"/>
              <w:end w:w="90" w:type="dxa"/>
            </w:tcMar>
          </w:tcPr>
          <w:p>
            <w:pPr>
              <w:spacing w:after="20"/>
              <w:jc w:val="left"/>
            </w:pPr>
            <w:r>
              <w:t>Config</w:t>
            </w:r>
          </w:p>
        </w:tc>
        <w:tc>
          <w:tcPr>
            <w:tcW w:type="dxa" w:w="1987"/>
            <w:tcMar>
              <w:top w:w="80" w:type="dxa"/>
              <w:start w:w="90" w:type="dxa"/>
              <w:bottom w:w="80" w:type="dxa"/>
              <w:end w:w="90" w:type="dxa"/>
            </w:tcMar>
          </w:tcPr>
          <w:p>
            <w:pPr>
              <w:spacing w:after="20"/>
              <w:jc w:val="left"/>
            </w:pPr>
            <w:r>
              <w:t>Externalize deploy-specific values</w:t>
            </w:r>
          </w:p>
        </w:tc>
        <w:tc>
          <w:tcPr>
            <w:tcW w:type="dxa" w:w="1987"/>
            <w:tcMar>
              <w:top w:w="80" w:type="dxa"/>
              <w:start w:w="90" w:type="dxa"/>
              <w:bottom w:w="80" w:type="dxa"/>
              <w:end w:w="90" w:type="dxa"/>
            </w:tcMar>
          </w:tcPr>
          <w:p>
            <w:pPr>
              <w:spacing w:after="20"/>
              <w:jc w:val="left"/>
            </w:pPr>
            <w:r>
              <w:t>Portable releases</w:t>
            </w:r>
          </w:p>
        </w:tc>
        <w:tc>
          <w:tcPr>
            <w:tcW w:type="dxa" w:w="1987"/>
            <w:tcMar>
              <w:top w:w="80" w:type="dxa"/>
              <w:start w:w="90" w:type="dxa"/>
              <w:bottom w:w="80" w:type="dxa"/>
              <w:end w:w="90" w:type="dxa"/>
            </w:tcMar>
          </w:tcPr>
          <w:p>
            <w:pPr>
              <w:spacing w:after="20"/>
              <w:jc w:val="left"/>
            </w:pPr>
            <w:r>
              <w:t>Secrets in code</w:t>
            </w:r>
          </w:p>
        </w:tc>
      </w:tr>
      <w:tr>
        <w:tc>
          <w:tcPr>
            <w:tcW w:type="dxa" w:w="1987"/>
            <w:tcMar>
              <w:top w:w="80" w:type="dxa"/>
              <w:start w:w="90" w:type="dxa"/>
              <w:bottom w:w="80" w:type="dxa"/>
              <w:end w:w="90" w:type="dxa"/>
            </w:tcMar>
          </w:tcPr>
          <w:p>
            <w:pPr>
              <w:spacing w:after="20"/>
              <w:jc w:val="center"/>
            </w:pPr>
            <w:r>
              <w:t>IV</w:t>
            </w:r>
          </w:p>
        </w:tc>
        <w:tc>
          <w:tcPr>
            <w:tcW w:type="dxa" w:w="1987"/>
            <w:tcMar>
              <w:top w:w="80" w:type="dxa"/>
              <w:start w:w="90" w:type="dxa"/>
              <w:bottom w:w="80" w:type="dxa"/>
              <w:end w:w="90" w:type="dxa"/>
            </w:tcMar>
          </w:tcPr>
          <w:p>
            <w:pPr>
              <w:spacing w:after="20"/>
              <w:jc w:val="left"/>
            </w:pPr>
            <w:r>
              <w:t>Backing Services</w:t>
            </w:r>
          </w:p>
        </w:tc>
        <w:tc>
          <w:tcPr>
            <w:tcW w:type="dxa" w:w="1987"/>
            <w:tcMar>
              <w:top w:w="80" w:type="dxa"/>
              <w:start w:w="90" w:type="dxa"/>
              <w:bottom w:w="80" w:type="dxa"/>
              <w:end w:w="90" w:type="dxa"/>
            </w:tcMar>
          </w:tcPr>
          <w:p>
            <w:pPr>
              <w:spacing w:after="20"/>
              <w:jc w:val="left"/>
            </w:pPr>
            <w:r>
              <w:t>Treat as attached resources</w:t>
            </w:r>
          </w:p>
        </w:tc>
        <w:tc>
          <w:tcPr>
            <w:tcW w:type="dxa" w:w="1987"/>
            <w:tcMar>
              <w:top w:w="80" w:type="dxa"/>
              <w:start w:w="90" w:type="dxa"/>
              <w:bottom w:w="80" w:type="dxa"/>
              <w:end w:w="90" w:type="dxa"/>
            </w:tcMar>
          </w:tcPr>
          <w:p>
            <w:pPr>
              <w:spacing w:after="20"/>
              <w:jc w:val="left"/>
            </w:pPr>
            <w:r>
              <w:t>Replaceability</w:t>
            </w:r>
          </w:p>
        </w:tc>
        <w:tc>
          <w:tcPr>
            <w:tcW w:type="dxa" w:w="1987"/>
            <w:tcMar>
              <w:top w:w="80" w:type="dxa"/>
              <w:start w:w="90" w:type="dxa"/>
              <w:bottom w:w="80" w:type="dxa"/>
              <w:end w:w="90" w:type="dxa"/>
            </w:tcMar>
          </w:tcPr>
          <w:p>
            <w:pPr>
              <w:spacing w:after="20"/>
              <w:jc w:val="left"/>
            </w:pPr>
            <w:r>
              <w:t>Provider hard-coding</w:t>
            </w:r>
          </w:p>
        </w:tc>
      </w:tr>
      <w:tr>
        <w:tc>
          <w:tcPr>
            <w:tcW w:type="dxa" w:w="1987"/>
            <w:tcMar>
              <w:top w:w="80" w:type="dxa"/>
              <w:start w:w="90" w:type="dxa"/>
              <w:bottom w:w="80" w:type="dxa"/>
              <w:end w:w="90" w:type="dxa"/>
            </w:tcMar>
          </w:tcPr>
          <w:p>
            <w:pPr>
              <w:spacing w:after="20"/>
              <w:jc w:val="center"/>
            </w:pPr>
            <w:r>
              <w:t>V</w:t>
            </w:r>
          </w:p>
        </w:tc>
        <w:tc>
          <w:tcPr>
            <w:tcW w:type="dxa" w:w="1987"/>
            <w:tcMar>
              <w:top w:w="80" w:type="dxa"/>
              <w:start w:w="90" w:type="dxa"/>
              <w:bottom w:w="80" w:type="dxa"/>
              <w:end w:w="90" w:type="dxa"/>
            </w:tcMar>
          </w:tcPr>
          <w:p>
            <w:pPr>
              <w:spacing w:after="20"/>
              <w:jc w:val="left"/>
            </w:pPr>
            <w:r>
              <w:t>Build/Release/Run</w:t>
            </w:r>
          </w:p>
        </w:tc>
        <w:tc>
          <w:tcPr>
            <w:tcW w:type="dxa" w:w="1987"/>
            <w:tcMar>
              <w:top w:w="80" w:type="dxa"/>
              <w:start w:w="90" w:type="dxa"/>
              <w:bottom w:w="80" w:type="dxa"/>
              <w:end w:w="90" w:type="dxa"/>
            </w:tcMar>
          </w:tcPr>
          <w:p>
            <w:pPr>
              <w:spacing w:after="20"/>
              <w:jc w:val="left"/>
            </w:pPr>
            <w:r>
              <w:t>Separate stages</w:t>
            </w:r>
          </w:p>
        </w:tc>
        <w:tc>
          <w:tcPr>
            <w:tcW w:type="dxa" w:w="1987"/>
            <w:tcMar>
              <w:top w:w="80" w:type="dxa"/>
              <w:start w:w="90" w:type="dxa"/>
              <w:bottom w:w="80" w:type="dxa"/>
              <w:end w:w="90" w:type="dxa"/>
            </w:tcMar>
          </w:tcPr>
          <w:p>
            <w:pPr>
              <w:spacing w:after="20"/>
              <w:jc w:val="left"/>
            </w:pPr>
            <w:r>
              <w:t>Immutable releases</w:t>
            </w:r>
          </w:p>
        </w:tc>
        <w:tc>
          <w:tcPr>
            <w:tcW w:type="dxa" w:w="1987"/>
            <w:tcMar>
              <w:top w:w="80" w:type="dxa"/>
              <w:start w:w="90" w:type="dxa"/>
              <w:bottom w:w="80" w:type="dxa"/>
              <w:end w:w="90" w:type="dxa"/>
            </w:tcMar>
          </w:tcPr>
          <w:p>
            <w:pPr>
              <w:spacing w:after="20"/>
              <w:jc w:val="left"/>
            </w:pPr>
            <w:r>
              <w:t>Mutable servers</w:t>
            </w:r>
          </w:p>
        </w:tc>
      </w:tr>
      <w:tr>
        <w:tc>
          <w:tcPr>
            <w:tcW w:type="dxa" w:w="1987"/>
            <w:tcMar>
              <w:top w:w="80" w:type="dxa"/>
              <w:start w:w="90" w:type="dxa"/>
              <w:bottom w:w="80" w:type="dxa"/>
              <w:end w:w="90" w:type="dxa"/>
            </w:tcMar>
          </w:tcPr>
          <w:p>
            <w:pPr>
              <w:spacing w:after="20"/>
              <w:jc w:val="center"/>
            </w:pPr>
            <w:r>
              <w:t>VI</w:t>
            </w:r>
          </w:p>
        </w:tc>
        <w:tc>
          <w:tcPr>
            <w:tcW w:type="dxa" w:w="1987"/>
            <w:tcMar>
              <w:top w:w="80" w:type="dxa"/>
              <w:start w:w="90" w:type="dxa"/>
              <w:bottom w:w="80" w:type="dxa"/>
              <w:end w:w="90" w:type="dxa"/>
            </w:tcMar>
          </w:tcPr>
          <w:p>
            <w:pPr>
              <w:spacing w:after="20"/>
              <w:jc w:val="left"/>
            </w:pPr>
            <w:r>
              <w:t>Processes</w:t>
            </w:r>
          </w:p>
        </w:tc>
        <w:tc>
          <w:tcPr>
            <w:tcW w:type="dxa" w:w="1987"/>
            <w:tcMar>
              <w:top w:w="80" w:type="dxa"/>
              <w:start w:w="90" w:type="dxa"/>
              <w:bottom w:w="80" w:type="dxa"/>
              <w:end w:w="90" w:type="dxa"/>
            </w:tcMar>
          </w:tcPr>
          <w:p>
            <w:pPr>
              <w:spacing w:after="20"/>
              <w:jc w:val="left"/>
            </w:pPr>
            <w:r>
              <w:t>Run stateless processes</w:t>
            </w:r>
          </w:p>
        </w:tc>
        <w:tc>
          <w:tcPr>
            <w:tcW w:type="dxa" w:w="1987"/>
            <w:tcMar>
              <w:top w:w="80" w:type="dxa"/>
              <w:start w:w="90" w:type="dxa"/>
              <w:bottom w:w="80" w:type="dxa"/>
              <w:end w:w="90" w:type="dxa"/>
            </w:tcMar>
          </w:tcPr>
          <w:p>
            <w:pPr>
              <w:spacing w:after="20"/>
              <w:jc w:val="left"/>
            </w:pPr>
            <w:r>
              <w:t>Replaceability and scaling</w:t>
            </w:r>
          </w:p>
        </w:tc>
        <w:tc>
          <w:tcPr>
            <w:tcW w:type="dxa" w:w="1987"/>
            <w:tcMar>
              <w:top w:w="80" w:type="dxa"/>
              <w:start w:w="90" w:type="dxa"/>
              <w:bottom w:w="80" w:type="dxa"/>
              <w:end w:w="90" w:type="dxa"/>
            </w:tcMar>
          </w:tcPr>
          <w:p>
            <w:pPr>
              <w:spacing w:after="20"/>
              <w:jc w:val="left"/>
            </w:pPr>
            <w:r>
              <w:t>Sticky local state</w:t>
            </w:r>
          </w:p>
        </w:tc>
      </w:tr>
      <w:tr>
        <w:tc>
          <w:tcPr>
            <w:tcW w:type="dxa" w:w="1987"/>
            <w:tcMar>
              <w:top w:w="80" w:type="dxa"/>
              <w:start w:w="90" w:type="dxa"/>
              <w:bottom w:w="80" w:type="dxa"/>
              <w:end w:w="90" w:type="dxa"/>
            </w:tcMar>
          </w:tcPr>
          <w:p>
            <w:pPr>
              <w:spacing w:after="20"/>
              <w:jc w:val="center"/>
            </w:pPr>
            <w:r>
              <w:t>VII</w:t>
            </w:r>
          </w:p>
        </w:tc>
        <w:tc>
          <w:tcPr>
            <w:tcW w:type="dxa" w:w="1987"/>
            <w:tcMar>
              <w:top w:w="80" w:type="dxa"/>
              <w:start w:w="90" w:type="dxa"/>
              <w:bottom w:w="80" w:type="dxa"/>
              <w:end w:w="90" w:type="dxa"/>
            </w:tcMar>
          </w:tcPr>
          <w:p>
            <w:pPr>
              <w:spacing w:after="20"/>
              <w:jc w:val="left"/>
            </w:pPr>
            <w:r>
              <w:t>Port Binding</w:t>
            </w:r>
          </w:p>
        </w:tc>
        <w:tc>
          <w:tcPr>
            <w:tcW w:type="dxa" w:w="1987"/>
            <w:tcMar>
              <w:top w:w="80" w:type="dxa"/>
              <w:start w:w="90" w:type="dxa"/>
              <w:bottom w:w="80" w:type="dxa"/>
              <w:end w:w="90" w:type="dxa"/>
            </w:tcMar>
          </w:tcPr>
          <w:p>
            <w:pPr>
              <w:spacing w:after="20"/>
              <w:jc w:val="left"/>
            </w:pPr>
            <w:r>
              <w:t>Self-contained service exposure</w:t>
            </w:r>
          </w:p>
        </w:tc>
        <w:tc>
          <w:tcPr>
            <w:tcW w:type="dxa" w:w="1987"/>
            <w:tcMar>
              <w:top w:w="80" w:type="dxa"/>
              <w:start w:w="90" w:type="dxa"/>
              <w:bottom w:w="80" w:type="dxa"/>
              <w:end w:w="90" w:type="dxa"/>
            </w:tcMar>
          </w:tcPr>
          <w:p>
            <w:pPr>
              <w:spacing w:after="20"/>
              <w:jc w:val="left"/>
            </w:pPr>
            <w:r>
              <w:t>Portable execution</w:t>
            </w:r>
          </w:p>
        </w:tc>
        <w:tc>
          <w:tcPr>
            <w:tcW w:type="dxa" w:w="1987"/>
            <w:tcMar>
              <w:top w:w="80" w:type="dxa"/>
              <w:start w:w="90" w:type="dxa"/>
              <w:bottom w:w="80" w:type="dxa"/>
              <w:end w:w="90" w:type="dxa"/>
            </w:tcMar>
          </w:tcPr>
          <w:p>
            <w:pPr>
              <w:spacing w:after="20"/>
              <w:jc w:val="left"/>
            </w:pPr>
            <w:r>
              <w:t>Needs external app server</w:t>
            </w:r>
          </w:p>
        </w:tc>
      </w:tr>
      <w:tr>
        <w:tc>
          <w:tcPr>
            <w:tcW w:type="dxa" w:w="1987"/>
            <w:tcMar>
              <w:top w:w="80" w:type="dxa"/>
              <w:start w:w="90" w:type="dxa"/>
              <w:bottom w:w="80" w:type="dxa"/>
              <w:end w:w="90" w:type="dxa"/>
            </w:tcMar>
          </w:tcPr>
          <w:p>
            <w:pPr>
              <w:spacing w:after="20"/>
              <w:jc w:val="center"/>
            </w:pPr>
            <w:r>
              <w:t>VIII</w:t>
            </w:r>
          </w:p>
        </w:tc>
        <w:tc>
          <w:tcPr>
            <w:tcW w:type="dxa" w:w="1987"/>
            <w:tcMar>
              <w:top w:w="80" w:type="dxa"/>
              <w:start w:w="90" w:type="dxa"/>
              <w:bottom w:w="80" w:type="dxa"/>
              <w:end w:w="90" w:type="dxa"/>
            </w:tcMar>
          </w:tcPr>
          <w:p>
            <w:pPr>
              <w:spacing w:after="20"/>
              <w:jc w:val="left"/>
            </w:pPr>
            <w:r>
              <w:t>Concurrency</w:t>
            </w:r>
          </w:p>
        </w:tc>
        <w:tc>
          <w:tcPr>
            <w:tcW w:type="dxa" w:w="1987"/>
            <w:tcMar>
              <w:top w:w="80" w:type="dxa"/>
              <w:start w:w="90" w:type="dxa"/>
              <w:bottom w:w="80" w:type="dxa"/>
              <w:end w:w="90" w:type="dxa"/>
            </w:tcMar>
          </w:tcPr>
          <w:p>
            <w:pPr>
              <w:spacing w:after="20"/>
              <w:jc w:val="left"/>
            </w:pPr>
            <w:r>
              <w:t>Scale via process model</w:t>
            </w:r>
          </w:p>
        </w:tc>
        <w:tc>
          <w:tcPr>
            <w:tcW w:type="dxa" w:w="1987"/>
            <w:tcMar>
              <w:top w:w="80" w:type="dxa"/>
              <w:start w:w="90" w:type="dxa"/>
              <w:bottom w:w="80" w:type="dxa"/>
              <w:end w:w="90" w:type="dxa"/>
            </w:tcMar>
          </w:tcPr>
          <w:p>
            <w:pPr>
              <w:spacing w:after="20"/>
              <w:jc w:val="left"/>
            </w:pPr>
            <w:r>
              <w:t>Targeted horizontal scaling</w:t>
            </w:r>
          </w:p>
        </w:tc>
        <w:tc>
          <w:tcPr>
            <w:tcW w:type="dxa" w:w="1987"/>
            <w:tcMar>
              <w:top w:w="80" w:type="dxa"/>
              <w:start w:w="90" w:type="dxa"/>
              <w:bottom w:w="80" w:type="dxa"/>
              <w:end w:w="90" w:type="dxa"/>
            </w:tcMar>
          </w:tcPr>
          <w:p>
            <w:pPr>
              <w:spacing w:after="20"/>
              <w:jc w:val="left"/>
            </w:pPr>
            <w:r>
              <w:t>Machine-bound assumptions</w:t>
            </w:r>
          </w:p>
        </w:tc>
      </w:tr>
      <w:tr>
        <w:tc>
          <w:tcPr>
            <w:tcW w:type="dxa" w:w="1987"/>
            <w:tcMar>
              <w:top w:w="80" w:type="dxa"/>
              <w:start w:w="90" w:type="dxa"/>
              <w:bottom w:w="80" w:type="dxa"/>
              <w:end w:w="90" w:type="dxa"/>
            </w:tcMar>
          </w:tcPr>
          <w:p>
            <w:pPr>
              <w:spacing w:after="20"/>
              <w:jc w:val="center"/>
            </w:pPr>
            <w:r>
              <w:t>IX</w:t>
            </w:r>
          </w:p>
        </w:tc>
        <w:tc>
          <w:tcPr>
            <w:tcW w:type="dxa" w:w="1987"/>
            <w:tcMar>
              <w:top w:w="80" w:type="dxa"/>
              <w:start w:w="90" w:type="dxa"/>
              <w:bottom w:w="80" w:type="dxa"/>
              <w:end w:w="90" w:type="dxa"/>
            </w:tcMar>
          </w:tcPr>
          <w:p>
            <w:pPr>
              <w:spacing w:after="20"/>
              <w:jc w:val="left"/>
            </w:pPr>
            <w:r>
              <w:t>Disposability</w:t>
            </w:r>
          </w:p>
        </w:tc>
        <w:tc>
          <w:tcPr>
            <w:tcW w:type="dxa" w:w="1987"/>
            <w:tcMar>
              <w:top w:w="80" w:type="dxa"/>
              <w:start w:w="90" w:type="dxa"/>
              <w:bottom w:w="80" w:type="dxa"/>
              <w:end w:w="90" w:type="dxa"/>
            </w:tcMar>
          </w:tcPr>
          <w:p>
            <w:pPr>
              <w:spacing w:after="20"/>
              <w:jc w:val="left"/>
            </w:pPr>
            <w:r>
              <w:t>Fast start, graceful stop</w:t>
            </w:r>
          </w:p>
        </w:tc>
        <w:tc>
          <w:tcPr>
            <w:tcW w:type="dxa" w:w="1987"/>
            <w:tcMar>
              <w:top w:w="80" w:type="dxa"/>
              <w:start w:w="90" w:type="dxa"/>
              <w:bottom w:w="80" w:type="dxa"/>
              <w:end w:w="90" w:type="dxa"/>
            </w:tcMar>
          </w:tcPr>
          <w:p>
            <w:pPr>
              <w:spacing w:after="20"/>
              <w:jc w:val="left"/>
            </w:pPr>
            <w:r>
              <w:t>Safe deploys and recovery</w:t>
            </w:r>
          </w:p>
        </w:tc>
        <w:tc>
          <w:tcPr>
            <w:tcW w:type="dxa" w:w="1987"/>
            <w:tcMar>
              <w:top w:w="80" w:type="dxa"/>
              <w:start w:w="90" w:type="dxa"/>
              <w:bottom w:w="80" w:type="dxa"/>
              <w:end w:w="90" w:type="dxa"/>
            </w:tcMar>
          </w:tcPr>
          <w:p>
            <w:pPr>
              <w:spacing w:after="20"/>
              <w:jc w:val="left"/>
            </w:pPr>
            <w:r>
              <w:t>Slow or unsafe termination</w:t>
            </w:r>
          </w:p>
        </w:tc>
      </w:tr>
      <w:tr>
        <w:tc>
          <w:tcPr>
            <w:tcW w:type="dxa" w:w="1987"/>
            <w:tcMar>
              <w:top w:w="80" w:type="dxa"/>
              <w:start w:w="90" w:type="dxa"/>
              <w:bottom w:w="80" w:type="dxa"/>
              <w:end w:w="90" w:type="dxa"/>
            </w:tcMar>
          </w:tcPr>
          <w:p>
            <w:pPr>
              <w:spacing w:after="20"/>
              <w:jc w:val="center"/>
            </w:pPr>
            <w:r>
              <w:t>X</w:t>
            </w:r>
          </w:p>
        </w:tc>
        <w:tc>
          <w:tcPr>
            <w:tcW w:type="dxa" w:w="1987"/>
            <w:tcMar>
              <w:top w:w="80" w:type="dxa"/>
              <w:start w:w="90" w:type="dxa"/>
              <w:bottom w:w="80" w:type="dxa"/>
              <w:end w:w="90" w:type="dxa"/>
            </w:tcMar>
          </w:tcPr>
          <w:p>
            <w:pPr>
              <w:spacing w:after="20"/>
              <w:jc w:val="left"/>
            </w:pPr>
            <w:r>
              <w:t>Dev/Prod Parity</w:t>
            </w:r>
          </w:p>
        </w:tc>
        <w:tc>
          <w:tcPr>
            <w:tcW w:type="dxa" w:w="1987"/>
            <w:tcMar>
              <w:top w:w="80" w:type="dxa"/>
              <w:start w:w="90" w:type="dxa"/>
              <w:bottom w:w="80" w:type="dxa"/>
              <w:end w:w="90" w:type="dxa"/>
            </w:tcMar>
          </w:tcPr>
          <w:p>
            <w:pPr>
              <w:spacing w:after="20"/>
              <w:jc w:val="left"/>
            </w:pPr>
            <w:r>
              <w:t>Keep environments similar</w:t>
            </w:r>
          </w:p>
        </w:tc>
        <w:tc>
          <w:tcPr>
            <w:tcW w:type="dxa" w:w="1987"/>
            <w:tcMar>
              <w:top w:w="80" w:type="dxa"/>
              <w:start w:w="90" w:type="dxa"/>
              <w:bottom w:w="80" w:type="dxa"/>
              <w:end w:w="90" w:type="dxa"/>
            </w:tcMar>
          </w:tcPr>
          <w:p>
            <w:pPr>
              <w:spacing w:after="20"/>
              <w:jc w:val="left"/>
            </w:pPr>
            <w:r>
              <w:t>Fewer surprises</w:t>
            </w:r>
          </w:p>
        </w:tc>
        <w:tc>
          <w:tcPr>
            <w:tcW w:type="dxa" w:w="1987"/>
            <w:tcMar>
              <w:top w:w="80" w:type="dxa"/>
              <w:start w:w="90" w:type="dxa"/>
              <w:bottom w:w="80" w:type="dxa"/>
              <w:end w:w="90" w:type="dxa"/>
            </w:tcMar>
          </w:tcPr>
          <w:p>
            <w:pPr>
              <w:spacing w:after="20"/>
              <w:jc w:val="left"/>
            </w:pPr>
            <w:r>
              <w:t>Large environment gaps</w:t>
            </w:r>
          </w:p>
        </w:tc>
      </w:tr>
      <w:tr>
        <w:tc>
          <w:tcPr>
            <w:tcW w:type="dxa" w:w="1987"/>
            <w:tcMar>
              <w:top w:w="80" w:type="dxa"/>
              <w:start w:w="90" w:type="dxa"/>
              <w:bottom w:w="80" w:type="dxa"/>
              <w:end w:w="90" w:type="dxa"/>
            </w:tcMar>
          </w:tcPr>
          <w:p>
            <w:pPr>
              <w:spacing w:after="20"/>
              <w:jc w:val="center"/>
            </w:pPr>
            <w:r>
              <w:t>XI</w:t>
            </w:r>
          </w:p>
        </w:tc>
        <w:tc>
          <w:tcPr>
            <w:tcW w:type="dxa" w:w="1987"/>
            <w:tcMar>
              <w:top w:w="80" w:type="dxa"/>
              <w:start w:w="90" w:type="dxa"/>
              <w:bottom w:w="80" w:type="dxa"/>
              <w:end w:w="90" w:type="dxa"/>
            </w:tcMar>
          </w:tcPr>
          <w:p>
            <w:pPr>
              <w:spacing w:after="20"/>
              <w:jc w:val="left"/>
            </w:pPr>
            <w:r>
              <w:t>Logs</w:t>
            </w:r>
          </w:p>
        </w:tc>
        <w:tc>
          <w:tcPr>
            <w:tcW w:type="dxa" w:w="1987"/>
            <w:tcMar>
              <w:top w:w="80" w:type="dxa"/>
              <w:start w:w="90" w:type="dxa"/>
              <w:bottom w:w="80" w:type="dxa"/>
              <w:end w:w="90" w:type="dxa"/>
            </w:tcMar>
          </w:tcPr>
          <w:p>
            <w:pPr>
              <w:spacing w:after="20"/>
              <w:jc w:val="left"/>
            </w:pPr>
            <w:r>
              <w:t>Emit event streams</w:t>
            </w:r>
          </w:p>
        </w:tc>
        <w:tc>
          <w:tcPr>
            <w:tcW w:type="dxa" w:w="1987"/>
            <w:tcMar>
              <w:top w:w="80" w:type="dxa"/>
              <w:start w:w="90" w:type="dxa"/>
              <w:bottom w:w="80" w:type="dxa"/>
              <w:end w:w="90" w:type="dxa"/>
            </w:tcMar>
          </w:tcPr>
          <w:p>
            <w:pPr>
              <w:spacing w:after="20"/>
              <w:jc w:val="left"/>
            </w:pPr>
            <w:r>
              <w:t>Platform aggregation</w:t>
            </w:r>
          </w:p>
        </w:tc>
        <w:tc>
          <w:tcPr>
            <w:tcW w:type="dxa" w:w="1987"/>
            <w:tcMar>
              <w:top w:w="80" w:type="dxa"/>
              <w:start w:w="90" w:type="dxa"/>
              <w:bottom w:w="80" w:type="dxa"/>
              <w:end w:w="90" w:type="dxa"/>
            </w:tcMar>
          </w:tcPr>
          <w:p>
            <w:pPr>
              <w:spacing w:after="20"/>
              <w:jc w:val="left"/>
            </w:pPr>
            <w:r>
              <w:t>Local file coupling</w:t>
            </w:r>
          </w:p>
        </w:tc>
      </w:tr>
      <w:tr>
        <w:tc>
          <w:tcPr>
            <w:tcW w:type="dxa" w:w="1987"/>
            <w:tcMar>
              <w:top w:w="80" w:type="dxa"/>
              <w:start w:w="90" w:type="dxa"/>
              <w:bottom w:w="80" w:type="dxa"/>
              <w:end w:w="90" w:type="dxa"/>
            </w:tcMar>
          </w:tcPr>
          <w:p>
            <w:pPr>
              <w:spacing w:after="20"/>
              <w:jc w:val="center"/>
            </w:pPr>
            <w:r>
              <w:t>XII</w:t>
            </w:r>
          </w:p>
        </w:tc>
        <w:tc>
          <w:tcPr>
            <w:tcW w:type="dxa" w:w="1987"/>
            <w:tcMar>
              <w:top w:w="80" w:type="dxa"/>
              <w:start w:w="90" w:type="dxa"/>
              <w:bottom w:w="80" w:type="dxa"/>
              <w:end w:w="90" w:type="dxa"/>
            </w:tcMar>
          </w:tcPr>
          <w:p>
            <w:pPr>
              <w:spacing w:after="20"/>
              <w:jc w:val="left"/>
            </w:pPr>
            <w:r>
              <w:t>Admin Processes</w:t>
            </w:r>
          </w:p>
        </w:tc>
        <w:tc>
          <w:tcPr>
            <w:tcW w:type="dxa" w:w="1987"/>
            <w:tcMar>
              <w:top w:w="80" w:type="dxa"/>
              <w:start w:w="90" w:type="dxa"/>
              <w:bottom w:w="80" w:type="dxa"/>
              <w:end w:w="90" w:type="dxa"/>
            </w:tcMar>
          </w:tcPr>
          <w:p>
            <w:pPr>
              <w:spacing w:after="20"/>
              <w:jc w:val="left"/>
            </w:pPr>
            <w:r>
              <w:t>Run one-off tasks the same way</w:t>
            </w:r>
          </w:p>
        </w:tc>
        <w:tc>
          <w:tcPr>
            <w:tcW w:type="dxa" w:w="1987"/>
            <w:tcMar>
              <w:top w:w="80" w:type="dxa"/>
              <w:start w:w="90" w:type="dxa"/>
              <w:bottom w:w="80" w:type="dxa"/>
              <w:end w:w="90" w:type="dxa"/>
            </w:tcMar>
          </w:tcPr>
          <w:p>
            <w:pPr>
              <w:spacing w:after="20"/>
              <w:jc w:val="left"/>
            </w:pPr>
            <w:r>
              <w:t>Operational discipline</w:t>
            </w:r>
          </w:p>
        </w:tc>
        <w:tc>
          <w:tcPr>
            <w:tcW w:type="dxa" w:w="1987"/>
            <w:tcMar>
              <w:top w:w="80" w:type="dxa"/>
              <w:start w:w="90" w:type="dxa"/>
              <w:bottom w:w="80" w:type="dxa"/>
              <w:end w:w="90" w:type="dxa"/>
            </w:tcMar>
          </w:tcPr>
          <w:p>
            <w:pPr>
              <w:spacing w:after="20"/>
              <w:jc w:val="left"/>
            </w:pPr>
            <w:r>
              <w:t>Laptop scripts in prod</w:t>
            </w:r>
          </w:p>
        </w:tc>
      </w:tr>
    </w:tbl>
    <w:p>
      <w:r>
        <w:br w:type="page"/>
      </w:r>
    </w:p>
    <w:p>
      <w:pPr>
        <w:pStyle w:val="Heading1"/>
        <w:keepNext/>
      </w:pPr>
      <w:r>
        <w:t>How to use this guide</w:t>
      </w:r>
    </w:p>
    <w:p>
      <w:pPr>
        <w:spacing w:after="100" w:line="269" w:lineRule="auto"/>
      </w:pPr>
      <w:r>
        <w:t>This guide is written as a full study reference for the 12-Factor App methodology. It is useful for developers, architects, DevOps engineers, SREs, and students who want to understand not only what each factor says, but why it matters operationally and how it applies in modern systems built with Spring Boot, Docker, and Kubernetes.</w:t>
      </w:r>
    </w:p>
    <w:p>
      <w:pPr>
        <w:spacing w:after="100" w:line="269" w:lineRule="auto"/>
      </w:pPr>
      <w:r>
        <w:t>The 12-Factor framework was created to improve how software is built and operated in cloud environments. Its real value is not in memorizing twelve slogans. Its value is in teaching a set of engineering habits: separating configuration from code, packaging deploys predictably, treating infrastructure dependencies uniformly, designing for replaceable processes, and making software easier to scale, automate, and operate.</w:t>
      </w:r>
    </w:p>
    <w:p>
      <w:pPr>
        <w:spacing w:after="100" w:line="269" w:lineRule="auto"/>
      </w:pPr>
      <w:r>
        <w:t>This guide explains each factor in depth, connects it to practical implementation choices, shows common violations, and then extends the discussion beyond the original twelve factors into areas modern teams care about such as API design, telemetry, and security.</w:t>
      </w:r>
    </w:p>
    <w:p>
      <w:pPr>
        <w:pStyle w:val="Heading2"/>
        <w:keepNext/>
      </w:pPr>
      <w:r>
        <w:t>Learning objectives</w:t>
      </w:r>
    </w:p>
    <w:p>
      <w:pPr>
        <w:spacing w:after="100" w:line="269" w:lineRule="auto"/>
      </w:pPr>
      <w:r>
        <w:t>After studying this guide, you should be able to explain each of the twelve factors clearly, identify whether an application follows or violates them, understand how they influence deployment pipelines and runtime architecture, and translate them into practical platform decisions in Spring Boot, Docker, and Kubernetes environments.</w:t>
      </w:r>
    </w:p>
    <w:p>
      <w:pPr>
        <w:spacing w:after="100" w:line="269" w:lineRule="auto"/>
      </w:pPr>
      <w:r>
        <w:t>You should also be able to explain where 12-Factor is still highly relevant, where modern platform tooling changes the implementation details, and where additional principles beyond the original list are needed for mature production systems.</w:t>
      </w:r>
    </w:p>
    <w:p>
      <w:pPr>
        <w:pStyle w:val="Heading2"/>
        <w:keepNext/>
      </w:pPr>
      <w:r>
        <w:t>What the 12-Factor App is really about</w:t>
      </w:r>
    </w:p>
    <w:p>
      <w:pPr>
        <w:spacing w:after="100" w:line="269" w:lineRule="auto"/>
      </w:pPr>
      <w:r>
        <w:t>The 12-Factor App is fundamentally about operational consistency and deployability. It is a response to pain caused by fragile environments, hidden configuration, hand-built releases, stateful application servers, and production behavior that depends too heavily on mutable machines. The framework pushes software toward repeatable builds, environment-driven configuration, stateless process execution, and infrastructure portability.</w:t>
      </w:r>
    </w:p>
    <w:p>
      <w:pPr>
        <w:spacing w:after="100" w:line="269" w:lineRule="auto"/>
      </w:pPr>
      <w:r>
        <w:t>A useful way to summarize 12-Factor is this: an application should be easy to build, easy to release, easy to run, easy to scale, easy to replace, and easy to reason about across environments. The exact tooling may evolve, but those goals remain highly relevant.</w:t>
      </w:r>
    </w:p>
    <w:p>
      <w:pPr>
        <w:pStyle w:val="Heading1"/>
        <w:keepNext/>
      </w:pPr>
      <w:r>
        <w:t>Factor I — Codebase</w:t>
      </w:r>
    </w:p>
    <w:p>
      <w:pPr>
        <w:spacing w:after="100" w:line="269" w:lineRule="auto"/>
      </w:pPr>
      <w:r>
        <w:t>Definition: one codebase tracked in version control, many deploys. A 12-Factor app has a single authoritative codebase for a service, while that same codebase may be deployed to multiple environments such as development, staging, and production.</w:t>
      </w:r>
    </w:p>
    <w:p>
      <w:pPr>
        <w:spacing w:after="100" w:line="269" w:lineRule="auto"/>
      </w:pPr>
      <w:r>
        <w:t>The point is to establish one source of truth for the application. If multiple deployed variants are maintained as separate code copies, drift and confusion become inevitable. Teams end up fixing bugs in one branch and forgetting another, or adding features inconsistently across what should really be the same application.</w:t>
      </w:r>
    </w:p>
    <w:p>
      <w:pPr>
        <w:pStyle w:val="Heading2"/>
        <w:keepNext/>
      </w:pPr>
      <w:r>
        <w:t>Factor I — what it means in practice</w:t>
      </w:r>
    </w:p>
    <w:p>
      <w:pPr>
        <w:spacing w:after="100" w:line="269" w:lineRule="auto"/>
      </w:pPr>
      <w:r>
        <w:t>A service should have one primary repository or one clearly defined codebase identity, even if it is deployed many times. Configuration, environment variables, release versions, and feature flags may differ between deploys, but the core codebase remains the same.</w:t>
      </w:r>
    </w:p>
    <w:p>
      <w:pPr>
        <w:spacing w:after="100" w:line="269" w:lineRule="auto"/>
      </w:pPr>
      <w:r>
        <w:t>This does not mean every system should be a monorepo or that every repository must contain only one service. The principle is about identity and ownership: a distinct application should not be represented by fragmented or manually synchronized code copies.</w:t>
      </w:r>
    </w:p>
    <w:p>
      <w:pPr>
        <w:pStyle w:val="Heading2"/>
        <w:keepNext/>
      </w:pPr>
      <w:r>
        <w:t>Factor I — common violations</w:t>
      </w:r>
    </w:p>
    <w:p>
      <w:pPr>
        <w:spacing w:after="100" w:line="269" w:lineRule="auto"/>
      </w:pPr>
      <w:r>
        <w:t>Copying a project directory to create a “staging version” or “client-specific version” is a direct violation. Another common violation is maintaining environment-specific source branches that include different settings, secrets, or business behavior. That creates hidden divergence and makes debugging difficult.</w:t>
      </w:r>
    </w:p>
    <w:p>
      <w:pPr>
        <w:spacing w:after="100" w:line="269" w:lineRule="auto"/>
      </w:pPr>
      <w:r>
        <w:t>A subtler violation occurs when teams treat generated artifacts or manual machine changes as part of the true deployed application rather than deriving everything from source and release inputs.</w:t>
      </w:r>
    </w:p>
    <w:p>
      <w:pPr>
        <w:pStyle w:val="Heading1"/>
        <w:keepNext/>
      </w:pPr>
      <w:r>
        <w:t>Factor II — Dependencies</w:t>
      </w:r>
    </w:p>
    <w:p>
      <w:pPr>
        <w:spacing w:after="100" w:line="269" w:lineRule="auto"/>
      </w:pPr>
      <w:r>
        <w:t>Definition: explicitly declare and isolate dependencies. A 12-Factor app should not rely on implicit system packages, machine-level assumptions, or “it works on my laptop” setups. Dependencies should be declared in a standard manifest and isolated so the app can run predictably across environments.</w:t>
      </w:r>
    </w:p>
    <w:p>
      <w:pPr>
        <w:spacing w:after="100" w:line="269" w:lineRule="auto"/>
      </w:pPr>
      <w:r>
        <w:t>The main problem this solves is environment drift. If an app silently depends on a globally installed JDK, image library, operating system package, or shell tool that is not declared, then reproducibility suffers. Build failures and runtime surprises become common.</w:t>
      </w:r>
    </w:p>
    <w:p>
      <w:pPr>
        <w:pStyle w:val="Heading2"/>
        <w:keepNext/>
      </w:pPr>
      <w:r>
        <w:t>Factor II — practical implementation</w:t>
      </w:r>
    </w:p>
    <w:p>
      <w:pPr>
        <w:spacing w:after="100" w:line="269" w:lineRule="auto"/>
      </w:pPr>
      <w:r>
        <w:t>In Java and Spring Boot, dependency declaration usually means Maven or Gradle build files, locked plugin versions, explicit Java versions, and controlled container base images. Isolation may come through the JVM, the build tool, containers, or both.</w:t>
      </w:r>
    </w:p>
    <w:p>
      <w:pPr>
        <w:spacing w:after="100" w:line="269" w:lineRule="auto"/>
      </w:pPr>
      <w:r>
        <w:t>Teams should also be careful about transitive dependencies and hidden native dependencies. The build may look reproducible while still relying on system-level libraries not captured in the deployment artifact or container image.</w:t>
      </w:r>
    </w:p>
    <w:p>
      <w:pPr>
        <w:pStyle w:val="Heading2"/>
        <w:keepNext/>
      </w:pPr>
      <w:r>
        <w:t>Factor II — common violations</w:t>
      </w:r>
    </w:p>
    <w:p>
      <w:pPr>
        <w:spacing w:after="100" w:line="269" w:lineRule="auto"/>
      </w:pPr>
      <w:r>
        <w:t>Using globally installed database drivers, manual classpath tweaks on servers, or undocumented shell tools in startup scripts are common dependency problems. Containerized systems can still violate this factor if the image relies on mutable latest tags, unpinned base images, or ad hoc package installation during runtime.</w:t>
      </w:r>
    </w:p>
    <w:p>
      <w:pPr>
        <w:pStyle w:val="Heading1"/>
        <w:keepNext/>
      </w:pPr>
      <w:r>
        <w:t>Factor III — Config</w:t>
      </w:r>
    </w:p>
    <w:p>
      <w:pPr>
        <w:spacing w:after="100" w:line="269" w:lineRule="auto"/>
      </w:pPr>
      <w:r>
        <w:t>Definition: store config in the environment, not in code. Configuration includes values that vary between deploys: database URLs, credentials, hostnames, feature flags, queue names, region identifiers, and third-party service endpoints. These values should be injected at deploy time rather than hard-coded into the application source.</w:t>
      </w:r>
    </w:p>
    <w:p>
      <w:pPr>
        <w:spacing w:after="100" w:line="269" w:lineRule="auto"/>
      </w:pPr>
      <w:r>
        <w:t>This factor exists because config drift is one of the biggest causes of fragile deployments. If environment-specific values are buried in source files, compiled artifacts, or machine setup, the same codebase cannot move cleanly across environments.</w:t>
      </w:r>
    </w:p>
    <w:p>
      <w:pPr>
        <w:pStyle w:val="Heading2"/>
        <w:keepNext/>
      </w:pPr>
      <w:r>
        <w:t>Factor III — what belongs in config</w:t>
      </w:r>
    </w:p>
    <w:p>
      <w:pPr>
        <w:spacing w:after="100" w:line="269" w:lineRule="auto"/>
      </w:pPr>
      <w:r>
        <w:t>Good candidates for config are anything that changes by deploy target or infrastructure context. Secrets, connection strings, topic names, API base URLs, and tuning values usually belong there. Core business logic and static internal relationships generally do not.</w:t>
      </w:r>
    </w:p>
    <w:p>
      <w:pPr>
        <w:spacing w:after="100" w:line="269" w:lineRule="auto"/>
      </w:pPr>
      <w:r>
        <w:t>A useful test is whether the codebase could be open-sourced without exposing deploy-specific secrets or identities. If a value would need to change per environment, it is likely config.</w:t>
      </w:r>
    </w:p>
    <w:p>
      <w:pPr>
        <w:pStyle w:val="Heading2"/>
        <w:keepNext/>
      </w:pPr>
      <w:r>
        <w:t>Factor III — Spring Boot mapping</w:t>
      </w:r>
    </w:p>
    <w:p>
      <w:pPr>
        <w:spacing w:after="100" w:line="269" w:lineRule="auto"/>
      </w:pPr>
      <w:r>
        <w:t>Spring Boot aligns strongly with this factor through externalized configuration, property binding, profiles, and support for environment variables. However, profiles should be used carefully. When profiles become large environment-specific behavior switches, teams may accidentally encode deploy differences in code structure rather than keeping only configuration external.</w:t>
      </w:r>
    </w:p>
    <w:p>
      <w:pPr>
        <w:spacing w:after="100" w:line="269" w:lineRule="auto"/>
      </w:pPr>
      <w:r>
        <w:t>A strong practice is to package the same application artifact and provide environment-specific values via environment variables, secrets managers, or mounted configuration, keeping code and release behavior consistent.</w:t>
      </w:r>
    </w:p>
    <w:p>
      <w:pPr>
        <w:pStyle w:val="SmallNote"/>
        <w:keepNext/>
      </w:pPr>
      <w:r>
        <w:t>Illustrative example</w:t>
      </w:r>
    </w:p>
    <w:p>
      <w:pPr>
        <w:pStyle w:val="CodeBlock"/>
        <w:spacing w:after="0" w:line="240" w:lineRule="auto"/>
        <w:ind w:left="360" w:right="173"/>
        <w:shd w:fill="F3F6F9"/>
      </w:pPr>
      <w:r>
        <w:t># application.yaml (defaults only, not secrets)</w:t>
      </w:r>
    </w:p>
    <w:p>
      <w:pPr>
        <w:pStyle w:val="CodeBlock"/>
        <w:spacing w:after="0" w:line="240" w:lineRule="auto"/>
        <w:ind w:left="360" w:right="173"/>
        <w:shd w:fill="F3F6F9"/>
      </w:pPr>
      <w:r>
        <w:t>server:</w:t>
      </w:r>
    </w:p>
    <w:p>
      <w:pPr>
        <w:pStyle w:val="CodeBlock"/>
        <w:spacing w:after="0" w:line="240" w:lineRule="auto"/>
        <w:ind w:left="360" w:right="173"/>
        <w:shd w:fill="F3F6F9"/>
      </w:pPr>
      <w:r>
        <w:t xml:space="preserve">  port: ${SERVER_PORT:8080}</w:t>
      </w:r>
    </w:p>
    <w:p>
      <w:pPr>
        <w:pStyle w:val="CodeBlock"/>
        <w:spacing w:after="0" w:line="240" w:lineRule="auto"/>
        <w:ind w:left="360" w:right="173"/>
        <w:shd w:fill="F3F6F9"/>
      </w:pPr>
      <w:r>
        <w:t xml:space="preserve"> </w:t>
      </w:r>
    </w:p>
    <w:p>
      <w:pPr>
        <w:pStyle w:val="CodeBlock"/>
        <w:spacing w:after="0" w:line="240" w:lineRule="auto"/>
        <w:ind w:left="360" w:right="173"/>
        <w:shd w:fill="F3F6F9"/>
      </w:pPr>
      <w:r>
        <w:t>spring:</w:t>
      </w:r>
    </w:p>
    <w:p>
      <w:pPr>
        <w:pStyle w:val="CodeBlock"/>
        <w:spacing w:after="0" w:line="240" w:lineRule="auto"/>
        <w:ind w:left="360" w:right="173"/>
        <w:shd w:fill="F3F6F9"/>
      </w:pPr>
      <w:r>
        <w:t xml:space="preserve">  datasource:</w:t>
      </w:r>
    </w:p>
    <w:p>
      <w:pPr>
        <w:pStyle w:val="CodeBlock"/>
        <w:spacing w:after="0" w:line="240" w:lineRule="auto"/>
        <w:ind w:left="360" w:right="173"/>
        <w:shd w:fill="F3F6F9"/>
      </w:pPr>
      <w:r>
        <w:t xml:space="preserve">    url: ${DB_URL}</w:t>
      </w:r>
    </w:p>
    <w:p>
      <w:pPr>
        <w:pStyle w:val="CodeBlock"/>
        <w:spacing w:after="0" w:line="240" w:lineRule="auto"/>
        <w:ind w:left="360" w:right="173"/>
        <w:shd w:fill="F3F6F9"/>
      </w:pPr>
      <w:r>
        <w:t xml:space="preserve">    username: ${DB_USERNAME}</w:t>
      </w:r>
    </w:p>
    <w:p>
      <w:pPr>
        <w:pStyle w:val="CodeBlock"/>
        <w:spacing w:after="0" w:line="240" w:lineRule="auto"/>
        <w:ind w:left="360" w:right="173"/>
        <w:shd w:fill="F3F6F9"/>
      </w:pPr>
      <w:r>
        <w:t xml:space="preserve">    password: ${DB_PASSWORD}</w:t>
      </w:r>
    </w:p>
    <w:p>
      <w:pPr>
        <w:pStyle w:val="Heading1"/>
        <w:keepNext/>
      </w:pPr>
      <w:r>
        <w:t>Factor IV — Backing Services</w:t>
      </w:r>
    </w:p>
    <w:p>
      <w:pPr>
        <w:spacing w:after="100" w:line="269" w:lineRule="auto"/>
      </w:pPr>
      <w:r>
        <w:t>Definition: treat backing services as attached resources. Databases, caches, message brokers, search engines, SMTP servers, and external APIs should be treated as replaceable resources connected through configuration rather than as tightly bound local assumptions.</w:t>
      </w:r>
    </w:p>
    <w:p>
      <w:pPr>
        <w:spacing w:after="100" w:line="269" w:lineRule="auto"/>
      </w:pPr>
      <w:r>
        <w:t>This matters because applications often change the specific service provider over time. A local Postgres may become a managed cloud database. A queue vendor may change. A cache endpoint may move. If the app treats these as attached resources addressed through config, replacement becomes far easier.</w:t>
      </w:r>
    </w:p>
    <w:p>
      <w:pPr>
        <w:pStyle w:val="Heading2"/>
        <w:keepNext/>
      </w:pPr>
      <w:r>
        <w:t>Factor IV — practical implications</w:t>
      </w:r>
    </w:p>
    <w:p>
      <w:pPr>
        <w:spacing w:after="100" w:line="269" w:lineRule="auto"/>
      </w:pPr>
      <w:r>
        <w:t>The application should not assume local disks, machine names, or provider-specific locations as permanent truths. Service credentials and connection information should come from configuration. The application should connect to resources through stable client behavior rather than through hard-wired machine context.</w:t>
      </w:r>
    </w:p>
    <w:p>
      <w:pPr>
        <w:spacing w:after="100" w:line="269" w:lineRule="auto"/>
      </w:pPr>
      <w:r>
        <w:t>This factor also encourages parity between local and remote infrastructure by treating all such services through the same conceptual interface: attached resources that can be swapped by changing config.</w:t>
      </w:r>
    </w:p>
    <w:p>
      <w:pPr>
        <w:pStyle w:val="Heading1"/>
        <w:keepNext/>
      </w:pPr>
      <w:r>
        <w:t>Factor V — Build, Release, Run</w:t>
      </w:r>
    </w:p>
    <w:p>
      <w:pPr>
        <w:spacing w:after="100" w:line="269" w:lineRule="auto"/>
      </w:pPr>
      <w:r>
        <w:t>Definition: strictly separate build, release, and run stages. The build stage transforms source code into a build artifact. The release stage combines that artifact with environment-specific configuration. The run stage executes the released version in an execution environment.</w:t>
      </w:r>
    </w:p>
    <w:p>
      <w:pPr>
        <w:spacing w:after="100" w:line="269" w:lineRule="auto"/>
      </w:pPr>
      <w:r>
        <w:t>The purpose is traceability and repeatability. If build, release, and run are blurred together, it becomes hard to know what version is actually deployed, whether configuration changed after build, or whether mutable runtime behavior is contaminating release integrity.</w:t>
      </w:r>
    </w:p>
    <w:p>
      <w:pPr>
        <w:pStyle w:val="Heading2"/>
        <w:keepNext/>
      </w:pPr>
      <w:r>
        <w:t>Factor V — modern pipeline view</w:t>
      </w:r>
    </w:p>
    <w:p>
      <w:pPr>
        <w:spacing w:after="100" w:line="269" w:lineRule="auto"/>
      </w:pPr>
      <w:r>
        <w:t>In modern CI/CD, build might produce a JAR or container image, release might tag the image and associate it with config and metadata, and run might mean scheduling it on Kubernetes. The exact mechanics vary, but the separation is still valuable. A release should be an identifiable combination of artifact plus configuration that can be promoted or rolled back cleanly.</w:t>
      </w:r>
    </w:p>
    <w:p>
      <w:pPr>
        <w:spacing w:after="100" w:line="269" w:lineRule="auto"/>
      </w:pPr>
      <w:r>
        <w:t>This factor strongly discourages editing code or artifacts directly in runtime environments. Immutable artifacts and reproducible release pipelines are the practical embodiment of the principle.</w:t>
      </w:r>
    </w:p>
    <w:p>
      <w:pPr>
        <w:pStyle w:val="SmallNote"/>
        <w:keepNext/>
      </w:pPr>
      <w:r>
        <w:t>Illustrative example</w:t>
      </w:r>
    </w:p>
    <w:p>
      <w:pPr>
        <w:pStyle w:val="CodeBlock"/>
        <w:spacing w:after="0" w:line="240" w:lineRule="auto"/>
        <w:ind w:left="360" w:right="173"/>
        <w:shd w:fill="F3F6F9"/>
      </w:pPr>
      <w:r>
        <w:t># Example conceptual pipeline</w:t>
      </w:r>
    </w:p>
    <w:p>
      <w:pPr>
        <w:pStyle w:val="CodeBlock"/>
        <w:spacing w:after="0" w:line="240" w:lineRule="auto"/>
        <w:ind w:left="360" w:right="173"/>
        <w:shd w:fill="F3F6F9"/>
      </w:pPr>
      <w:r>
        <w:t>1. Build: mvn clean package -&gt; app.jar</w:t>
      </w:r>
    </w:p>
    <w:p>
      <w:pPr>
        <w:pStyle w:val="CodeBlock"/>
        <w:spacing w:after="0" w:line="240" w:lineRule="auto"/>
        <w:ind w:left="360" w:right="173"/>
        <w:shd w:fill="F3F6F9"/>
      </w:pPr>
      <w:r>
        <w:t>2. Package: build container image from app.jar</w:t>
      </w:r>
    </w:p>
    <w:p>
      <w:pPr>
        <w:pStyle w:val="CodeBlock"/>
        <w:spacing w:after="0" w:line="240" w:lineRule="auto"/>
        <w:ind w:left="360" w:right="173"/>
        <w:shd w:fill="F3F6F9"/>
      </w:pPr>
      <w:r>
        <w:t>3. Release: combine image tag with environment-specific config</w:t>
      </w:r>
    </w:p>
    <w:p>
      <w:pPr>
        <w:pStyle w:val="CodeBlock"/>
        <w:spacing w:after="0" w:line="240" w:lineRule="auto"/>
        <w:ind w:left="360" w:right="173"/>
        <w:shd w:fill="F3F6F9"/>
      </w:pPr>
      <w:r>
        <w:t>4. Run: deploy that release to Kubernetes</w:t>
      </w:r>
    </w:p>
    <w:p>
      <w:pPr>
        <w:pStyle w:val="Heading1"/>
        <w:keepNext/>
      </w:pPr>
      <w:r>
        <w:t>Factor VI — Processes</w:t>
      </w:r>
    </w:p>
    <w:p>
      <w:pPr>
        <w:spacing w:after="100" w:line="269" w:lineRule="auto"/>
      </w:pPr>
      <w:r>
        <w:t>Definition: execute the app as one or more stateless processes. The process model assumes any persistent state is stored in backing services such as databases or object stores, not in local process memory or machine-local files in ways that the application depends on for continuity across restarts.</w:t>
      </w:r>
    </w:p>
    <w:p>
      <w:pPr>
        <w:spacing w:after="100" w:line="269" w:lineRule="auto"/>
      </w:pPr>
      <w:r>
        <w:t>Statelessness improves scalability, resilience, and recoverability. If processes can be replaced freely, rolling deploys, crashes, autoscaling, and rescheduling become far safer.</w:t>
      </w:r>
    </w:p>
    <w:p>
      <w:pPr>
        <w:pStyle w:val="Heading2"/>
        <w:keepNext/>
      </w:pPr>
      <w:r>
        <w:t>Factor VI — common confusion</w:t>
      </w:r>
    </w:p>
    <w:p>
      <w:pPr>
        <w:spacing w:after="100" w:line="269" w:lineRule="auto"/>
      </w:pPr>
      <w:r>
        <w:t>Stateless does not mean the application never uses memory, caches, or temporary files. It means critical durable state should not live there as the system of record. In-memory caching is fine if it is treated as ephemeral and recoverable. Temporary files are acceptable if the app can tolerate process replacement without data loss.</w:t>
      </w:r>
    </w:p>
    <w:p>
      <w:pPr>
        <w:spacing w:after="100" w:line="269" w:lineRule="auto"/>
      </w:pPr>
      <w:r>
        <w:t>Session state is a classic trap. Storing user session state in process memory ties traffic to particular instances and complicates scaling. Centralized session stores or token-based approaches fit the factor better.</w:t>
      </w:r>
    </w:p>
    <w:p>
      <w:pPr>
        <w:pStyle w:val="Heading1"/>
        <w:keepNext/>
      </w:pPr>
      <w:r>
        <w:t>Factor VII — Port Binding</w:t>
      </w:r>
    </w:p>
    <w:p>
      <w:pPr>
        <w:spacing w:after="100" w:line="269" w:lineRule="auto"/>
      </w:pPr>
      <w:r>
        <w:t>Definition: export services via port binding. The application should be self-contained enough to expose its service directly by binding to a port rather than depending on an external web server framework being manually installed around it.</w:t>
      </w:r>
    </w:p>
    <w:p>
      <w:pPr>
        <w:spacing w:after="100" w:line="269" w:lineRule="auto"/>
      </w:pPr>
      <w:r>
        <w:t>This factor improved deployment portability by making apps more self-executing. In the Java world, Spring Boot’s embedded servers are a strong match for this factor because the application can package and expose itself directly.</w:t>
      </w:r>
    </w:p>
    <w:p>
      <w:pPr>
        <w:pStyle w:val="Heading2"/>
        <w:keepNext/>
      </w:pPr>
      <w:r>
        <w:t>Factor VII — practical relevance today</w:t>
      </w:r>
    </w:p>
    <w:p>
      <w:pPr>
        <w:spacing w:after="100" w:line="269" w:lineRule="auto"/>
      </w:pPr>
      <w:r>
        <w:t>Containers and orchestrators make port binding even more natural. An application listens on a port; the platform routes traffic using services, ingress, or sidecars. The app remains an independently runnable unit rather than a half-installed component inside a machine-specific environment.</w:t>
      </w:r>
    </w:p>
    <w:p>
      <w:pPr>
        <w:pStyle w:val="Heading1"/>
        <w:keepNext/>
      </w:pPr>
      <w:r>
        <w:t>Factor VIII — Concurrency</w:t>
      </w:r>
    </w:p>
    <w:p>
      <w:pPr>
        <w:spacing w:after="100" w:line="269" w:lineRule="auto"/>
      </w:pPr>
      <w:r>
        <w:t>Definition: scale out via the process model. Rather than assuming one giant mutable process must do everything, the application should support horizontal scaling by running more process instances or more process types as needed.</w:t>
      </w:r>
    </w:p>
    <w:p>
      <w:pPr>
        <w:spacing w:after="100" w:line="269" w:lineRule="auto"/>
      </w:pPr>
      <w:r>
        <w:t>The important design idea is that concurrency should emerge from process formation and platform scheduling, not from hand-crafted machine assumptions. Web workers, background jobs, schedulers, and queue consumers may scale independently based on demand.</w:t>
      </w:r>
    </w:p>
    <w:p>
      <w:pPr>
        <w:pStyle w:val="Heading2"/>
        <w:keepNext/>
      </w:pPr>
      <w:r>
        <w:t>Factor VIII — examples</w:t>
      </w:r>
    </w:p>
    <w:p>
      <w:pPr>
        <w:spacing w:after="100" w:line="269" w:lineRule="auto"/>
      </w:pPr>
      <w:r>
        <w:t>A web application might run multiple HTTP instances behind a load balancer while separate worker processes consume messages asynchronously. A reporting or batch process may scale independently from the user-facing API. This makes scaling more targeted and operationally efficient.</w:t>
      </w:r>
    </w:p>
    <w:p>
      <w:pPr>
        <w:spacing w:after="100" w:line="269" w:lineRule="auto"/>
      </w:pPr>
      <w:r>
        <w:t>Concurrency is easier when processes are stateless and disposable. That is why the factors reinforce each other rather than standing alone.</w:t>
      </w:r>
    </w:p>
    <w:p>
      <w:pPr>
        <w:pStyle w:val="Heading1"/>
        <w:keepNext/>
      </w:pPr>
      <w:r>
        <w:t>Factor IX — Disposability</w:t>
      </w:r>
    </w:p>
    <w:p>
      <w:pPr>
        <w:spacing w:after="100" w:line="269" w:lineRule="auto"/>
      </w:pPr>
      <w:r>
        <w:t>Definition: maximize robustness with fast startup and graceful shutdown. A disposable process is easy to start, easy to stop, and designed to tolerate replacement. This supports autoscaling, rolling deploys, crash recovery, and orchestrated rescheduling.</w:t>
      </w:r>
    </w:p>
    <w:p>
      <w:pPr>
        <w:spacing w:after="100" w:line="269" w:lineRule="auto"/>
      </w:pPr>
      <w:r>
        <w:t>Fast startup matters because slow startup delays deployment, scaling, and recovery. Graceful shutdown matters because processes should stop accepting new work, finish or hand off in-flight work safely, flush telemetry where appropriate, and release resources predictably.</w:t>
      </w:r>
    </w:p>
    <w:p>
      <w:pPr>
        <w:pStyle w:val="Heading2"/>
        <w:keepNext/>
      </w:pPr>
      <w:r>
        <w:t>Factor IX — implementation concerns</w:t>
      </w:r>
    </w:p>
    <w:p>
      <w:pPr>
        <w:spacing w:after="100" w:line="269" w:lineRule="auto"/>
      </w:pPr>
      <w:r>
        <w:t>This factor is highly relevant in Kubernetes and containerized environments, where pods are started and stopped routinely. Applications should react to termination signals, expose readiness and liveness state appropriately, and avoid long blocking startup sequences that make health management fragile.</w:t>
      </w:r>
    </w:p>
    <w:p>
      <w:pPr>
        <w:spacing w:after="100" w:line="269" w:lineRule="auto"/>
      </w:pPr>
      <w:r>
        <w:t>For Spring Boot, graceful shutdown hooks, readiness probes, and efficient initialization matter directly here.</w:t>
      </w:r>
    </w:p>
    <w:p>
      <w:pPr>
        <w:pStyle w:val="SmallNote"/>
        <w:keepNext/>
      </w:pPr>
      <w:r>
        <w:t>Illustrative example</w:t>
      </w:r>
    </w:p>
    <w:p>
      <w:pPr>
        <w:pStyle w:val="CodeBlock"/>
        <w:spacing w:after="0" w:line="240" w:lineRule="auto"/>
        <w:ind w:left="360" w:right="173"/>
        <w:shd w:fill="F3F6F9"/>
      </w:pPr>
      <w:r>
        <w:t># Kubernetes lifecycle example</w:t>
      </w:r>
    </w:p>
    <w:p>
      <w:pPr>
        <w:pStyle w:val="CodeBlock"/>
        <w:spacing w:after="0" w:line="240" w:lineRule="auto"/>
        <w:ind w:left="360" w:right="173"/>
        <w:shd w:fill="F3F6F9"/>
      </w:pPr>
      <w:r>
        <w:t>readinessProbe:</w:t>
      </w:r>
    </w:p>
    <w:p>
      <w:pPr>
        <w:pStyle w:val="CodeBlock"/>
        <w:spacing w:after="0" w:line="240" w:lineRule="auto"/>
        <w:ind w:left="360" w:right="173"/>
        <w:shd w:fill="F3F6F9"/>
      </w:pPr>
      <w:r>
        <w:t xml:space="preserve">  httpGet:</w:t>
      </w:r>
    </w:p>
    <w:p>
      <w:pPr>
        <w:pStyle w:val="CodeBlock"/>
        <w:spacing w:after="0" w:line="240" w:lineRule="auto"/>
        <w:ind w:left="360" w:right="173"/>
        <w:shd w:fill="F3F6F9"/>
      </w:pPr>
      <w:r>
        <w:t xml:space="preserve">    path: /actuator/health/readiness</w:t>
      </w:r>
    </w:p>
    <w:p>
      <w:pPr>
        <w:pStyle w:val="CodeBlock"/>
        <w:spacing w:after="0" w:line="240" w:lineRule="auto"/>
        <w:ind w:left="360" w:right="173"/>
        <w:shd w:fill="F3F6F9"/>
      </w:pPr>
      <w:r>
        <w:t xml:space="preserve">    port: 8080</w:t>
      </w:r>
    </w:p>
    <w:p>
      <w:pPr>
        <w:pStyle w:val="CodeBlock"/>
        <w:spacing w:after="0" w:line="240" w:lineRule="auto"/>
        <w:ind w:left="360" w:right="173"/>
        <w:shd w:fill="F3F6F9"/>
      </w:pPr>
      <w:r>
        <w:t xml:space="preserve"> </w:t>
      </w:r>
    </w:p>
    <w:p>
      <w:pPr>
        <w:pStyle w:val="CodeBlock"/>
        <w:spacing w:after="0" w:line="240" w:lineRule="auto"/>
        <w:ind w:left="360" w:right="173"/>
        <w:shd w:fill="F3F6F9"/>
      </w:pPr>
      <w:r>
        <w:t>lifecycle:</w:t>
      </w:r>
    </w:p>
    <w:p>
      <w:pPr>
        <w:pStyle w:val="CodeBlock"/>
        <w:spacing w:after="0" w:line="240" w:lineRule="auto"/>
        <w:ind w:left="360" w:right="173"/>
        <w:shd w:fill="F3F6F9"/>
      </w:pPr>
      <w:r>
        <w:t xml:space="preserve">  preStop:</w:t>
      </w:r>
    </w:p>
    <w:p>
      <w:pPr>
        <w:pStyle w:val="CodeBlock"/>
        <w:spacing w:after="0" w:line="240" w:lineRule="auto"/>
        <w:ind w:left="360" w:right="173"/>
        <w:shd w:fill="F3F6F9"/>
      </w:pPr>
      <w:r>
        <w:t xml:space="preserve">    exec:</w:t>
      </w:r>
    </w:p>
    <w:p>
      <w:pPr>
        <w:pStyle w:val="CodeBlock"/>
        <w:spacing w:after="0" w:line="240" w:lineRule="auto"/>
        <w:ind w:left="360" w:right="173"/>
        <w:shd w:fill="F3F6F9"/>
      </w:pPr>
      <w:r>
        <w:t xml:space="preserve">      command: ["/bin/sh", "-c", "sleep 5"]</w:t>
      </w:r>
    </w:p>
    <w:p>
      <w:pPr>
        <w:pStyle w:val="Heading1"/>
        <w:keepNext/>
      </w:pPr>
      <w:r>
        <w:t>Factor X — Dev/Prod Parity</w:t>
      </w:r>
    </w:p>
    <w:p>
      <w:pPr>
        <w:spacing w:after="100" w:line="269" w:lineRule="auto"/>
      </w:pPr>
      <w:r>
        <w:t>Definition: keep development, staging, and production as similar as possible. Large gaps between environments cause integration surprises, release delays, and bugs that only appear after deployment. The principle aims to reduce those gaps in time, personnel, and tooling.</w:t>
      </w:r>
    </w:p>
    <w:p>
      <w:pPr>
        <w:spacing w:after="100" w:line="269" w:lineRule="auto"/>
      </w:pPr>
      <w:r>
        <w:t>Historically, development environments were often toy setups while production used completely different infrastructure and workflows. This made deploys dangerous because teams discovered incompatibilities too late.</w:t>
      </w:r>
    </w:p>
    <w:p>
      <w:pPr>
        <w:pStyle w:val="Heading2"/>
        <w:keepNext/>
      </w:pPr>
      <w:r>
        <w:t>Factor X — modern interpretation</w:t>
      </w:r>
    </w:p>
    <w:p>
      <w:pPr>
        <w:spacing w:after="100" w:line="269" w:lineRule="auto"/>
      </w:pPr>
      <w:r>
        <w:t>Parity does not require identical scale or cost, but it does require similarity in architecture, packaging, configuration style, and operational assumptions. Local development should resemble production enough that meaningful issues show up early. Containers, test environments, ephemeral preview systems, and managed local dependencies can all help.</w:t>
      </w:r>
    </w:p>
    <w:p>
      <w:pPr>
        <w:spacing w:after="100" w:line="269" w:lineRule="auto"/>
      </w:pPr>
      <w:r>
        <w:t>The best parity is achieved when the same build artifacts, same startup paths, and same configuration patterns are used across environments.</w:t>
      </w:r>
    </w:p>
    <w:p>
      <w:pPr>
        <w:pStyle w:val="Heading1"/>
        <w:keepNext/>
      </w:pPr>
      <w:r>
        <w:t>Factor XI — Logs</w:t>
      </w:r>
    </w:p>
    <w:p>
      <w:pPr>
        <w:spacing w:after="100" w:line="269" w:lineRule="auto"/>
      </w:pPr>
      <w:r>
        <w:t>Definition: treat logs as event streams. The application should write logs to standard output or standard error and not take on the responsibility of log routing, indexing, or long-term storage. Log collection and aggregation should be handled by the execution environment or platform.</w:t>
      </w:r>
    </w:p>
    <w:p>
      <w:pPr>
        <w:spacing w:after="100" w:line="269" w:lineRule="auto"/>
      </w:pPr>
      <w:r>
        <w:t>This decouples application code from log transport and storage concerns. It also fits well with container and platform architectures, where stdout and stderr are natural integration points for collectors.</w:t>
      </w:r>
    </w:p>
    <w:p>
      <w:pPr>
        <w:pStyle w:val="Heading2"/>
        <w:keepNext/>
      </w:pPr>
      <w:r>
        <w:t>Factor XI — good logging discipline</w:t>
      </w:r>
    </w:p>
    <w:p>
      <w:pPr>
        <w:spacing w:after="100" w:line="269" w:lineRule="auto"/>
      </w:pPr>
      <w:r>
        <w:t>Treating logs as event streams does not mean logging without structure. Good practice includes consistent formats, correlation identifiers, severity levels, and meaningful event messages. The factor is about ownership boundaries: the app emits events, the platform routes and stores them.</w:t>
      </w:r>
    </w:p>
    <w:p>
      <w:pPr>
        <w:spacing w:after="100" w:line="269" w:lineRule="auto"/>
      </w:pPr>
      <w:r>
        <w:t>It is also important to distinguish logs from metrics and traces. Modern observability requires all three, even though the original factor focuses specifically on logs.</w:t>
      </w:r>
    </w:p>
    <w:p>
      <w:pPr>
        <w:pStyle w:val="Heading1"/>
        <w:keepNext/>
      </w:pPr>
      <w:r>
        <w:t>Factor XII — Admin Processes</w:t>
      </w:r>
    </w:p>
    <w:p>
      <w:pPr>
        <w:spacing w:after="100" w:line="269" w:lineRule="auto"/>
      </w:pPr>
      <w:r>
        <w:t>Definition: run admin and management tasks as one-off processes in the same environment as the regular app code. Database migrations, backfills, console jobs, repair tasks, and maintenance commands should use the same codebase and release setup rather than ad hoc scripts living on random machines.</w:t>
      </w:r>
    </w:p>
    <w:p>
      <w:pPr>
        <w:spacing w:after="100" w:line="269" w:lineRule="auto"/>
      </w:pPr>
      <w:r>
        <w:t>This ensures administrative tasks benefit from the same dependency isolation, configuration, and release discipline as the main application. It reduces the risk of “special” maintenance code becoming operational folklore.</w:t>
      </w:r>
    </w:p>
    <w:p>
      <w:pPr>
        <w:pStyle w:val="Heading2"/>
        <w:keepNext/>
      </w:pPr>
      <w:r>
        <w:t>Factor XII — examples</w:t>
      </w:r>
    </w:p>
    <w:p>
      <w:pPr>
        <w:spacing w:after="100" w:line="269" w:lineRule="auto"/>
      </w:pPr>
      <w:r>
        <w:t>Examples include a Spring Boot application exposing a dedicated migration command, a one-off Kubernetes Job using the same container image, or a maintenance process launched with the same environment variables and secrets as the main service.</w:t>
      </w:r>
    </w:p>
    <w:p>
      <w:pPr>
        <w:spacing w:after="100" w:line="269" w:lineRule="auto"/>
      </w:pPr>
      <w:r>
        <w:t>A violation would be running a custom shell script from an engineer’s laptop against production because it depends on undocumented local tooling and untracked credentials.</w:t>
      </w:r>
    </w:p>
    <w:p>
      <w:pPr>
        <w:pStyle w:val="Heading1"/>
        <w:keepNext/>
      </w:pPr>
      <w:r>
        <w:t>How the 12 factors reinforce each other</w:t>
      </w:r>
    </w:p>
    <w:p>
      <w:pPr>
        <w:spacing w:after="100" w:line="269" w:lineRule="auto"/>
      </w:pPr>
      <w:r>
        <w:t>The factors work as a system. Environment-based config supports one codebase with many deploys. Dependency isolation improves parity. Stateless processes make disposability and horizontal concurrency possible. Strict build and release discipline improves traceability. Attached resources support portability. Logs as streams align with disposable processes and container platforms.</w:t>
      </w:r>
    </w:p>
    <w:p>
      <w:pPr>
        <w:spacing w:after="100" w:line="269" w:lineRule="auto"/>
      </w:pPr>
      <w:r>
        <w:t>When one factor is ignored, pressure often appears in others. For example, if config is baked into artifacts, release management becomes messy. If processes are stateful, concurrency and disposability become much harder. If admin tasks are ad hoc, parity and dependency discipline erode.</w:t>
      </w:r>
    </w:p>
    <w:p>
      <w:pPr>
        <w:pStyle w:val="Heading1"/>
        <w:keepNext/>
      </w:pPr>
      <w:r>
        <w:t>How 12-Factor maps to Spring Boot</w:t>
      </w:r>
    </w:p>
    <w:p>
      <w:pPr>
        <w:spacing w:after="100" w:line="269" w:lineRule="auto"/>
      </w:pPr>
      <w:r>
        <w:t>Spring Boot maps naturally to several factors. Embedded servers support port binding. Externalized configuration supports config separation. Actuator helps with disposability through health and readiness endpoints. Executable JARs support clean build artifacts. Dependency management through Maven or Gradle supports explicit dependency declaration.</w:t>
      </w:r>
    </w:p>
    <w:p>
      <w:pPr>
        <w:spacing w:after="100" w:line="269" w:lineRule="auto"/>
      </w:pPr>
      <w:r>
        <w:t>At the same time, Spring Boot can drift away from 12-Factor if misused. Overreliance on environment-specific profiles, writing files to local disk as durable state, embedding secrets in property files inside the artifact, or depending on mutable server setup all weaken the model.</w:t>
      </w:r>
    </w:p>
    <w:p>
      <w:pPr>
        <w:pStyle w:val="Heading1"/>
        <w:keepNext/>
      </w:pPr>
      <w:r>
        <w:t>How 12-Factor maps to Docker</w:t>
      </w:r>
    </w:p>
    <w:p>
      <w:pPr>
        <w:spacing w:after="100" w:line="269" w:lineRule="auto"/>
      </w:pPr>
      <w:r>
        <w:t>Docker is not the 12-Factor methodology, but it implements many of its ideas well. Container images support immutable build artifacts. Environment variables and secret injection support externalized configuration. Standard output logging fits container log collection. Container replacement aligns with stateless process design and disposability.</w:t>
      </w:r>
    </w:p>
    <w:p>
      <w:pPr>
        <w:spacing w:after="100" w:line="269" w:lineRule="auto"/>
      </w:pPr>
      <w:r>
        <w:t>However, containers do not automatically make an application 12-Factor compliant. A stateful app inside a container is still stateful. A container image with baked secrets still violates config discipline. A container that runs multiple unrelated concerns or depends on machine-local volumes incorrectly still misses the spirit of the factors.</w:t>
      </w:r>
    </w:p>
    <w:p>
      <w:pPr>
        <w:pStyle w:val="Heading1"/>
        <w:keepNext/>
      </w:pPr>
      <w:r>
        <w:t>How 12-Factor maps to Kubernetes</w:t>
      </w:r>
    </w:p>
    <w:p>
      <w:pPr>
        <w:spacing w:after="100" w:line="269" w:lineRule="auto"/>
      </w:pPr>
      <w:r>
        <w:t>Kubernetes operationalizes many factors at platform scale. Deployments and ReplicaSets support process-based concurrency. Services and ingress align with port binding. ConfigMaps and Secrets support external configuration. Jobs and CronJobs align with admin processes. Pods being routinely replaced reinforces disposability and stateless design.</w:t>
      </w:r>
    </w:p>
    <w:p>
      <w:pPr>
        <w:spacing w:after="100" w:line="269" w:lineRule="auto"/>
      </w:pPr>
      <w:r>
        <w:t>Kubernetes also raises the bar: applications that start slowly, shut down poorly, write critical state locally, or rely on interactive machine access will struggle operationally. The platform makes 12-Factor-style weaknesses visible very quickly.</w:t>
      </w:r>
    </w:p>
    <w:p>
      <w:pPr>
        <w:pStyle w:val="SmallNote"/>
        <w:keepNext/>
      </w:pPr>
      <w:r>
        <w:t>Illustrative example</w:t>
      </w:r>
    </w:p>
    <w:p>
      <w:pPr>
        <w:pStyle w:val="CodeBlock"/>
        <w:spacing w:after="0" w:line="240" w:lineRule="auto"/>
        <w:ind w:left="360" w:right="173"/>
        <w:shd w:fill="F3F6F9"/>
      </w:pPr>
      <w:r>
        <w:t>apiVersion: batch/v1</w:t>
      </w:r>
    </w:p>
    <w:p>
      <w:pPr>
        <w:pStyle w:val="CodeBlock"/>
        <w:spacing w:after="0" w:line="240" w:lineRule="auto"/>
        <w:ind w:left="360" w:right="173"/>
        <w:shd w:fill="F3F6F9"/>
      </w:pPr>
      <w:r>
        <w:t>kind: Job</w:t>
      </w:r>
    </w:p>
    <w:p>
      <w:pPr>
        <w:pStyle w:val="CodeBlock"/>
        <w:spacing w:after="0" w:line="240" w:lineRule="auto"/>
        <w:ind w:left="360" w:right="173"/>
        <w:shd w:fill="F3F6F9"/>
      </w:pPr>
      <w:r>
        <w:t>metadata:</w:t>
      </w:r>
    </w:p>
    <w:p>
      <w:pPr>
        <w:pStyle w:val="CodeBlock"/>
        <w:spacing w:after="0" w:line="240" w:lineRule="auto"/>
        <w:ind w:left="360" w:right="173"/>
        <w:shd w:fill="F3F6F9"/>
      </w:pPr>
      <w:r>
        <w:t xml:space="preserve">  name: db-migration</w:t>
      </w:r>
    </w:p>
    <w:p>
      <w:pPr>
        <w:pStyle w:val="CodeBlock"/>
        <w:spacing w:after="0" w:line="240" w:lineRule="auto"/>
        <w:ind w:left="360" w:right="173"/>
        <w:shd w:fill="F3F6F9"/>
      </w:pPr>
      <w:r>
        <w:t>spec:</w:t>
      </w:r>
    </w:p>
    <w:p>
      <w:pPr>
        <w:pStyle w:val="CodeBlock"/>
        <w:spacing w:after="0" w:line="240" w:lineRule="auto"/>
        <w:ind w:left="360" w:right="173"/>
        <w:shd w:fill="F3F6F9"/>
      </w:pPr>
      <w:r>
        <w:t xml:space="preserve">  template:</w:t>
      </w:r>
    </w:p>
    <w:p>
      <w:pPr>
        <w:pStyle w:val="CodeBlock"/>
        <w:spacing w:after="0" w:line="240" w:lineRule="auto"/>
        <w:ind w:left="360" w:right="173"/>
        <w:shd w:fill="F3F6F9"/>
      </w:pPr>
      <w:r>
        <w:t xml:space="preserve">    spec:</w:t>
      </w:r>
    </w:p>
    <w:p>
      <w:pPr>
        <w:pStyle w:val="CodeBlock"/>
        <w:spacing w:after="0" w:line="240" w:lineRule="auto"/>
        <w:ind w:left="360" w:right="173"/>
        <w:shd w:fill="F3F6F9"/>
      </w:pPr>
      <w:r>
        <w:t xml:space="preserve">      restartPolicy: Never</w:t>
      </w:r>
    </w:p>
    <w:p>
      <w:pPr>
        <w:pStyle w:val="CodeBlock"/>
        <w:spacing w:after="0" w:line="240" w:lineRule="auto"/>
        <w:ind w:left="360" w:right="173"/>
        <w:shd w:fill="F3F6F9"/>
      </w:pPr>
      <w:r>
        <w:t xml:space="preserve">      containers:</w:t>
      </w:r>
    </w:p>
    <w:p>
      <w:pPr>
        <w:pStyle w:val="CodeBlock"/>
        <w:spacing w:after="0" w:line="240" w:lineRule="auto"/>
        <w:ind w:left="360" w:right="173"/>
        <w:shd w:fill="F3F6F9"/>
      </w:pPr>
      <w:r>
        <w:t xml:space="preserve">        - name: migrate</w:t>
      </w:r>
    </w:p>
    <w:p>
      <w:pPr>
        <w:pStyle w:val="CodeBlock"/>
        <w:spacing w:after="0" w:line="240" w:lineRule="auto"/>
        <w:ind w:left="360" w:right="173"/>
        <w:shd w:fill="F3F6F9"/>
      </w:pPr>
      <w:r>
        <w:t xml:space="preserve">          image: myapp:1.4.2</w:t>
      </w:r>
    </w:p>
    <w:p>
      <w:pPr>
        <w:pStyle w:val="CodeBlock"/>
        <w:spacing w:after="0" w:line="240" w:lineRule="auto"/>
        <w:ind w:left="360" w:right="173"/>
        <w:shd w:fill="F3F6F9"/>
      </w:pPr>
      <w:r>
        <w:t xml:space="preserve">          command: ["java", "-jar", "app.jar", "--migrate"]</w:t>
      </w:r>
    </w:p>
    <w:p>
      <w:pPr>
        <w:pStyle w:val="Heading2"/>
        <w:keepNext/>
      </w:pPr>
      <w:r>
        <w:t>Common misconceptions</w:t>
      </w:r>
    </w:p>
    <w:p>
      <w:pPr>
        <w:spacing w:after="100" w:line="269" w:lineRule="auto"/>
      </w:pPr>
      <w:r>
        <w:t>A common misconception is that 12-Factor means “use environment variables for absolutely everything.” In practice, environment is shorthand for externally supplied deploy-specific configuration. Teams may use secrets managers, mounted config, or platform-native config systems as long as the core principle holds: config should not be hard-coded into the app.</w:t>
      </w:r>
    </w:p>
    <w:p>
      <w:pPr>
        <w:spacing w:after="100" w:line="269" w:lineRule="auto"/>
      </w:pPr>
      <w:r>
        <w:t>Another misconception is that 12-Factor forbids all state. It does not. It forbids coupling durable system state to process identity. Durable state should live in dedicated backing services.</w:t>
      </w:r>
    </w:p>
    <w:p>
      <w:pPr>
        <w:spacing w:after="100" w:line="269" w:lineRule="auto"/>
      </w:pPr>
      <w:r>
        <w:t>A third misconception is that 12-Factor is outdated because containers and Kubernetes exist. The opposite is often true: these platforms make the factors more operationally concrete, even if implementation details evolve.</w:t>
      </w:r>
    </w:p>
    <w:p>
      <w:pPr>
        <w:pStyle w:val="Heading1"/>
        <w:keepNext/>
      </w:pPr>
      <w:r>
        <w:t>Beyond 12-Factor — API first</w:t>
      </w:r>
    </w:p>
    <w:p>
      <w:pPr>
        <w:spacing w:after="100" w:line="269" w:lineRule="auto"/>
      </w:pPr>
      <w:r>
        <w:t>Modern cloud-native systems often benefit from an API-first mindset, where contracts are designed deliberately and documented consistently before or alongside implementation. This improves interoperability, consumer confidence, versioning discipline, and governance, especially in distributed systems.</w:t>
      </w:r>
    </w:p>
    <w:p>
      <w:pPr>
        <w:spacing w:after="100" w:line="269" w:lineRule="auto"/>
      </w:pPr>
      <w:r>
        <w:t>API-first is not one of the original twelve factors, but it complements them by making service boundaries explicit and easier to evolve safely.</w:t>
      </w:r>
    </w:p>
    <w:p>
      <w:pPr>
        <w:pStyle w:val="Heading1"/>
        <w:keepNext/>
      </w:pPr>
      <w:r>
        <w:t>Beyond 12-Factor — telemetry</w:t>
      </w:r>
    </w:p>
    <w:p>
      <w:pPr>
        <w:spacing w:after="100" w:line="269" w:lineRule="auto"/>
      </w:pPr>
      <w:r>
        <w:t>The original factors mention logs but do not fully cover modern observability. Today, production maturity usually requires telemetry as a first-class concern: logs, metrics, traces, correlation IDs, health indicators, SLOs, dashboards, and alerting. Without telemetry, cloud-native portability is not enough because teams cannot understand runtime behavior effectively.</w:t>
      </w:r>
    </w:p>
    <w:p>
      <w:pPr>
        <w:spacing w:after="100" w:line="269" w:lineRule="auto"/>
      </w:pPr>
      <w:r>
        <w:t>Telemetry should be designed into the application and platform from the start, not bolted on only after incidents occur.</w:t>
      </w:r>
    </w:p>
    <w:p>
      <w:pPr>
        <w:pStyle w:val="SmallNote"/>
        <w:keepNext/>
      </w:pPr>
      <w:r>
        <w:t>Illustrative example</w:t>
      </w:r>
    </w:p>
    <w:p>
      <w:pPr>
        <w:pStyle w:val="CodeBlock"/>
        <w:spacing w:after="0" w:line="240" w:lineRule="auto"/>
        <w:ind w:left="360" w:right="173"/>
        <w:shd w:fill="F3F6F9"/>
      </w:pPr>
      <w:r>
        <w:t># Example telemetry concerns</w:t>
      </w:r>
    </w:p>
    <w:p>
      <w:pPr>
        <w:pStyle w:val="CodeBlock"/>
        <w:spacing w:after="0" w:line="240" w:lineRule="auto"/>
        <w:ind w:left="360" w:right="173"/>
        <w:shd w:fill="F3F6F9"/>
      </w:pPr>
      <w:r>
        <w:t>- Structured logs with request IDs</w:t>
      </w:r>
    </w:p>
    <w:p>
      <w:pPr>
        <w:pStyle w:val="CodeBlock"/>
        <w:spacing w:after="0" w:line="240" w:lineRule="auto"/>
        <w:ind w:left="360" w:right="173"/>
        <w:shd w:fill="F3F6F9"/>
      </w:pPr>
      <w:r>
        <w:t>- Metrics for latency, throughput, and error rate</w:t>
      </w:r>
    </w:p>
    <w:p>
      <w:pPr>
        <w:pStyle w:val="CodeBlock"/>
        <w:spacing w:after="0" w:line="240" w:lineRule="auto"/>
        <w:ind w:left="360" w:right="173"/>
        <w:shd w:fill="F3F6F9"/>
      </w:pPr>
      <w:r>
        <w:t>- Distributed tracing for cross-service calls</w:t>
      </w:r>
    </w:p>
    <w:p>
      <w:pPr>
        <w:pStyle w:val="CodeBlock"/>
        <w:spacing w:after="0" w:line="240" w:lineRule="auto"/>
        <w:ind w:left="360" w:right="173"/>
        <w:shd w:fill="F3F6F9"/>
      </w:pPr>
      <w:r>
        <w:t>- Health endpoints and SLO-based alerting</w:t>
      </w:r>
    </w:p>
    <w:p>
      <w:pPr>
        <w:pStyle w:val="Heading1"/>
        <w:keepNext/>
      </w:pPr>
      <w:r>
        <w:t>Beyond 12-Factor — security</w:t>
      </w:r>
    </w:p>
    <w:p>
      <w:pPr>
        <w:spacing w:after="100" w:line="269" w:lineRule="auto"/>
      </w:pPr>
      <w:r>
        <w:t>Security is another area where modern practice extends beyond the original text. Secret management, least privilege, image provenance, dependency scanning, supply chain controls, transport encryption, workload identity, auditability, and secure defaults are all crucial in modern platforms.</w:t>
      </w:r>
    </w:p>
    <w:p>
      <w:pPr>
        <w:spacing w:after="100" w:line="269" w:lineRule="auto"/>
      </w:pPr>
      <w:r>
        <w:t>A system may satisfy many 12-Factor characteristics and still be insecure if it bakes secrets into images, runs with excessive privileges, or exposes weak administrative paths. Modern cloud-native thinking must combine operational design with security engineering.</w:t>
      </w:r>
    </w:p>
    <w:p>
      <w:pPr>
        <w:pStyle w:val="Heading1"/>
        <w:keepNext/>
      </w:pPr>
      <w:r>
        <w:t>Strengths and limits of 12-Factor</w:t>
      </w:r>
    </w:p>
    <w:p>
      <w:pPr>
        <w:spacing w:after="100" w:line="269" w:lineRule="auto"/>
      </w:pPr>
      <w:r>
        <w:t>The biggest strength of 12-Factor is that it creates disciplined, portable, automation-friendly services. It also provides a shared vocabulary across development and operations teams. Many reliability and deployment problems become easier once the factors are taken seriously.</w:t>
      </w:r>
    </w:p>
    <w:p>
      <w:pPr>
        <w:spacing w:after="100" w:line="269" w:lineRule="auto"/>
      </w:pPr>
      <w:r>
        <w:t>Its limits come from context. Not every system is a stateless web app with attached backing services. Data-intensive systems, embedded systems, desktop software, and some event-driven or stateful platforms may require adaptation. The factors remain useful heuristics, but they are not a universal substitute for domain-specific architecture decisions.</w:t>
      </w:r>
    </w:p>
    <w:p>
      <w:pPr>
        <w:pStyle w:val="Heading1"/>
        <w:keepNext/>
      </w:pPr>
      <w:r>
        <w:t>Practical review checklist</w:t>
      </w:r>
    </w:p>
    <w:p>
      <w:pPr>
        <w:spacing w:after="100" w:line="269" w:lineRule="auto"/>
      </w:pPr>
      <w:r>
        <w:t>Ask whether the service has one clear codebase identity. Ask whether build and dependency declarations are sufficient to reproduce the runtime. Ask whether deploy-specific config is external. Ask whether databases and queues are treated as replaceable resources. Ask whether release promotion is traceable. Ask whether processes are stateless and disposable. Ask whether startup and shutdown behavior support orchestration. Ask whether logs go to event streams. Ask whether admin tasks run as one-off processes under the same release discipline.</w:t>
      </w:r>
    </w:p>
    <w:p>
      <w:pPr>
        <w:spacing w:after="100" w:line="269" w:lineRule="auto"/>
      </w:pPr>
      <w:r>
        <w:t>Then ask the modern extensions: Is the API contract explicit? Is telemetry strong enough for operations? Is security treated as a first-class system concern?</w:t>
      </w:r>
    </w:p>
    <w:p>
      <w:pPr>
        <w:pStyle w:val="Heading1"/>
        <w:keepNext/>
      </w:pPr>
      <w:r>
        <w:t>Key takeaways</w:t>
      </w:r>
    </w:p>
    <w:p>
      <w:pPr>
        <w:spacing w:after="100" w:line="269" w:lineRule="auto"/>
      </w:pPr>
      <w:r>
        <w:t>The 12-Factor App is a methodology for building applications that are easier to deploy, scale, automate, and operate. Its factors encourage single-source code ownership, explicit dependencies, externalized config, replaceable backing services, disciplined release flow, stateless process execution, port-bound service packaging, horizontal concurrency, disposability, environment parity, streamed logs, and one-off admin processes.</w:t>
      </w:r>
    </w:p>
    <w:p>
      <w:pPr>
        <w:spacing w:after="100" w:line="269" w:lineRule="auto"/>
      </w:pPr>
      <w:r>
        <w:t>Spring Boot, Docker, and Kubernetes do not replace these ideas. They provide concrete ways to implement them. Beyond the original twelve factors, modern systems also need API discipline, observability, and security to achieve real production maturity.</w:t>
      </w:r>
    </w:p>
    <w:p>
      <w:pPr>
        <w:pStyle w:val="Heading2"/>
      </w:pPr>
      <w:r>
        <w:t>Modern platform mapping table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160"/>
            <w:shd w:fill="D9EAF7"/>
            <w:tcMar>
              <w:top w:w="90" w:type="dxa"/>
              <w:start w:w="90" w:type="dxa"/>
              <w:bottom w:w="90" w:type="dxa"/>
              <w:end w:w="90" w:type="dxa"/>
            </w:tcMar>
          </w:tcPr>
          <w:p>
            <w:pPr>
              <w:jc w:val="center"/>
            </w:pPr>
            <w:r>
              <w:rPr>
                <w:b/>
              </w:rPr>
              <w:t>Concern</w:t>
            </w:r>
          </w:p>
        </w:tc>
        <w:tc>
          <w:tcPr>
            <w:tcW w:type="dxa" w:w="2736"/>
            <w:shd w:fill="D9EAF7"/>
            <w:tcMar>
              <w:top w:w="90" w:type="dxa"/>
              <w:start w:w="90" w:type="dxa"/>
              <w:bottom w:w="90" w:type="dxa"/>
              <w:end w:w="90" w:type="dxa"/>
            </w:tcMar>
          </w:tcPr>
          <w:p>
            <w:pPr>
              <w:jc w:val="center"/>
            </w:pPr>
            <w:r>
              <w:rPr>
                <w:b/>
              </w:rPr>
              <w:t>Spring Boot</w:t>
            </w:r>
          </w:p>
        </w:tc>
        <w:tc>
          <w:tcPr>
            <w:tcW w:type="dxa" w:w="2736"/>
            <w:shd w:fill="D9EAF7"/>
            <w:tcMar>
              <w:top w:w="90" w:type="dxa"/>
              <w:start w:w="90" w:type="dxa"/>
              <w:bottom w:w="90" w:type="dxa"/>
              <w:end w:w="90" w:type="dxa"/>
            </w:tcMar>
          </w:tcPr>
          <w:p>
            <w:pPr>
              <w:jc w:val="center"/>
            </w:pPr>
            <w:r>
              <w:rPr>
                <w:b/>
              </w:rPr>
              <w:t>Docker</w:t>
            </w:r>
          </w:p>
        </w:tc>
        <w:tc>
          <w:tcPr>
            <w:tcW w:type="dxa" w:w="2736"/>
            <w:shd w:fill="D9EAF7"/>
            <w:tcMar>
              <w:top w:w="90" w:type="dxa"/>
              <w:start w:w="90" w:type="dxa"/>
              <w:bottom w:w="90" w:type="dxa"/>
              <w:end w:w="90" w:type="dxa"/>
            </w:tcMar>
          </w:tcPr>
          <w:p>
            <w:pPr>
              <w:jc w:val="center"/>
            </w:pPr>
            <w:r>
              <w:rPr>
                <w:b/>
              </w:rPr>
              <w:t>Kubernetes</w:t>
            </w:r>
          </w:p>
        </w:tc>
      </w:tr>
      <w:tr>
        <w:tc>
          <w:tcPr>
            <w:tcW w:type="dxa" w:w="2484"/>
            <w:tcMar>
              <w:top w:w="80" w:type="dxa"/>
              <w:start w:w="90" w:type="dxa"/>
              <w:bottom w:w="80" w:type="dxa"/>
              <w:end w:w="90" w:type="dxa"/>
            </w:tcMar>
          </w:tcPr>
          <w:p>
            <w:pPr>
              <w:spacing w:after="20"/>
              <w:jc w:val="left"/>
            </w:pPr>
            <w:r>
              <w:t>Config</w:t>
            </w:r>
          </w:p>
        </w:tc>
        <w:tc>
          <w:tcPr>
            <w:tcW w:type="dxa" w:w="2484"/>
            <w:tcMar>
              <w:top w:w="80" w:type="dxa"/>
              <w:start w:w="90" w:type="dxa"/>
              <w:bottom w:w="80" w:type="dxa"/>
              <w:end w:w="90" w:type="dxa"/>
            </w:tcMar>
          </w:tcPr>
          <w:p>
            <w:pPr>
              <w:spacing w:after="20"/>
              <w:jc w:val="left"/>
            </w:pPr>
            <w:r>
              <w:t>Externalized properties, env binding</w:t>
            </w:r>
          </w:p>
        </w:tc>
        <w:tc>
          <w:tcPr>
            <w:tcW w:type="dxa" w:w="2484"/>
            <w:tcMar>
              <w:top w:w="80" w:type="dxa"/>
              <w:start w:w="90" w:type="dxa"/>
              <w:bottom w:w="80" w:type="dxa"/>
              <w:end w:w="90" w:type="dxa"/>
            </w:tcMar>
          </w:tcPr>
          <w:p>
            <w:pPr>
              <w:spacing w:after="20"/>
              <w:jc w:val="left"/>
            </w:pPr>
            <w:r>
              <w:t>Env vars and mounted config</w:t>
            </w:r>
          </w:p>
        </w:tc>
        <w:tc>
          <w:tcPr>
            <w:tcW w:type="dxa" w:w="2484"/>
            <w:tcMar>
              <w:top w:w="80" w:type="dxa"/>
              <w:start w:w="90" w:type="dxa"/>
              <w:bottom w:w="80" w:type="dxa"/>
              <w:end w:w="90" w:type="dxa"/>
            </w:tcMar>
          </w:tcPr>
          <w:p>
            <w:pPr>
              <w:spacing w:after="20"/>
              <w:jc w:val="left"/>
            </w:pPr>
            <w:r>
              <w:t>ConfigMaps and Secrets</w:t>
            </w:r>
          </w:p>
        </w:tc>
      </w:tr>
      <w:tr>
        <w:tc>
          <w:tcPr>
            <w:tcW w:type="dxa" w:w="2484"/>
            <w:tcMar>
              <w:top w:w="80" w:type="dxa"/>
              <w:start w:w="90" w:type="dxa"/>
              <w:bottom w:w="80" w:type="dxa"/>
              <w:end w:w="90" w:type="dxa"/>
            </w:tcMar>
          </w:tcPr>
          <w:p>
            <w:pPr>
              <w:spacing w:after="20"/>
              <w:jc w:val="left"/>
            </w:pPr>
            <w:r>
              <w:t>Port binding</w:t>
            </w:r>
          </w:p>
        </w:tc>
        <w:tc>
          <w:tcPr>
            <w:tcW w:type="dxa" w:w="2484"/>
            <w:tcMar>
              <w:top w:w="80" w:type="dxa"/>
              <w:start w:w="90" w:type="dxa"/>
              <w:bottom w:w="80" w:type="dxa"/>
              <w:end w:w="90" w:type="dxa"/>
            </w:tcMar>
          </w:tcPr>
          <w:p>
            <w:pPr>
              <w:spacing w:after="20"/>
              <w:jc w:val="left"/>
            </w:pPr>
            <w:r>
              <w:t>Embedded Tomcat/Netty/Jetty</w:t>
            </w:r>
          </w:p>
        </w:tc>
        <w:tc>
          <w:tcPr>
            <w:tcW w:type="dxa" w:w="2484"/>
            <w:tcMar>
              <w:top w:w="80" w:type="dxa"/>
              <w:start w:w="90" w:type="dxa"/>
              <w:bottom w:w="80" w:type="dxa"/>
              <w:end w:w="90" w:type="dxa"/>
            </w:tcMar>
          </w:tcPr>
          <w:p>
            <w:pPr>
              <w:spacing w:after="20"/>
              <w:jc w:val="left"/>
            </w:pPr>
            <w:r>
              <w:t>Container exposes app port</w:t>
            </w:r>
          </w:p>
        </w:tc>
        <w:tc>
          <w:tcPr>
            <w:tcW w:type="dxa" w:w="2484"/>
            <w:tcMar>
              <w:top w:w="80" w:type="dxa"/>
              <w:start w:w="90" w:type="dxa"/>
              <w:bottom w:w="80" w:type="dxa"/>
              <w:end w:w="90" w:type="dxa"/>
            </w:tcMar>
          </w:tcPr>
          <w:p>
            <w:pPr>
              <w:spacing w:after="20"/>
              <w:jc w:val="left"/>
            </w:pPr>
            <w:r>
              <w:t>Service and ingress route traffic</w:t>
            </w:r>
          </w:p>
        </w:tc>
      </w:tr>
      <w:tr>
        <w:tc>
          <w:tcPr>
            <w:tcW w:type="dxa" w:w="2484"/>
            <w:tcMar>
              <w:top w:w="80" w:type="dxa"/>
              <w:start w:w="90" w:type="dxa"/>
              <w:bottom w:w="80" w:type="dxa"/>
              <w:end w:w="90" w:type="dxa"/>
            </w:tcMar>
          </w:tcPr>
          <w:p>
            <w:pPr>
              <w:spacing w:after="20"/>
              <w:jc w:val="left"/>
            </w:pPr>
            <w:r>
              <w:t>Disposability</w:t>
            </w:r>
          </w:p>
        </w:tc>
        <w:tc>
          <w:tcPr>
            <w:tcW w:type="dxa" w:w="2484"/>
            <w:tcMar>
              <w:top w:w="80" w:type="dxa"/>
              <w:start w:w="90" w:type="dxa"/>
              <w:bottom w:w="80" w:type="dxa"/>
              <w:end w:w="90" w:type="dxa"/>
            </w:tcMar>
          </w:tcPr>
          <w:p>
            <w:pPr>
              <w:spacing w:after="20"/>
              <w:jc w:val="left"/>
            </w:pPr>
            <w:r>
              <w:t>Actuator health, graceful shutdown</w:t>
            </w:r>
          </w:p>
        </w:tc>
        <w:tc>
          <w:tcPr>
            <w:tcW w:type="dxa" w:w="2484"/>
            <w:tcMar>
              <w:top w:w="80" w:type="dxa"/>
              <w:start w:w="90" w:type="dxa"/>
              <w:bottom w:w="80" w:type="dxa"/>
              <w:end w:w="90" w:type="dxa"/>
            </w:tcMar>
          </w:tcPr>
          <w:p>
            <w:pPr>
              <w:spacing w:after="20"/>
              <w:jc w:val="left"/>
            </w:pPr>
            <w:r>
              <w:t>Fast replaceable containers</w:t>
            </w:r>
          </w:p>
        </w:tc>
        <w:tc>
          <w:tcPr>
            <w:tcW w:type="dxa" w:w="2484"/>
            <w:tcMar>
              <w:top w:w="80" w:type="dxa"/>
              <w:start w:w="90" w:type="dxa"/>
              <w:bottom w:w="80" w:type="dxa"/>
              <w:end w:w="90" w:type="dxa"/>
            </w:tcMar>
          </w:tcPr>
          <w:p>
            <w:pPr>
              <w:spacing w:after="20"/>
              <w:jc w:val="left"/>
            </w:pPr>
            <w:r>
              <w:t>Readiness/liveness, rolling updates</w:t>
            </w:r>
          </w:p>
        </w:tc>
      </w:tr>
      <w:tr>
        <w:tc>
          <w:tcPr>
            <w:tcW w:type="dxa" w:w="2484"/>
            <w:tcMar>
              <w:top w:w="80" w:type="dxa"/>
              <w:start w:w="90" w:type="dxa"/>
              <w:bottom w:w="80" w:type="dxa"/>
              <w:end w:w="90" w:type="dxa"/>
            </w:tcMar>
          </w:tcPr>
          <w:p>
            <w:pPr>
              <w:spacing w:after="20"/>
              <w:jc w:val="left"/>
            </w:pPr>
            <w:r>
              <w:t>Processes</w:t>
            </w:r>
          </w:p>
        </w:tc>
        <w:tc>
          <w:tcPr>
            <w:tcW w:type="dxa" w:w="2484"/>
            <w:tcMar>
              <w:top w:w="80" w:type="dxa"/>
              <w:start w:w="90" w:type="dxa"/>
              <w:bottom w:w="80" w:type="dxa"/>
              <w:end w:w="90" w:type="dxa"/>
            </w:tcMar>
          </w:tcPr>
          <w:p>
            <w:pPr>
              <w:spacing w:after="20"/>
              <w:jc w:val="left"/>
            </w:pPr>
            <w:r>
              <w:t>Executable JAR process model</w:t>
            </w:r>
          </w:p>
        </w:tc>
        <w:tc>
          <w:tcPr>
            <w:tcW w:type="dxa" w:w="2484"/>
            <w:tcMar>
              <w:top w:w="80" w:type="dxa"/>
              <w:start w:w="90" w:type="dxa"/>
              <w:bottom w:w="80" w:type="dxa"/>
              <w:end w:w="90" w:type="dxa"/>
            </w:tcMar>
          </w:tcPr>
          <w:p>
            <w:pPr>
              <w:spacing w:after="20"/>
              <w:jc w:val="left"/>
            </w:pPr>
            <w:r>
              <w:t>One main process per container</w:t>
            </w:r>
          </w:p>
        </w:tc>
        <w:tc>
          <w:tcPr>
            <w:tcW w:type="dxa" w:w="2484"/>
            <w:tcMar>
              <w:top w:w="80" w:type="dxa"/>
              <w:start w:w="90" w:type="dxa"/>
              <w:bottom w:w="80" w:type="dxa"/>
              <w:end w:w="90" w:type="dxa"/>
            </w:tcMar>
          </w:tcPr>
          <w:p>
            <w:pPr>
              <w:spacing w:after="20"/>
              <w:jc w:val="left"/>
            </w:pPr>
            <w:r>
              <w:t>Pods and Deployments</w:t>
            </w:r>
          </w:p>
        </w:tc>
      </w:tr>
      <w:tr>
        <w:tc>
          <w:tcPr>
            <w:tcW w:type="dxa" w:w="2484"/>
            <w:tcMar>
              <w:top w:w="80" w:type="dxa"/>
              <w:start w:w="90" w:type="dxa"/>
              <w:bottom w:w="80" w:type="dxa"/>
              <w:end w:w="90" w:type="dxa"/>
            </w:tcMar>
          </w:tcPr>
          <w:p>
            <w:pPr>
              <w:spacing w:after="20"/>
              <w:jc w:val="left"/>
            </w:pPr>
            <w:r>
              <w:t>Admin tasks</w:t>
            </w:r>
          </w:p>
        </w:tc>
        <w:tc>
          <w:tcPr>
            <w:tcW w:type="dxa" w:w="2484"/>
            <w:tcMar>
              <w:top w:w="80" w:type="dxa"/>
              <w:start w:w="90" w:type="dxa"/>
              <w:bottom w:w="80" w:type="dxa"/>
              <w:end w:w="90" w:type="dxa"/>
            </w:tcMar>
          </w:tcPr>
          <w:p>
            <w:pPr>
              <w:spacing w:after="20"/>
              <w:jc w:val="left"/>
            </w:pPr>
            <w:r>
              <w:t>CLI modes or dedicated commands</w:t>
            </w:r>
          </w:p>
        </w:tc>
        <w:tc>
          <w:tcPr>
            <w:tcW w:type="dxa" w:w="2484"/>
            <w:tcMar>
              <w:top w:w="80" w:type="dxa"/>
              <w:start w:w="90" w:type="dxa"/>
              <w:bottom w:w="80" w:type="dxa"/>
              <w:end w:w="90" w:type="dxa"/>
            </w:tcMar>
          </w:tcPr>
          <w:p>
            <w:pPr>
              <w:spacing w:after="20"/>
              <w:jc w:val="left"/>
            </w:pPr>
            <w:r>
              <w:t>Same image can run one-off jobs</w:t>
            </w:r>
          </w:p>
        </w:tc>
        <w:tc>
          <w:tcPr>
            <w:tcW w:type="dxa" w:w="2484"/>
            <w:tcMar>
              <w:top w:w="80" w:type="dxa"/>
              <w:start w:w="90" w:type="dxa"/>
              <w:bottom w:w="80" w:type="dxa"/>
              <w:end w:w="90" w:type="dxa"/>
            </w:tcMar>
          </w:tcPr>
          <w:p>
            <w:pPr>
              <w:spacing w:after="20"/>
              <w:jc w:val="left"/>
            </w:pPr>
            <w:r>
              <w:t>Jobs and CronJobs</w:t>
            </w:r>
          </w:p>
        </w:tc>
      </w:tr>
      <w:tr>
        <w:tc>
          <w:tcPr>
            <w:tcW w:type="dxa" w:w="2484"/>
            <w:tcMar>
              <w:top w:w="80" w:type="dxa"/>
              <w:start w:w="90" w:type="dxa"/>
              <w:bottom w:w="80" w:type="dxa"/>
              <w:end w:w="90" w:type="dxa"/>
            </w:tcMar>
          </w:tcPr>
          <w:p>
            <w:pPr>
              <w:spacing w:after="20"/>
              <w:jc w:val="left"/>
            </w:pPr>
            <w:r>
              <w:t>Logs</w:t>
            </w:r>
          </w:p>
        </w:tc>
        <w:tc>
          <w:tcPr>
            <w:tcW w:type="dxa" w:w="2484"/>
            <w:tcMar>
              <w:top w:w="80" w:type="dxa"/>
              <w:start w:w="90" w:type="dxa"/>
              <w:bottom w:w="80" w:type="dxa"/>
              <w:end w:w="90" w:type="dxa"/>
            </w:tcMar>
          </w:tcPr>
          <w:p>
            <w:pPr>
              <w:spacing w:after="20"/>
              <w:jc w:val="left"/>
            </w:pPr>
            <w:r>
              <w:t>stdout/stderr friendly logging</w:t>
            </w:r>
          </w:p>
        </w:tc>
        <w:tc>
          <w:tcPr>
            <w:tcW w:type="dxa" w:w="2484"/>
            <w:tcMar>
              <w:top w:w="80" w:type="dxa"/>
              <w:start w:w="90" w:type="dxa"/>
              <w:bottom w:w="80" w:type="dxa"/>
              <w:end w:w="90" w:type="dxa"/>
            </w:tcMar>
          </w:tcPr>
          <w:p>
            <w:pPr>
              <w:spacing w:after="20"/>
              <w:jc w:val="left"/>
            </w:pPr>
            <w:r>
              <w:t>Container log streams</w:t>
            </w:r>
          </w:p>
        </w:tc>
        <w:tc>
          <w:tcPr>
            <w:tcW w:type="dxa" w:w="2484"/>
            <w:tcMar>
              <w:top w:w="80" w:type="dxa"/>
              <w:start w:w="90" w:type="dxa"/>
              <w:bottom w:w="80" w:type="dxa"/>
              <w:end w:w="90" w:type="dxa"/>
            </w:tcMar>
          </w:tcPr>
          <w:p>
            <w:pPr>
              <w:spacing w:after="20"/>
              <w:jc w:val="left"/>
            </w:pPr>
            <w:r>
              <w:t>Cluster log aggregation</w:t>
            </w:r>
          </w:p>
        </w:tc>
      </w:tr>
    </w:tbl>
    <w:p/>
    <w:p>
      <w:pPr>
        <w:pStyle w:val="SmallNote"/>
      </w:pPr>
      <w:r>
        <w:t>Study tip: try evaluating one real service against all twelve factors. The most revealing questions are usually about config discipline, statefulness, release traceability, startup/shutdown behavior, and whether operations still depend on manual machine knowledge.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12-Factor App Study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C6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C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Display" w:hAnsi="Aptos Display"/>
      <w:b/>
      <w:color w:val="163C60"/>
      <w:sz w:val="48"/>
    </w:rPr>
  </w:style>
  <w:style w:type="paragraph" w:customStyle="1" w:styleId="SubtitleCustom">
    <w:name w:val="SubtitleCustom"/>
    <w:rPr>
      <w:rFonts w:ascii="Aptos" w:hAnsi="Aptos"/>
      <w:color w:val="555F69"/>
      <w:sz w:val="23"/>
    </w:rPr>
  </w:style>
  <w:style w:type="paragraph" w:customStyle="1" w:styleId="CodeBlock">
    <w:name w:val="CodeBlock"/>
    <w:rPr>
      <w:rFonts w:ascii="Consolas" w:hAnsi="Consolas"/>
      <w:sz w:val="16"/>
    </w:rPr>
  </w:style>
  <w:style w:type="paragraph" w:customStyle="1" w:styleId="SmallNote">
    <w:name w:val="SmallNote"/>
    <w:rPr>
      <w:rFonts w:ascii="Aptos" w:hAnsi="Aptos"/>
      <w:i/>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