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2</w:t>
      </w:r>
    </w:p>
    <w:p>
      <w:pPr>
        <w:spacing w:after="100" w:before="0"/>
        <w:jc w:val="center"/>
      </w:pPr>
      <w:r>
        <w:rPr>
          <w:rFonts w:ascii="Arial" w:cs="Arial" w:eastAsia="Arial" w:hAnsi="Arial"/>
          <w:b/>
          <w:bCs/>
          <w:color w:val="1A3C5E"/>
          <w:sz w:val="44"/>
          <w:szCs w:val="44"/>
        </w:rPr>
        <w:t xml:space="preserve">Service Discovery &amp; Communication</w:t>
      </w:r>
    </w:p>
    <w:p>
      <w:pPr>
        <w:pBdr>
          <w:bottom w:val="single" w:color="2E75B6" w:sz="6" w:space="6"/>
        </w:pBdr>
        <w:spacing w:after="80" w:before="0"/>
        <w:jc w:val="center"/>
      </w:pPr>
      <w:r>
        <w:rPr>
          <w:rFonts w:ascii="Arial" w:cs="Arial" w:eastAsia="Arial" w:hAnsi="Arial"/>
          <w:i/>
          <w:iCs/>
          <w:color w:val="444444"/>
          <w:sz w:val="22"/>
          <w:szCs w:val="22"/>
        </w:rPr>
        <w:t xml:space="preserve">DNS Discovery  |  Service Registry  |  Client vs Server Side  |  Service Mesh  |  API Versioning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dynamic address problem — why service IPs change in K8s and cloud</w:t>
      </w:r>
    </w:p>
    <w:p>
      <w:pPr>
        <w:spacing w:after="55" w:before="55"/>
        <w:jc w:val="center"/>
      </w:pPr>
      <w:r>
        <w:rPr>
          <w:rFonts w:ascii="Arial" w:cs="Arial" w:eastAsia="Arial" w:hAnsi="Arial"/>
          <w:color w:val="444444"/>
          <w:sz w:val="21"/>
          <w:szCs w:val="21"/>
        </w:rPr>
        <w:t xml:space="preserve">  DNS-based discovery — Kubernetes Service DNS patterns</w:t>
      </w:r>
    </w:p>
    <w:p>
      <w:pPr>
        <w:spacing w:after="55" w:before="55"/>
        <w:jc w:val="center"/>
      </w:pPr>
      <w:r>
        <w:rPr>
          <w:rFonts w:ascii="Arial" w:cs="Arial" w:eastAsia="Arial" w:hAnsi="Arial"/>
          <w:color w:val="444444"/>
          <w:sz w:val="21"/>
          <w:szCs w:val="21"/>
        </w:rPr>
        <w:t xml:space="preserve">  Service registries — Consul and Eureka self-registration model</w:t>
      </w:r>
    </w:p>
    <w:p>
      <w:pPr>
        <w:spacing w:after="55" w:before="55"/>
        <w:jc w:val="center"/>
      </w:pPr>
      <w:r>
        <w:rPr>
          <w:rFonts w:ascii="Arial" w:cs="Arial" w:eastAsia="Arial" w:hAnsi="Arial"/>
          <w:color w:val="444444"/>
          <w:sz w:val="21"/>
          <w:szCs w:val="21"/>
        </w:rPr>
        <w:t xml:space="preserve">  Client-side vs server-side discovery — where the routing decision happens</w:t>
      </w:r>
    </w:p>
    <w:p>
      <w:pPr>
        <w:spacing w:after="55" w:before="55"/>
        <w:jc w:val="center"/>
      </w:pPr>
      <w:r>
        <w:rPr>
          <w:rFonts w:ascii="Arial" w:cs="Arial" w:eastAsia="Arial" w:hAnsi="Arial"/>
          <w:color w:val="444444"/>
          <w:sz w:val="21"/>
          <w:szCs w:val="21"/>
        </w:rPr>
        <w:t xml:space="preserve">  Service mesh — sidecar-based infrastructure for communication policies</w:t>
      </w:r>
    </w:p>
    <w:p>
      <w:pPr>
        <w:spacing w:after="55" w:before="55"/>
        <w:jc w:val="center"/>
      </w:pPr>
      <w:r>
        <w:rPr>
          <w:rFonts w:ascii="Arial" w:cs="Arial" w:eastAsia="Arial" w:hAnsi="Arial"/>
          <w:color w:val="444444"/>
          <w:sz w:val="21"/>
          <w:szCs w:val="21"/>
        </w:rPr>
        <w:t xml:space="preserve">  API versioning — URL versioning, header versioning, and deprecation strategy</w:t>
      </w:r>
    </w:p>
    <w:p>
      <w:pPr>
        <w:spacing w:after="55" w:before="55"/>
        <w:jc w:val="center"/>
      </w:pPr>
      <w:r>
        <w:rPr>
          <w:rFonts w:ascii="Arial" w:cs="Arial" w:eastAsia="Arial" w:hAnsi="Arial"/>
          <w:color w:val="444444"/>
          <w:sz w:val="21"/>
          <w:szCs w:val="21"/>
        </w:rPr>
        <w:t xml:space="preserve">  Design decision — K8s DNS vs service mesh vs service registry</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Dynamic Address Problem</w:t>
      </w:r>
    </w:p>
    <w:p>
      <w:pPr>
        <w:pStyle w:val="Heading2"/>
        <w:spacing w:after="140" w:before="320"/>
      </w:pPr>
      <w:r>
        <w:rPr>
          <w:rFonts w:ascii="Arial" w:cs="Arial" w:eastAsia="Arial" w:hAnsi="Arial"/>
          <w:b/>
          <w:bCs/>
          <w:color w:val="2E75B6"/>
          <w:sz w:val="28"/>
          <w:szCs w:val="28"/>
        </w:rPr>
        <w:t xml:space="preserve">1.1  Why Service IPs Cannot Be Hardcoded</w:t>
      </w:r>
    </w:p>
    <w:p>
      <w:pPr>
        <w:spacing w:after="80" w:before="80"/>
      </w:pPr>
      <w:r>
        <w:rPr>
          <w:rFonts w:ascii="Arial" w:cs="Arial" w:eastAsia="Arial" w:hAnsi="Arial"/>
          <w:color w:val="1A1A1A"/>
          <w:sz w:val="22"/>
          <w:szCs w:val="22"/>
        </w:rPr>
        <w:t xml:space="preserve">In traditional deployments, a service ran on a fixed server with a fixed IP. You could hardcode that IP in your configuration. In Kubernetes, cloud, and containerised environments, service instances are </w:t>
      </w:r>
      <w:r>
        <w:rPr>
          <w:rFonts w:ascii="Arial" w:cs="Arial" w:eastAsia="Arial" w:hAnsi="Arial"/>
          <w:b/>
          <w:bCs/>
          <w:color w:val="1A1A1A"/>
          <w:sz w:val="22"/>
          <w:szCs w:val="22"/>
        </w:rPr>
        <w:t xml:space="preserve">ephemeral</w:t>
      </w:r>
      <w:r>
        <w:rPr>
          <w:rFonts w:ascii="Arial" w:cs="Arial" w:eastAsia="Arial" w:hAnsi="Arial"/>
          <w:color w:val="1A1A1A"/>
          <w:sz w:val="22"/>
          <w:szCs w:val="22"/>
        </w:rPr>
        <w:t xml:space="preserve"> — they start, stop, and restart on different nodes with different IPs. Any system that hardcodes an IP address breaks immediately when the service restarts. Service discovery solves this: provide a stable address that resolves to the current, healthy instances: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Addresses Change in Dynamic Environments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Kubernetes pod lifecycle: </w:t>
            </w:r>
            <w:r>
              <w:rPr>
                <w:rFonts w:ascii="Arial" w:cs="Arial" w:eastAsia="Arial" w:hAnsi="Arial"/>
                <w:color w:val="1A1A1A"/>
                <w:sz w:val="22"/>
                <w:szCs w:val="22"/>
              </w:rPr>
              <w:t xml:space="preserve">When a pod restarts (for a rolling update, a crash, node failure), it gets a new IP address. The old IP is released and may be reassigned to a different pod. Any client with a hardcoded IP now points at the wrong service.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Auto-scaling: </w:t>
            </w:r>
            <w:r>
              <w:rPr>
                <w:rFonts w:ascii="Arial" w:cs="Arial" w:eastAsia="Arial" w:hAnsi="Arial"/>
                <w:color w:val="1A1A1A"/>
                <w:sz w:val="22"/>
                <w:szCs w:val="22"/>
              </w:rPr>
              <w:t xml:space="preserve">Horizontal Pod Autoscaler adds new pods when load increases. These pods have new IPs that clients must learn about. When load decreases, pods are removed. Clients must stop routing to removed IPs.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Rolling deployments: </w:t>
            </w:r>
            <w:r>
              <w:rPr>
                <w:rFonts w:ascii="Arial" w:cs="Arial" w:eastAsia="Arial" w:hAnsi="Arial"/>
                <w:color w:val="1A1A1A"/>
                <w:sz w:val="22"/>
                <w:szCs w:val="22"/>
              </w:rPr>
              <w:t xml:space="preserve">During a deployment, old pods are replaced with new pods. The set of IPs serving the service changes continuously. Clients need to track which IPs are currently active.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Cross-region/cross-cloud: </w:t>
            </w:r>
            <w:r>
              <w:rPr>
                <w:rFonts w:ascii="Arial" w:cs="Arial" w:eastAsia="Arial" w:hAnsi="Arial"/>
                <w:color w:val="1A1A1A"/>
                <w:sz w:val="22"/>
                <w:szCs w:val="22"/>
              </w:rPr>
              <w:t xml:space="preserve">Services deployed across cloud regions or providers cannot have fixed IPs. DNS-based discovery with health checks provides a layer of abstraction.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DNS-Based Service Discovery</w:t>
      </w:r>
    </w:p>
    <w:p>
      <w:pPr>
        <w:pStyle w:val="Heading2"/>
        <w:spacing w:after="140" w:before="320"/>
      </w:pPr>
      <w:r>
        <w:rPr>
          <w:rFonts w:ascii="Arial" w:cs="Arial" w:eastAsia="Arial" w:hAnsi="Arial"/>
          <w:b/>
          <w:bCs/>
          <w:color w:val="2E75B6"/>
          <w:sz w:val="28"/>
          <w:szCs w:val="28"/>
        </w:rPr>
        <w:t xml:space="preserve">2.1  Kubernetes Service DNS</w:t>
      </w:r>
    </w:p>
    <w:p>
      <w:pPr>
        <w:spacing w:after="80" w:before="80"/>
      </w:pPr>
      <w:r>
        <w:rPr>
          <w:rFonts w:ascii="Arial" w:cs="Arial" w:eastAsia="Arial" w:hAnsi="Arial"/>
          <w:b/>
          <w:bCs/>
          <w:color w:val="1A1A1A"/>
          <w:sz w:val="22"/>
          <w:szCs w:val="22"/>
        </w:rPr>
        <w:t xml:space="preserve">Kubernetes provides built-in DNS-based service discovery</w:t>
      </w:r>
      <w:r>
        <w:rPr>
          <w:rFonts w:ascii="Arial" w:cs="Arial" w:eastAsia="Arial" w:hAnsi="Arial"/>
          <w:color w:val="1A1A1A"/>
          <w:sz w:val="22"/>
          <w:szCs w:val="22"/>
        </w:rPr>
        <w:t xml:space="preserve"> through the cluster DNS resolver (CoreDNS). Every Kubernetes Service automatically gets a DNS name. Services are addressable via a predictable fully qualified domain name (FQDN) that does not change even as pods come and go: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Kubernetes Service DNS: addressing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FQDN: service-name.namespace.svc.cluster.local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order-service.production.svc.cluster.local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payment-api.production.svc.cluster.local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user-service.staging.svc.cluster.local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WITHIN THE SAME NAMESPACE: can use just the service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 resolves to order-service.production.svc.cluster.local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search domains: .production.svc.cluster.local, .svc.cluster.local,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resolves order-service (DNS query to CoreDNS)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CoreDNS returns the ClusterIP of the order-service Service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Client connects to ClusterIP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kube-proxy (or eBPF) intercepts ClusterIP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Selects one of the Ready pod IPs (round-robin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Forwards to that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PROPERTY: ClusterIP is stable — does not change when pods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IPs change → ClusterIP stays constant → clients always use ClusterIP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HEADLESS SERVICES (for StatefulSets):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clusterIP: None  ← headless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resolves to individual pod IPs, not a virtual ClusterIP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kafka-0.kafka.production.svc.cluster.local → pod IP of kafka-0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kafka-1.kafka.production.svc.cluster.local → pod IP of kafka-1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Allows clients to connect directly to specific StatefulSet pods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Service Registry</w:t>
      </w:r>
    </w:p>
    <w:p>
      <w:pPr>
        <w:pStyle w:val="Heading2"/>
        <w:spacing w:after="140" w:before="320"/>
      </w:pPr>
      <w:r>
        <w:rPr>
          <w:rFonts w:ascii="Arial" w:cs="Arial" w:eastAsia="Arial" w:hAnsi="Arial"/>
          <w:b/>
          <w:bCs/>
          <w:color w:val="2E75B6"/>
          <w:sz w:val="28"/>
          <w:szCs w:val="28"/>
        </w:rPr>
        <w:t xml:space="preserve">3.1  The Self-Registration Pattern</w:t>
      </w:r>
    </w:p>
    <w:p>
      <w:pPr>
        <w:spacing w:after="80" w:before="80"/>
      </w:pPr>
      <w:r>
        <w:rPr>
          <w:rFonts w:ascii="Arial" w:cs="Arial" w:eastAsia="Arial" w:hAnsi="Arial"/>
          <w:b/>
          <w:bCs/>
          <w:color w:val="1A1A1A"/>
          <w:sz w:val="22"/>
          <w:szCs w:val="22"/>
        </w:rPr>
        <w:t xml:space="preserve">Service registries</w:t>
      </w:r>
      <w:r>
        <w:rPr>
          <w:rFonts w:ascii="Arial" w:cs="Arial" w:eastAsia="Arial" w:hAnsi="Arial"/>
          <w:color w:val="1A1A1A"/>
          <w:sz w:val="22"/>
          <w:szCs w:val="22"/>
        </w:rPr>
        <w:t xml:space="preserve"> like Consul and Eureka provide service discovery outside of Kubernetes — for polyglot environments, multi-cloud deployments, or hybrid cloud/on-premises architectures. The core pattern: </w:t>
      </w:r>
      <w:r>
        <w:rPr>
          <w:rFonts w:ascii="Arial" w:cs="Arial" w:eastAsia="Arial" w:hAnsi="Arial"/>
          <w:b/>
          <w:bCs/>
          <w:color w:val="1A1A1A"/>
          <w:sz w:val="22"/>
          <w:szCs w:val="22"/>
        </w:rPr>
        <w:t xml:space="preserve">each service registers itself with the registry on startup and deregisters on shutdown</w:t>
      </w:r>
      <w:r>
        <w:rPr>
          <w:rFonts w:ascii="Arial" w:cs="Arial" w:eastAsia="Arial" w:hAnsi="Arial"/>
          <w:color w:val="1A1A1A"/>
          <w:sz w:val="22"/>
          <w:szCs w:val="22"/>
        </w:rPr>
        <w:t xml:space="preserve">. Clients query the registry to discover available instances: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Service Registry Components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Registry: </w:t>
            </w:r>
            <w:r>
              <w:rPr>
                <w:rFonts w:ascii="Arial" w:cs="Arial" w:eastAsia="Arial" w:hAnsi="Arial"/>
                <w:color w:val="1A1A1A"/>
                <w:sz w:val="22"/>
                <w:szCs w:val="22"/>
              </w:rPr>
              <w:t xml:space="preserve">A distributed key-value store that maintains the current state of all registered services: their health status, IP addresses, ports, and metadata. The registry is highly available — typically 3-5 nodes with Raft consensus (Consul) or 2-3 nodes with Eureka's eventual consistency model.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Self-registration: </w:t>
            </w:r>
            <w:r>
              <w:rPr>
                <w:rFonts w:ascii="Arial" w:cs="Arial" w:eastAsia="Arial" w:hAnsi="Arial"/>
                <w:color w:val="1A1A1A"/>
                <w:sz w:val="22"/>
                <w:szCs w:val="22"/>
              </w:rPr>
              <w:t xml:space="preserve">Each service instance calls the registry API on startup to announce its address and health check endpoint. On shutdown (graceful or crash), it deregisters. The registry periodically health-checks registered instances and removes unhealthy ones from the routing pool.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checks: </w:t>
            </w:r>
            <w:r>
              <w:rPr>
                <w:rFonts w:ascii="Arial" w:cs="Arial" w:eastAsia="Arial" w:hAnsi="Arial"/>
                <w:color w:val="1A1A1A"/>
                <w:sz w:val="22"/>
                <w:szCs w:val="22"/>
              </w:rPr>
              <w:t xml:space="preserve">The registry calls each service's health endpoint (HTTP GET or TCP check) on a configured interval. If a check fails N times, the instance is marked unhealthy and removed from the registry's returned instance list until it recovers.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 lookup: </w:t>
            </w:r>
            <w:r>
              <w:rPr>
                <w:rFonts w:ascii="Arial" w:cs="Arial" w:eastAsia="Arial" w:hAnsi="Arial"/>
                <w:color w:val="1A1A1A"/>
                <w:sz w:val="22"/>
                <w:szCs w:val="22"/>
              </w:rPr>
              <w:t xml:space="preserve">Clients query the registry to get the list of healthy instances for a service. With client-side discovery, the client picks an instance and connects directly. With server-side discovery, a load balancer queries the registry and routes the request.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Consul service registration: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REGISTRATION (at 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http://consul:8500/v1/agent/service/register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"order-service-instance-3",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 "10.0.1.42",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["v2",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"http://10.0.1.42:8080/health/ready",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"3s"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http://consul:8500/v1/health/service/order-service?passing=true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 'Address': '10.0.1.42', 'Port': 8080 }, 'Checks':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 'Address': '10.0.1.55', 'Port': 8080 }, 'Checks':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receives all HEALTHY instances and picks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DEREGISTRATION (on graceful shutdown):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http://consul:8500/v1/agent/service/deregister/order-service-instance-3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 DNS INTERFACE (alternative to HTTP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order-service.service.consul → resolves to healthy instance IPs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Applications can use DNS without code changes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Client-Side vs Server-Side Discovery</w:t>
      </w:r>
    </w:p>
    <w:p>
      <w:pPr>
        <w:pStyle w:val="Heading2"/>
        <w:spacing w:after="140" w:before="320"/>
      </w:pPr>
      <w:r>
        <w:rPr>
          <w:rFonts w:ascii="Arial" w:cs="Arial" w:eastAsia="Arial" w:hAnsi="Arial"/>
          <w:b/>
          <w:bCs/>
          <w:color w:val="2E75B6"/>
          <w:sz w:val="28"/>
          <w:szCs w:val="28"/>
        </w:rPr>
        <w:t xml:space="preserve">4.1  Where the Routing Decision Happens</w:t>
      </w:r>
    </w:p>
    <w:p>
      <w:pPr>
        <w:spacing w:after="80" w:before="80"/>
      </w:pPr>
      <w:r>
        <w:rPr>
          <w:rFonts w:ascii="Arial" w:cs="Arial" w:eastAsia="Arial" w:hAnsi="Arial"/>
          <w:b/>
          <w:bCs/>
          <w:color w:val="1A1A1A"/>
          <w:sz w:val="22"/>
          <w:szCs w:val="22"/>
        </w:rPr>
        <w:t xml:space="preserve">The key architectural choice</w:t>
      </w:r>
      <w:r>
        <w:rPr>
          <w:rFonts w:ascii="Arial" w:cs="Arial" w:eastAsia="Arial" w:hAnsi="Arial"/>
          <w:color w:val="1A1A1A"/>
          <w:sz w:val="22"/>
          <w:szCs w:val="22"/>
        </w:rPr>
        <w:t xml:space="preserve"> in service discovery is </w:t>
      </w:r>
      <w:r>
        <w:rPr>
          <w:rFonts w:ascii="Arial" w:cs="Arial" w:eastAsia="Arial" w:hAnsi="Arial"/>
          <w:b/>
          <w:bCs/>
          <w:color w:val="1A1A1A"/>
          <w:sz w:val="22"/>
          <w:szCs w:val="22"/>
        </w:rPr>
        <w:t xml:space="preserve">where the routing decision is made</w:t>
      </w:r>
      <w:r>
        <w:rPr>
          <w:rFonts w:ascii="Arial" w:cs="Arial" w:eastAsia="Arial" w:hAnsi="Arial"/>
          <w:color w:val="1A1A1A"/>
          <w:sz w:val="22"/>
          <w:szCs w:val="22"/>
        </w:rPr>
        <w:t xml:space="preserve">: in the client (which knows about all instances and picks one) or in a load balancer (which the client doesn't see — it just calls a single address and the LB decides where the request goes):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Client-side discovery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Server-side discovery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decision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queries registry, picks instance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 queries registry, routes for client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awareness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knows about multiple instances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sees single stable address; unaware of instances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intelligence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can implement sophisticated algorithms: least connections, consistent hashing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implements routing; all clients benefit from central update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Network hops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 selected instance (direct)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 LB → instance (extra hop, typically &lt;1ms overhead)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Language/framework coupling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library required (Spring Cloud, gRPC resolver)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HTTP client works; no special library needed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Examples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Spring Cloud with Eureka, gRPC with Consul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Service + kube-proxy, AWS ALB + target groups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Client-side discovery (gRPC with Consul resolver)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CODE (gRPC with custom Consul resolver):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 = grpc.insecure_channel(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'consul:///order-service',   ← custom Consul resolver scheme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options=[('grpc.lb_policy_name', 'round_robin')]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stub = OrderServiceStub(channel)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gRPC Consul resolver queries: GET consul:8500/v1/health/service/order-service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Receives: [10.0.1.42:8080, 10.0.1.55:8080, 10.0.1.67:8080]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gRPC subchannel pool creates connections to all 3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Round-robin: calls distributed across 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Health check polling: resolver re-queries every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Instance removed → gRPC closes that subchannel, stops routing to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SERVER-SIDE DISCOVERY (Kubernetes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POST http://order-service/orders  ← just the service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DNS resolves 'order-service' → ClusterIP 10.96.0.42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kube-proxy (iptables/eBPF): ClusterIP → picks healthy pod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never knows about individual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CLIENT-SIDE ADVANTAGES: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Direct pod-to-pod connection (bypass kube-proxy)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controls load balancing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implement sticky sessions, content-based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SERVER-SIDE ADVANTAGES: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client library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Works with any HTTP client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Central control of routing policies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Service Mesh</w:t>
      </w:r>
    </w:p>
    <w:p>
      <w:pPr>
        <w:pStyle w:val="Heading2"/>
        <w:spacing w:after="140" w:before="320"/>
      </w:pPr>
      <w:r>
        <w:rPr>
          <w:rFonts w:ascii="Arial" w:cs="Arial" w:eastAsia="Arial" w:hAnsi="Arial"/>
          <w:b/>
          <w:bCs/>
          <w:color w:val="2E75B6"/>
          <w:sz w:val="28"/>
          <w:szCs w:val="28"/>
        </w:rPr>
        <w:t xml:space="preserve">5.1  What a Service Mesh Provides</w:t>
      </w:r>
    </w:p>
    <w:p>
      <w:pPr>
        <w:spacing w:after="80" w:before="80"/>
      </w:pPr>
      <w:r>
        <w:rPr>
          <w:rFonts w:ascii="Arial" w:cs="Arial" w:eastAsia="Arial" w:hAnsi="Arial"/>
          <w:b/>
          <w:bCs/>
          <w:color w:val="1A1A1A"/>
          <w:sz w:val="22"/>
          <w:szCs w:val="22"/>
        </w:rPr>
        <w:t xml:space="preserve">A service mesh</w:t>
      </w:r>
      <w:r>
        <w:rPr>
          <w:rFonts w:ascii="Arial" w:cs="Arial" w:eastAsia="Arial" w:hAnsi="Arial"/>
          <w:color w:val="1A1A1A"/>
          <w:sz w:val="22"/>
          <w:szCs w:val="22"/>
        </w:rPr>
        <w:t xml:space="preserve"> is an infrastructure layer that handles </w:t>
      </w:r>
      <w:r>
        <w:rPr>
          <w:rFonts w:ascii="Arial" w:cs="Arial" w:eastAsia="Arial" w:hAnsi="Arial"/>
          <w:b/>
          <w:bCs/>
          <w:color w:val="1A1A1A"/>
          <w:sz w:val="22"/>
          <w:szCs w:val="22"/>
        </w:rPr>
        <w:t xml:space="preserve">service-to-service communication concerns</w:t>
      </w:r>
      <w:r>
        <w:rPr>
          <w:rFonts w:ascii="Arial" w:cs="Arial" w:eastAsia="Arial" w:hAnsi="Arial"/>
          <w:color w:val="1A1A1A"/>
          <w:sz w:val="22"/>
          <w:szCs w:val="22"/>
        </w:rPr>
        <w:t xml:space="preserve"> — load balancing, service discovery, circuit breaking, retries, timeouts, mTLS authentication, and observability — </w:t>
      </w:r>
      <w:r>
        <w:rPr>
          <w:rFonts w:ascii="Arial" w:cs="Arial" w:eastAsia="Arial" w:hAnsi="Arial"/>
          <w:b/>
          <w:bCs/>
          <w:color w:val="1A1A1A"/>
          <w:sz w:val="22"/>
          <w:szCs w:val="22"/>
        </w:rPr>
        <w:t xml:space="preserve">without changes to application code</w:t>
      </w:r>
      <w:r>
        <w:rPr>
          <w:rFonts w:ascii="Arial" w:cs="Arial" w:eastAsia="Arial" w:hAnsi="Arial"/>
          <w:color w:val="1A1A1A"/>
          <w:sz w:val="22"/>
          <w:szCs w:val="22"/>
        </w:rPr>
        <w:t xml:space="preserve">. It does this by injecting a sidecar proxy (Envoy in Istio and Linkerd) into every pod. All traffic to and from the pod passes through the sidecar, which enforces the configured policies: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Service Mesh Architecture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plane (sidecar proxies): </w:t>
            </w:r>
            <w:r>
              <w:rPr>
                <w:rFonts w:ascii="Arial" w:cs="Arial" w:eastAsia="Arial" w:hAnsi="Arial"/>
                <w:color w:val="1A1A1A"/>
                <w:sz w:val="22"/>
                <w:szCs w:val="22"/>
              </w:rPr>
              <w:t xml:space="preserve">Every pod gets an Envoy (Istio) or Linkerd2-proxy (Linkerd) sidecar injected automatically via a mutating admission webhook. All inbound and outbound traffic passes through this proxy. The proxy implements: circuit breaking, retries with exponential backoff, timeouts, mTLS, request routing, observability (Prometheus metrics, distributed traces, access logs).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Control plane: </w:t>
            </w:r>
            <w:r>
              <w:rPr>
                <w:rFonts w:ascii="Arial" w:cs="Arial" w:eastAsia="Arial" w:hAnsi="Arial"/>
                <w:color w:val="1A1A1A"/>
                <w:sz w:val="22"/>
                <w:szCs w:val="22"/>
              </w:rPr>
              <w:t xml:space="preserve">Istiod (Istio) or the Linkerd control plane distributes configuration to all sidecar proxies. Traffic policies, mTLS certificates, retry rules, and circuit breaker thresholds are configured centrally and pushed to proxies without restarting pods.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mTLS (mutual TLS): </w:t>
            </w:r>
            <w:r>
              <w:rPr>
                <w:rFonts w:ascii="Arial" w:cs="Arial" w:eastAsia="Arial" w:hAnsi="Arial"/>
                <w:color w:val="1A1A1A"/>
                <w:sz w:val="22"/>
                <w:szCs w:val="22"/>
              </w:rPr>
              <w:t xml:space="preserve">Every service-to-service connection is authenticated. The sidecar automatically encrypts traffic and validates that the destination service has a valid certificate issued by the mesh CA. Eliminates the need for applications to implement TLS — the sidecar handles it transparently.</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Observability without code: </w:t>
            </w:r>
            <w:r>
              <w:rPr>
                <w:rFonts w:ascii="Arial" w:cs="Arial" w:eastAsia="Arial" w:hAnsi="Arial"/>
                <w:color w:val="1A1A1A"/>
                <w:sz w:val="22"/>
                <w:szCs w:val="22"/>
              </w:rPr>
              <w:t xml:space="preserve">The sidecar reports request metrics (latency, error rate, throughput) for every service-to-service call — without the application emitting any instrumentation. Services get automatic distributed tracing, service dependency maps, and RED metrics (Rate, Errors, Duration) for free.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Service mesh trade-offs: when the complexity is worth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MESH PROS: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mTLS encryption between all services: zero code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Automatic retries and circuit breaking: configured in YAML, not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Traffic splitting for canary deploys: route 10% of traffic to new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Observability: automatic service-level metrics, traces for all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 policies across any language/framework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MESH CONS: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Operational complexity: Istio control plane is itself complex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overhead: extra network hop through sidecar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0.5-2ms added to each request (per hop)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 call chain: A → B → C → D = 3 hops × 2ms = 6ms added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Debugging difficulty: traffic doesn't go directly A→B anymore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tracing must account for sidecar proxies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Resource overhead: each sidecar consumes ~50-100MB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pods × 100MB = 10GB just for sidecars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 management: mesh CA must be highly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SERVICE MESH IS WORTH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&gt;20 microservices with complex communication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Strict security requirements (zero-trust internal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Multi-team: consistent policy enforcement without per-team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Need canary releases, traffic splitting without app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IT IS NOT WORTH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 number of services (&lt;10): K8s DNS + application-level resilience is simpler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communication patterns: HTTP with retry logic in the client is fine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API Versioning</w:t>
      </w:r>
    </w:p>
    <w:p>
      <w:pPr>
        <w:pStyle w:val="Heading2"/>
        <w:spacing w:after="140" w:before="320"/>
      </w:pPr>
      <w:r>
        <w:rPr>
          <w:rFonts w:ascii="Arial" w:cs="Arial" w:eastAsia="Arial" w:hAnsi="Arial"/>
          <w:b/>
          <w:bCs/>
          <w:color w:val="2E75B6"/>
          <w:sz w:val="28"/>
          <w:szCs w:val="28"/>
        </w:rPr>
        <w:t xml:space="preserve">6.1  Why API Versioning Is a Service Communication Problem</w:t>
      </w:r>
    </w:p>
    <w:p>
      <w:pPr>
        <w:spacing w:after="80" w:before="80"/>
      </w:pPr>
      <w:r>
        <w:rPr>
          <w:rFonts w:ascii="Arial" w:cs="Arial" w:eastAsia="Arial" w:hAnsi="Arial"/>
          <w:b/>
          <w:bCs/>
          <w:color w:val="1A1A1A"/>
          <w:sz w:val="22"/>
          <w:szCs w:val="22"/>
        </w:rPr>
        <w:t xml:space="preserve">API versioning</w:t>
      </w:r>
      <w:r>
        <w:rPr>
          <w:rFonts w:ascii="Arial" w:cs="Arial" w:eastAsia="Arial" w:hAnsi="Arial"/>
          <w:color w:val="1A1A1A"/>
          <w:sz w:val="22"/>
          <w:szCs w:val="22"/>
        </w:rPr>
        <w:t xml:space="preserve"> is directly related to service discovery and communication: when a service evolves, its API changes. Multiple consumers may be pinned to different versions — some have upgraded, some have not. The deployment must support both versions simultaneously during the transition. How you version determines how you route requests and how you manage the transition:</w:t>
      </w:r>
    </w:p>
    <w:p>
      <w:pPr>
        <w:spacing w:after="0" w:before="110"/>
      </w:pPr>
      <w:r>
        <w:rPr>
          <w:rFonts w:ascii="Arial" w:cs="Arial" w:eastAsia="Arial" w:hAnsi="Arial"/>
          <w:color w:val="1A1A1A"/>
          <w:sz w:val="22"/>
          <w:szCs w:val="22"/>
        </w:rPr>
        <w:t xml:space="preserve"/>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versioning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/v1/users, /v2/users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Explicit, visible, easy to test and cache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Duplicates routes; clients must update URL</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APIs; clear version boundaries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Header versioning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 application/vnd.api.v2+json or custom API-Version header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Clean URLs; version transparent to URL routing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Less obvious; caching headers complicate CDN; requires client header support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APIs; when URL cleanliness matters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param versioning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GET /users?version=2</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Easy to test in browser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Mixes semantic params with routing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compatibility; simple APIs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versioning (additive only)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add fields; never remove; never rename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version management overhead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strict discipline; accumulates legacy fields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services with close coordination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 versioning: URL versioning with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VERSIONING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/v1/users/42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 id: 42, name: 'Alice', email: 'alice@example.com'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/v2/users/42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 id: 42, firstName: 'Alice', lastName: 'Smith',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contact: { email: 'alice@example.com', phone: '+1...'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(API Gateway / 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 user-service:v1 (old Deployment,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 user-service:v2 (new Deployment,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running simultaneously during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DEPRECATION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(3 months): v2 released; v1 still fully supported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Deprecation: true header to v1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Sunset: Sat, 01 Jun 2025 00:00:00 GMT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(month 4): v1 returns 301 Redirect to v2 with migration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3 (month 6): v1 removed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ADDITIVE-ONLY CHANGES (backward compatible, no versioning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new optional field                   ✓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new endpoint                         ✓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validation to be less strict       ✓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BREAKING CHANGES (require new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a field                            ✗ breaking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Rename a field                            ✗ breaking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field type (string → integer)      ✗ breaking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validation to be more strict       ✗ breaking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authentication requirement         ✗ breaking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Design Decision: Choosing a Discovery Strategy</w:t>
      </w:r>
    </w:p>
    <w:p>
      <w:pPr>
        <w:pStyle w:val="Heading2"/>
        <w:spacing w:after="140" w:before="320"/>
      </w:pPr>
      <w:r>
        <w:rPr>
          <w:rFonts w:ascii="Arial" w:cs="Arial" w:eastAsia="Arial" w:hAnsi="Arial"/>
          <w:b/>
          <w:bCs/>
          <w:color w:val="2E75B6"/>
          <w:sz w:val="28"/>
          <w:szCs w:val="28"/>
        </w:rPr>
        <w:t xml:space="preserve">7.1  The Decision Framework</w:t>
      </w:r>
    </w:p>
    <w:p>
      <w:pPr>
        <w:spacing w:after="80" w:before="80"/>
      </w:pPr>
      <w:r>
        <w:rPr>
          <w:rFonts w:ascii="Arial" w:cs="Arial" w:eastAsia="Arial" w:hAnsi="Arial"/>
          <w:b/>
          <w:bCs/>
          <w:color w:val="1A1A1A"/>
          <w:sz w:val="22"/>
          <w:szCs w:val="22"/>
        </w:rPr>
        <w:t xml:space="preserve">The right service discovery strategy</w:t>
      </w:r>
      <w:r>
        <w:rPr>
          <w:rFonts w:ascii="Arial" w:cs="Arial" w:eastAsia="Arial" w:hAnsi="Arial"/>
          <w:color w:val="1A1A1A"/>
          <w:sz w:val="22"/>
          <w:szCs w:val="22"/>
        </w:rPr>
        <w:t xml:space="preserve"> depends on the complexity of the service landscape, the operational maturity of the team, and the communication requirements. The principle of choosing the simplest approach that meets the requirements applies here: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Service discovery selection: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Is this a pure Kubernetes environment?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Use Kubernetes Service DNS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service-name.namespace.svc.cluster.local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additional infrastructure to operate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Works for 99% of Kubernetes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Do you have VMs or non-K8s services that need discovery?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Add Consul for cross-environment service 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 agents on VMs; K8s services registered via consul-k8s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K8s pods and VMs can discover each other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Do you need communication policies (mTLS, retries, circuit breaking)?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2-5 SERVICES: implement in application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retry logic in client library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Circuit breaker: Resilience4j (Java), tenacity (Python)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TLS: configure application-level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10+ SERVICES: consider service mesh (Istio or Linkerd)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mTLS: automatic for all service-to-service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Circuit breaking + retries: configured in VirtualService YAML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Canary releases: traffic splitting without code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operational complexity, resource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API versioning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 API (public): URL versioning (/v1/,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API (same org): additive-only if discipline allows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versioning if teams are independent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protobuf field numbers; never remove/rename → additive-only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only, simple:      K8s Service 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(K8s + VMs):    Consul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 microservices: Istio / Linkerd service mesh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external API:   URL versioning + API Gateway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Service Discovery Quick Reference</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limitation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K8s Service DNS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ClusterIP + CoreDNS; kube-proxy load balances to pods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Pure K8s environments; simplest ops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works inside the K8s cluster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Consul service registry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Services self-register; clients query HTTP or DNS API</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Hybrid K8s + VM; multi-cloud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Consul cluster to operate and maintain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Eureka service registry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Spring-based; services register on startup; client-side LB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Spring Boot microservices; Java-centric</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consistency; no non-JVM client support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mesh (Istio/Linkerd)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Sidecar proxy intercepts all traffic; policies via control plane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microservices; zero-trust security; observability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ops complexity; latency overhead; debug difficulty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LB (AWS ALB + ECS)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provider routes to registered targets; health-checked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no ops overhead; cloud-native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Vendor lock-in; less control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Service Discovery &amp; Communication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IPs are ephemeral in K8s — never hardcode: </w:t>
            </w:r>
            <w:r>
              <w:rPr>
                <w:rFonts w:ascii="Arial" w:cs="Arial" w:eastAsia="Arial" w:hAnsi="Arial"/>
                <w:color w:val="1A1A1A"/>
                <w:sz w:val="22"/>
                <w:szCs w:val="22"/>
              </w:rPr>
              <w:t xml:space="preserve">Pods restart with new IPs. Use Service DNS (service-name.namespace.svc.cluster.local) or just service-name within the same namespace.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K8s Service DNS is zero-config service discovery: </w:t>
            </w:r>
            <w:r>
              <w:rPr>
                <w:rFonts w:ascii="Arial" w:cs="Arial" w:eastAsia="Arial" w:hAnsi="Arial"/>
                <w:color w:val="1A1A1A"/>
                <w:sz w:val="22"/>
                <w:szCs w:val="22"/>
              </w:rPr>
              <w:t xml:space="preserve">ClusterIP stays stable; kube-proxy load balances to healthy pods. Works for all HTTP/gRPC services in K8s. No service registry to operate.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Client-side discovery: client picks instance. Server-side: LB picks: </w:t>
            </w:r>
            <w:r>
              <w:rPr>
                <w:rFonts w:ascii="Arial" w:cs="Arial" w:eastAsia="Arial" w:hAnsi="Arial"/>
                <w:color w:val="1A1A1A"/>
                <w:sz w:val="22"/>
                <w:szCs w:val="22"/>
              </w:rPr>
              <w:t xml:space="preserve">K8s Service is server-side. gRPC with Consul resolver is client-side. Server-side is simpler for clients; client-side enables smarter load balancing.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mesh: zero-code policies at significant operational cost: </w:t>
            </w:r>
            <w:r>
              <w:rPr>
                <w:rFonts w:ascii="Arial" w:cs="Arial" w:eastAsia="Arial" w:hAnsi="Arial"/>
                <w:color w:val="1A1A1A"/>
                <w:sz w:val="22"/>
                <w:szCs w:val="22"/>
              </w:rPr>
              <w:t xml:space="preserve">Istio/Linkerd gives mTLS, retries, circuit breaking, canary releases, and observability for free — but adds 0.5-2ms latency per hop and 50-100MB RAM per pod. Use for 10+ services or strict security requirements.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URL versioning for public APIs; additive-only for internal: </w:t>
            </w:r>
            <w:r>
              <w:rPr>
                <w:rFonts w:ascii="Arial" w:cs="Arial" w:eastAsia="Arial" w:hAnsi="Arial"/>
                <w:color w:val="1A1A1A"/>
                <w:sz w:val="22"/>
                <w:szCs w:val="22"/>
              </w:rPr>
              <w:t xml:space="preserve">/v1/ and /v2/ routes routed to different Deployments. Additive changes are safe (new fields, new endpoints). Breaking changes (remove/rename fields) always need a new version. Set Deprecation + Sunset headers during migration.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client-side and server-side service discovery?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discovery solves the problem of finding the current, healthy instances of a service in a dynamic environment where pod IPs change constantly. The fundamental architectural difference between client-side and server-side discovery is where the routing decision is made. In client-side discovery, the client itself is responsible for finding instances. The client queries a service registry (like Consul or Eureka) to get the list of currently healthy instances. The client then applies a load balancing algorithm (round-robin, least connections, consistent hash) to select one instance and connects directly to it. The client maintains awareness of the current instance pool and must update it periodically or in response to health change notifications. This approach gives the client maximum control — it can implement sophisticated routing strategies, consistent hashing for sticky sessions, or weighted routing. The downside is that every client must include the discovery logic, typically via a client library (Spring Cloud for Java, or a custom gRPC resolver). In server-side discovery, the client is unaware of individual instances. The client makes a request to a stable address — a Kubernetes Service ClusterIP or a cloud load balancer — and a load balancer queries the service registry and routes the request to an appropriate instance. The client never knows which specific instance handled its request. Kubernetes implements this with kube-proxy (or eBPF): when a client connects to a ClusterIP, the kernel intercepts the connection and rewrites the destination to a healthy pod IP. The client only ever sees the ClusterIP. This model is simpler for clients — any standard HTTP client works without special libraries — and routing policies are applied centrally rather than in every client. The trade-off is an extra network hop through the load balancer, though in practice this adds less than 1ms of latency for intra-cluster communication. In modern Kubernetes deployments, server-side discovery via Kubernetes Services is the default and is appropriate for the vast majority of use cases. Client-side discovery makes sense when you need sophisticated client-controlled routing that a standard load balancer cannot provide, such as consistent hashing for cache affinity, or when you are in a non-Kubernetes environment where a service registry is the primary discovery mechanism.</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would you add a service mesh to your architecture and what are the trade-offs?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service mesh is a layer of infrastructure that handles service-to-service communication concerns without application code changes. It works by injecting a sidecar proxy into every pod; all traffic passes through this proxy, which enforces configured policies. You would add a service mesh when you have communication requirements that would otherwise require each service to implement the same logic — and when the operational cost of the mesh is justified by the number of services and the strictness of requirements. The strongest argument for a service mesh is security: mutual TLS between every service pair. Without a mesh, you must configure TLS in each service's code or configuration, ensure certificates are rotated, and verify that every service is correctly validating peer certificates. With a mesh, you toggle mTLS on and all service-to-service traffic is automatically encrypted and authenticated without touching application code. This is compelling for zero-trust security architectures or regulated industries with strict in-transit encryption requirements. The second argument is consistent communication policies across many services. Retry logic, circuit breaker configurations, timeout policies, and rate limits can be declared in YAML and applied uniformly to all services. Without a mesh, each service implements these independently — with different libraries (Resilience4j, tenacity, net/http retry), different configurations, and the possibility of misconfigurations. The third argument is observability: the sidecar automatically captures request-level metrics (latency, error rate, request volume) for every service-to-service call without any application instrumentation. The trade-offs are real. Each sidecar proxy consumes approximately 50-100MB of RAM. For 100 pods, that is 5-10GB of RAM dedicated to proxies. Every request adds 0.5-2ms of latency per hop through the proxy. For a request chain of five services, that adds 2-4ms of total latency. The control plane (Istiod for Istio) is itself a complex distributed system that requires monitoring, scaling, and maintenance. Debugging network issues becomes harder because traffic no longer goes directly from service A to service B. The recommendation: add a service mesh when you have 15 or more microservices with complex inter-service communication, when zero-trust security is a requirement, or when you need traffic splitting for canary deployments at the infrastructure level. For simple architectures with fewer services, application-level circuit breakers and TLS configuration are simpler and less operationally demanding.</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2: Service Discovery &amp; Communication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2 — Service Discovery &amp; Communication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2: Service Discovery &amp; Communication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2026-04-12T23:30:41.977Z</dcterms:created>
  <dcterms:modified xsi:type="dcterms:W3CDTF">2026-04-12T23:30:41.978Z</dcterms:modified>
</cp:coreProperties>
</file>

<file path=docProps/custom.xml><?xml version="1.0" encoding="utf-8"?>
<Properties xmlns="http://schemas.openxmlformats.org/officeDocument/2006/custom-properties" xmlns:vt="http://schemas.openxmlformats.org/officeDocument/2006/docPropsVTypes"/>
</file>