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22: Information Mapping &amp; MDM</w:t>
      </w:r>
    </w:p>
    <w:p>
      <w:pPr>
        <w:spacing w:after="200"/>
        <w:jc w:val="center"/>
      </w:pPr>
      <w:r>
        <w:rPr>
          <w:color w:val="595959"/>
          <w:sz w:val="28"/>
          <w:szCs w:val="28"/>
        </w:rPr>
        <w:t xml:space="preserve">TOGAF Series Guide on Information Architecture</w:t>
      </w:r>
    </w:p>
    <w:p>
      <w:pPr>
        <w:spacing w:after="200"/>
        <w:jc w:val="center"/>
      </w:pPr>
      <w:r>
        <w:rPr>
          <w:color w:val="808080"/>
          <w:sz w:val="22"/>
          <w:szCs w:val="22"/>
        </w:rPr>
        <w:t xml:space="preserve">Information Maps · MDM · Ownership · Customer 360 · Privacy · Modern Patterns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22</w:t>
      </w:r>
    </w:p>
    <w:p>
      <w:pPr>
        <w:spacing w:after="120" w:line="300"/>
        <w:jc w:val="both"/>
      </w:pPr>
      <w:r>
        <w:t xml:space="preserve">Module 22 covers the TOGAF Series Guide content concerned with Information Architecture — specifically Information Mapping, Master Data Management (MDM), and the modern patterns for managing information at enterprise scale. Module 6 covered Phase C (Data) at the Fundamental Content level; Module 18 covered the Business Object vs Data Entity distinction; this module elaborates Information Architecture as a recognised speciality with its own techniques and reference patterns.</w:t>
      </w:r>
    </w:p>
    <w:p>
      <w:pPr>
        <w:spacing w:after="120" w:line="300"/>
        <w:jc w:val="both"/>
      </w:pPr>
      <w:r>
        <w:t xml:space="preserve">The opening conceptual move of this module is the distinction between Information and Data — closely related to but distinct from the Business Object vs Data Entity distinction in Module 18. Information has business meaning and is independent of representation; Data is the technical representation of information for storage, processing, and exchange. The two terms are often conflated in casual conversation; in TOGAF practice, distinguishing them is the foundation of competent Information Architecture work.</w:t>
      </w:r>
    </w:p>
    <w:p>
      <w:pPr>
        <w:spacing w:after="120" w:line="300"/>
        <w:jc w:val="both"/>
      </w:pPr>
      <w:r>
        <w:t xml:space="preserve">Ten points anchor the exam-relevant content. First, the Information vs Data distinction (business meaning vs technical representation). Second, the three-layer Information Map (Conceptual, Logical, Physical). Third, the per-element metadata attached to information items. Fourth, the four MDM architecture styles (Registry, Consolidation, Coexistence, Centralised). Fifth, match-merge logic across deterministic, probabilistic, and ML-based variants. Sixth, survivorship rules. Seventh, the four information ownership roles (Owner, Steward, Custodian, Consumer). Eighth, Customer 360 architecture with its non-negotiable consent infrastructure. Ninth, privacy by design principles. Tenth, modern patterns including Data Mesh (revisited from Module 20), Data Fabric, Data Lakehouse, and Semantic Layer.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is information-architecture-specific: the patterns and frameworks here apply most directly when you are working as a Data Architect or Information Architect rather than in a generalist enterprise architect role. The exam tests recognition of the named structures (three-layer Information Map, four MDM styles, four ownership roles, etc.) rather than deep technical practice. Read this once for breadth; the practical content becomes concrete when you work on data-heavy engagements.</w:t>
            </w:r>
          </w:p>
        </w:tc>
      </w:tr>
    </w:tbl>
    <w:p>
      <w:r>
        <w:br w:type="page"/>
      </w:r>
    </w:p>
    <w:p>
      <w:pPr>
        <w:pStyle w:val="Heading1"/>
        <w:spacing w:after="200" w:before="360"/>
      </w:pPr>
      <w:r>
        <w:rPr>
          <w:b/>
          <w:bCs/>
          <w:color w:val="1F4E78"/>
        </w:rPr>
        <w:t xml:space="preserve">1. Information vs Data — Business Meaning vs Technical Representation</w:t>
      </w:r>
    </w:p>
    <w:p>
      <w:pPr>
        <w:spacing w:after="120" w:line="300"/>
        <w:jc w:val="both"/>
      </w:pPr>
      <w:r>
        <w:t xml:space="preserve">The first conceptual move in modern Information Architecture is distinguishing Information from Data. The two words are often used interchangeably in casual usage, but in architecture practice they describe different things at different levels of abstraction. The distinction is closely related to (but distinct from) the Business Object vs Data Entity distinction covered in Module 18.</w:t>
      </w:r>
    </w:p>
    <w:p>
      <w:pPr>
        <w:pStyle w:val="Heading2"/>
        <w:spacing w:after="160" w:before="280"/>
      </w:pPr>
      <w:r>
        <w:rPr>
          <w:b/>
          <w:bCs/>
          <w:color w:val="2E75B6"/>
        </w:rPr>
        <w:t xml:space="preserve">1.1 The Distinction</w:t>
      </w:r>
    </w:p>
    <w:p>
      <w:pPr>
        <w:spacing w:after="120" w:line="300"/>
        <w:jc w:val="both"/>
      </w:pPr>
      <w:r>
        <w:rPr>
          <w:b/>
          <w:bCs/>
        </w:rPr>
        <w:t xml:space="preserve">Information</w:t>
      </w:r>
      <w:r>
        <w:t xml:space="preserve"> is the </w:t>
      </w:r>
      <w:r>
        <w:rPr>
          <w:i/>
          <w:iCs/>
        </w:rPr>
        <w:t xml:space="preserve">business meaning</w:t>
      </w:r>
      <w:r>
        <w:t xml:space="preserve"> — the semantic content that has value for the enterprise. </w:t>
      </w:r>
      <w:r>
        <w:rPr>
          <w:b/>
          <w:bCs/>
        </w:rPr>
        <w:t xml:space="preserve">Data</w:t>
      </w:r>
      <w:r>
        <w:t xml:space="preserve"> is the </w:t>
      </w:r>
      <w:r>
        <w:rPr>
          <w:i/>
          <w:iCs/>
        </w:rPr>
        <w:t xml:space="preserve">technical representation</w:t>
      </w:r>
      <w:r>
        <w:t xml:space="preserve"> — the bytes, fields, schemas, and structures by which information is stored, processed, and exchanged. The same information can have many different data representations; the same data structure can hold different information depending on context. Distinguishing the two is foundational because Information Architecture is fundamentally about meaning, while Data Architecture (Phase C-Data) is about representation. Conflating them produces architecture that designs schemas without first understanding what they mean to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Information vs Data: </w:t>
            </w:r>
            <w:r>
              <w:t xml:space="preserve">Information = business MEANING (semantic content with value for the enterprise; what the business cares about). Data = technical REPRESENTATION (bytes, fields, schemas, structures used to store, process, and exchange information). Same information can have multiple data representations; same data structure can hold different information in different contexts. Information Architecture works at the meaning level; Data Architecture works at the representation level.</w:t>
            </w:r>
          </w:p>
        </w:tc>
      </w:tr>
    </w:tbl>
    <w:p>
      <w:pPr>
        <w:pStyle w:val="Heading2"/>
        <w:spacing w:after="160" w:before="280"/>
      </w:pPr>
      <w:r>
        <w:rPr>
          <w:b/>
          <w:bCs/>
          <w:color w:val="2E75B6"/>
        </w:rPr>
        <w:t xml:space="preserve">1.2 The Distinction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Information vs Data — A Customer's Date of Birth</w:t>
            </w:r>
          </w:p>
          <w:p>
            <w:pPr>
              <w:spacing w:after="60" w:line="280"/>
              <w:jc w:val="both"/>
            </w:pPr>
            <w:r>
              <w:t xml:space="preserve">Information: A customer's Date of Birth — the date on which a particular customer was born. This is the business meaning. It has consequences for the business: age verification, KYC, marketing targeting, eligibility for certain products, regulatory restrictions.</w:t>
            </w:r>
          </w:p>
          <w:p>
            <w:pPr>
              <w:spacing w:after="60" w:line="280"/>
              <w:jc w:val="both"/>
            </w:pPr>
            <w:r>
              <w:t xml:space="preserve">Data representation 1: A column in the CRM database with type DATE, populated as '1985-04-12'.</w:t>
            </w:r>
          </w:p>
          <w:p>
            <w:pPr>
              <w:spacing w:after="60" w:line="280"/>
              <w:jc w:val="both"/>
            </w:pPr>
            <w:r>
              <w:t xml:space="preserve">Data representation 2: A field in the data warehouse stored as INT (days since 1970-01-01) for compactness.</w:t>
            </w:r>
          </w:p>
          <w:p>
            <w:pPr>
              <w:spacing w:after="60" w:line="280"/>
              <w:jc w:val="both"/>
            </w:pPr>
            <w:r>
              <w:t xml:space="preserve">Data representation 3: An ISO 8601 string in a JSON event payload: '"date_of_birth": "1985-04-12"'.</w:t>
            </w:r>
          </w:p>
          <w:p>
            <w:pPr>
              <w:spacing w:after="60" w:line="280"/>
              <w:jc w:val="both"/>
            </w:pPr>
            <w:r>
              <w:t xml:space="preserve">Data representation 4: A pseudonymised hash in the analytics platform where the actual date is masked but age bracket is preserved.</w:t>
            </w:r>
          </w:p>
          <w:p>
            <w:pPr>
              <w:spacing w:after="60" w:line="280"/>
              <w:jc w:val="both"/>
            </w:pPr>
            <w:r>
              <w:t xml:space="preserve">Data representation 5: An encrypted blob in the regulatory reporting store.</w:t>
            </w:r>
          </w:p>
          <w:p>
            <w:pPr>
              <w:spacing w:after="60" w:line="280"/>
              <w:jc w:val="both"/>
            </w:pPr>
            <w:r>
              <w:t xml:space="preserve">Five different data representations; one piece of information. The information is what matters to the business; the data is how it is technically held in any particular context. An Information Architecture defines the information once; a Data Architecture defines the representations as appropriate to each system.</w:t>
            </w:r>
          </w:p>
        </w:tc>
      </w:tr>
    </w:tbl>
    <w:p>
      <w:pPr>
        <w:pStyle w:val="Heading2"/>
        <w:spacing w:after="160" w:before="280"/>
      </w:pPr>
      <w:r>
        <w:rPr>
          <w:b/>
          <w:bCs/>
          <w:color w:val="2E75B6"/>
        </w:rPr>
        <w:t xml:space="preserve">1.3 Information vs Data vs Business Object vs Data Entity</w:t>
      </w:r>
    </w:p>
    <w:p>
      <w:pPr>
        <w:spacing w:after="120" w:line="300"/>
        <w:jc w:val="both"/>
      </w:pPr>
      <w:r>
        <w:t xml:space="preserve">Module 18 distinguished Business Object (Phase B output, business concept) from Data Entity (Phase C-Data output, technical representation). Module 22's Information vs Data distinction is closely related but operates at a different level:</w:t>
      </w:r>
    </w:p>
    <w:p>
      <w:pPr>
        <w:pStyle w:val="ListParagraph"/>
        <w:numPr>
          <w:ilvl w:val="0"/>
          <w:numId w:val="2"/>
        </w:numPr>
        <w:spacing w:after="80" w:line="280"/>
      </w:pPr>
      <w:r>
        <w:t xml:space="preserve">Business Object (Module 18) is about a complete conceptual entity ("Customer") at the Business Architecture level.</w:t>
      </w:r>
    </w:p>
    <w:p>
      <w:pPr>
        <w:pStyle w:val="ListParagraph"/>
        <w:numPr>
          <w:ilvl w:val="0"/>
          <w:numId w:val="2"/>
        </w:numPr>
        <w:spacing w:after="80" w:line="280"/>
      </w:pPr>
      <w:r>
        <w:t xml:space="preserve">Information (this module) is about specific semantic content ("Customer Date of Birth", "Customer Email Address", "Customer Risk Score") at the Information Architecture level.</w:t>
      </w:r>
    </w:p>
    <w:p>
      <w:pPr>
        <w:pStyle w:val="ListParagraph"/>
        <w:numPr>
          <w:ilvl w:val="0"/>
          <w:numId w:val="2"/>
        </w:numPr>
        <w:spacing w:after="80" w:line="280"/>
      </w:pPr>
      <w:r>
        <w:t xml:space="preserve">Data Entity (Module 18) is about a technical structure (the customer table in the CRM) at the Data Architecture level.</w:t>
      </w:r>
    </w:p>
    <w:p>
      <w:pPr>
        <w:pStyle w:val="ListParagraph"/>
        <w:numPr>
          <w:ilvl w:val="0"/>
          <w:numId w:val="2"/>
        </w:numPr>
        <w:spacing w:after="80" w:line="280"/>
      </w:pPr>
      <w:r>
        <w:t xml:space="preserve">Data (this module) is about specific technical representations of information attributes (the date_of_birth column with its type and constraints).</w:t>
      </w:r>
    </w:p>
    <w:p>
      <w:pPr>
        <w:spacing w:after="120" w:line="300"/>
        <w:jc w:val="both"/>
      </w:pPr>
      <w:r>
        <w:t xml:space="preserve">The four levels nest: Business Objects contain Information items; Information items have Data representations; Data representations are organised into Data Entities. An Information Architecture engagement walks through these levels making each precise and connecting them with explicit traceability.</w:t>
      </w:r>
    </w:p>
    <w:p>
      <w:r>
        <w:br w:type="page"/>
      </w:r>
    </w:p>
    <w:p>
      <w:pPr>
        <w:pStyle w:val="Heading1"/>
        <w:spacing w:after="200" w:before="360"/>
      </w:pPr>
      <w:r>
        <w:rPr>
          <w:b/>
          <w:bCs/>
          <w:color w:val="1F4E78"/>
        </w:rPr>
        <w:t xml:space="preserve">2. The Three-Layer Information Map</w:t>
      </w:r>
    </w:p>
    <w:p>
      <w:pPr>
        <w:spacing w:after="120" w:line="300"/>
        <w:jc w:val="both"/>
      </w:pPr>
      <w:r>
        <w:t xml:space="preserve">The principal artefact of Information Architecture is the Information Map — a structured representation of the enterprise's information at three levels of abstraction. The three-layer convention (Conceptual, Logical, Physical) is widely adopted across the industry and is exam-relevant by name.</w:t>
      </w:r>
    </w:p>
    <w:p>
      <w:pPr>
        <w:pStyle w:val="Heading2"/>
        <w:spacing w:after="160" w:before="280"/>
      </w:pPr>
      <w:r>
        <w:rPr>
          <w:b/>
          <w:bCs/>
          <w:color w:val="2E75B6"/>
        </w:rPr>
        <w:t xml:space="preserve">2.1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Information Map — Three Layers: </w:t>
            </w:r>
            <w:r>
              <w:t xml:space="preserve">(1) Conceptual — high-level information concepts and their relationships, business-language, technology-independent. (2) Logical — structured information model with attributes, relationships, cardinality, but still technology-independent. (3) Physical — actual data structures in actual systems, technology-specific. Each layer maps to the layer below: conceptual concepts decompose into logical structures, which are realised by physical structures in actual systems.</w:t>
            </w:r>
          </w:p>
        </w:tc>
      </w:tr>
    </w:tbl>
    <w:p>
      <w:pPr>
        <w:pStyle w:val="Heading2"/>
        <w:spacing w:after="160" w:before="280"/>
      </w:pPr>
      <w:r>
        <w:rPr>
          <w:b/>
          <w:bCs/>
          <w:color w:val="2E75B6"/>
        </w:rPr>
        <w:t xml:space="preserve">2.2 Layer 1: Conceptual</w:t>
      </w:r>
    </w:p>
    <w:p>
      <w:pPr>
        <w:spacing w:after="120" w:line="300"/>
        <w:jc w:val="both"/>
      </w:pPr>
      <w:r>
        <w:t xml:space="preserve">The Conceptual Information Map captures the high-level information concepts and their relationships in business language. It is technology-independent and audience-friendly: a business stakeholder can read it and recognise the information that matters to them.</w:t>
      </w:r>
    </w:p>
    <w:p>
      <w:pPr>
        <w:spacing w:after="120" w:line="300"/>
        <w:jc w:val="both"/>
      </w:pPr>
      <w:r>
        <w:t xml:space="preserve">Typical content includes:</w:t>
      </w:r>
    </w:p>
    <w:p>
      <w:pPr>
        <w:pStyle w:val="ListParagraph"/>
        <w:numPr>
          <w:ilvl w:val="0"/>
          <w:numId w:val="2"/>
        </w:numPr>
        <w:spacing w:after="80" w:line="280"/>
      </w:pPr>
      <w:r>
        <w:t xml:space="preserve">Major information concepts ("Customer", "Product", "Order", "Account", "Transaction").</w:t>
      </w:r>
    </w:p>
    <w:p>
      <w:pPr>
        <w:pStyle w:val="ListParagraph"/>
        <w:numPr>
          <w:ilvl w:val="0"/>
          <w:numId w:val="2"/>
        </w:numPr>
        <w:spacing w:after="80" w:line="280"/>
      </w:pPr>
      <w:r>
        <w:t xml:space="preserve">High-level relationships ("Customer holds Account", "Customer places Order", "Order contains Products").</w:t>
      </w:r>
    </w:p>
    <w:p>
      <w:pPr>
        <w:pStyle w:val="ListParagraph"/>
        <w:numPr>
          <w:ilvl w:val="0"/>
          <w:numId w:val="2"/>
        </w:numPr>
        <w:spacing w:after="80" w:line="280"/>
      </w:pPr>
      <w:r>
        <w:t xml:space="preserve">Definitions in business language.</w:t>
      </w:r>
    </w:p>
    <w:p>
      <w:pPr>
        <w:pStyle w:val="ListParagraph"/>
        <w:numPr>
          <w:ilvl w:val="0"/>
          <w:numId w:val="2"/>
        </w:numPr>
        <w:spacing w:after="80" w:line="280"/>
      </w:pPr>
      <w:r>
        <w:t xml:space="preserve">No attributes, no cardinality details, no technical specifics.</w:t>
      </w:r>
    </w:p>
    <w:p>
      <w:pPr>
        <w:spacing w:after="120" w:line="300"/>
        <w:jc w:val="both"/>
      </w:pPr>
      <w:r>
        <w:t xml:space="preserve">The Conceptual Map produces something close to the Business Object catalogue from Module 18, with the relationships made explicit. It is the foundation: subsequent layers refine it but do not contradict it.</w:t>
      </w:r>
    </w:p>
    <w:p>
      <w:pPr>
        <w:pStyle w:val="Heading2"/>
        <w:spacing w:after="160" w:before="280"/>
      </w:pPr>
      <w:r>
        <w:rPr>
          <w:b/>
          <w:bCs/>
          <w:color w:val="2E75B6"/>
        </w:rPr>
        <w:t xml:space="preserve">2.3 Layer 2: Logical</w:t>
      </w:r>
    </w:p>
    <w:p>
      <w:pPr>
        <w:spacing w:after="120" w:line="300"/>
        <w:jc w:val="both"/>
      </w:pPr>
      <w:r>
        <w:t xml:space="preserve">The Logical Information Map adds structure: attributes, relationships with cardinality, normalisation. It remains technology-independent — the model could be implemented in any database technology — but is detailed enough to drive system design.</w:t>
      </w:r>
    </w:p>
    <w:p>
      <w:pPr>
        <w:spacing w:after="120" w:line="300"/>
        <w:jc w:val="both"/>
      </w:pPr>
      <w:r>
        <w:t xml:space="preserve">Typical content includes:</w:t>
      </w:r>
    </w:p>
    <w:p>
      <w:pPr>
        <w:pStyle w:val="ListParagraph"/>
        <w:numPr>
          <w:ilvl w:val="0"/>
          <w:numId w:val="2"/>
        </w:numPr>
        <w:spacing w:after="80" w:line="280"/>
      </w:pPr>
      <w:r>
        <w:t xml:space="preserve">Each information concept's attributes (Customer has First Name, Last Name, Date of Birth, Email Address, etc.).</w:t>
      </w:r>
    </w:p>
    <w:p>
      <w:pPr>
        <w:pStyle w:val="ListParagraph"/>
        <w:numPr>
          <w:ilvl w:val="0"/>
          <w:numId w:val="2"/>
        </w:numPr>
        <w:spacing w:after="80" w:line="280"/>
      </w:pPr>
      <w:r>
        <w:t xml:space="preserve">Relationships with cardinality (one Customer holds zero or more Accounts; one Account belongs to exactly one Customer).</w:t>
      </w:r>
    </w:p>
    <w:p>
      <w:pPr>
        <w:pStyle w:val="ListParagraph"/>
        <w:numPr>
          <w:ilvl w:val="0"/>
          <w:numId w:val="2"/>
        </w:numPr>
        <w:spacing w:after="80" w:line="280"/>
      </w:pPr>
      <w:r>
        <w:t xml:space="preserve">Identifiers and uniqueness constraints (Customer is uniquely identified by Customer ID).</w:t>
      </w:r>
    </w:p>
    <w:p>
      <w:pPr>
        <w:pStyle w:val="ListParagraph"/>
        <w:numPr>
          <w:ilvl w:val="0"/>
          <w:numId w:val="2"/>
        </w:numPr>
        <w:spacing w:after="80" w:line="280"/>
      </w:pPr>
      <w:r>
        <w:t xml:space="preserve">Inheritance hierarchies if applicable (Personal Customer and Business Customer both inherit from Customer).</w:t>
      </w:r>
    </w:p>
    <w:p>
      <w:pPr>
        <w:pStyle w:val="ListParagraph"/>
        <w:numPr>
          <w:ilvl w:val="0"/>
          <w:numId w:val="2"/>
        </w:numPr>
        <w:spacing w:after="80" w:line="280"/>
      </w:pPr>
      <w:r>
        <w:t xml:space="preserve">Constraints expressed in business terms (Date of Birth must be in the past; Email Address must be a valid format).</w:t>
      </w:r>
    </w:p>
    <w:p>
      <w:pPr>
        <w:spacing w:after="120" w:line="300"/>
        <w:jc w:val="both"/>
      </w:pPr>
      <w:r>
        <w:t xml:space="preserve">The Logical Map looks like an Entity-Relationship Diagram but with the discipline of staying technology-independent. It is what data architects build target solutions against.</w:t>
      </w:r>
    </w:p>
    <w:p>
      <w:pPr>
        <w:pStyle w:val="Heading2"/>
        <w:spacing w:after="160" w:before="280"/>
      </w:pPr>
      <w:r>
        <w:rPr>
          <w:b/>
          <w:bCs/>
          <w:color w:val="2E75B6"/>
        </w:rPr>
        <w:t xml:space="preserve">2.4 Layer 3: Physical</w:t>
      </w:r>
    </w:p>
    <w:p>
      <w:pPr>
        <w:spacing w:after="120" w:line="300"/>
        <w:jc w:val="both"/>
      </w:pPr>
      <w:r>
        <w:t xml:space="preserve">The Physical Information Map captures the actual data structures in actual systems — the technology-specific implementation. There is typically one Physical Map per major system rather than one for the whole enterprise; the Logical Map is the single, authoritative model that the various Physical Maps realise.</w:t>
      </w:r>
    </w:p>
    <w:p>
      <w:pPr>
        <w:spacing w:after="120" w:line="300"/>
        <w:jc w:val="both"/>
      </w:pPr>
      <w:r>
        <w:t xml:space="preserve">Typical content includes:</w:t>
      </w:r>
    </w:p>
    <w:p>
      <w:pPr>
        <w:pStyle w:val="ListParagraph"/>
        <w:numPr>
          <w:ilvl w:val="0"/>
          <w:numId w:val="2"/>
        </w:numPr>
        <w:spacing w:after="80" w:line="280"/>
      </w:pPr>
      <w:r>
        <w:t xml:space="preserve">Specific tables, columns, types, lengths, constraints in each system's database.</w:t>
      </w:r>
    </w:p>
    <w:p>
      <w:pPr>
        <w:pStyle w:val="ListParagraph"/>
        <w:numPr>
          <w:ilvl w:val="0"/>
          <w:numId w:val="2"/>
        </w:numPr>
        <w:spacing w:after="80" w:line="280"/>
      </w:pPr>
      <w:r>
        <w:t xml:space="preserve">Indexes and partition keys.</w:t>
      </w:r>
    </w:p>
    <w:p>
      <w:pPr>
        <w:pStyle w:val="ListParagraph"/>
        <w:numPr>
          <w:ilvl w:val="0"/>
          <w:numId w:val="2"/>
        </w:numPr>
        <w:spacing w:after="80" w:line="280"/>
      </w:pPr>
      <w:r>
        <w:t xml:space="preserve">Encoding choices (Avro schemas, Protobuf definitions, OpenAPI schemas for APIs).</w:t>
      </w:r>
    </w:p>
    <w:p>
      <w:pPr>
        <w:pStyle w:val="ListParagraph"/>
        <w:numPr>
          <w:ilvl w:val="0"/>
          <w:numId w:val="2"/>
        </w:numPr>
        <w:spacing w:after="80" w:line="280"/>
      </w:pPr>
      <w:r>
        <w:t xml:space="preserve">System-specific quirks (the legacy CRM stores the date as a string; the modern microservice uses ISO 8601).</w:t>
      </w:r>
    </w:p>
    <w:p>
      <w:pPr>
        <w:pStyle w:val="ListParagraph"/>
        <w:numPr>
          <w:ilvl w:val="0"/>
          <w:numId w:val="2"/>
        </w:numPr>
        <w:spacing w:after="80" w:line="280"/>
      </w:pPr>
      <w:r>
        <w:t xml:space="preserve">Mapping back to the Logical Map for traceability.</w:t>
      </w:r>
    </w:p>
    <w:p>
      <w:pPr>
        <w:spacing w:after="120" w:line="300"/>
        <w:jc w:val="both"/>
      </w:pPr>
      <w:r>
        <w:t xml:space="preserve">A single Logical Map may be realised by ten or twenty Physical Maps across the enterprise's systems. The Physical Maps are the operational reality; the Logical Map is the conceptual unity that holds them together.</w:t>
      </w:r>
    </w:p>
    <w:p>
      <w:pPr>
        <w:pStyle w:val="Heading2"/>
        <w:spacing w:after="160" w:before="280"/>
      </w:pPr>
      <w:r>
        <w:rPr>
          <w:b/>
          <w:bCs/>
          <w:color w:val="2E75B6"/>
        </w:rPr>
        <w:t xml:space="preserve">2.5 The Three Layers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700"/>
        <w:gridCol w:w="2700"/>
        <w:gridCol w:w="9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Layer</w:t>
            </w:r>
          </w:p>
        </w:tc>
        <w:tc>
          <w:tcPr>
            <w:tcW w:type="dxa" w:w="2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Audience</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Technology</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Detail Level</w:t>
            </w:r>
          </w:p>
        </w:tc>
        <w:tc>
          <w:tcPr>
            <w:tcW w:type="dxa" w:w="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Per-System</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Conceptual</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stakeholders, executives</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Independent</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High-level concepts and relationships only</w:t>
            </w:r>
          </w:p>
        </w:tc>
        <w:tc>
          <w:tcPr>
            <w:tcW w:type="dxa" w:w="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One enterprise-wide map</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Logical</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architects, designers</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Independent</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Attributes, cardinality, constraints in business terms</w:t>
            </w:r>
          </w:p>
        </w:tc>
        <w:tc>
          <w:tcPr>
            <w:tcW w:type="dxa" w:w="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One enterprise-wide map</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Physical</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engineers, developers, operators</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Technology-specific</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Tables, types, indexes, system-specific details</w:t>
            </w:r>
          </w:p>
        </w:tc>
        <w:tc>
          <w:tcPr>
            <w:tcW w:type="dxa" w:w="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One per major system</w:t>
            </w:r>
          </w:p>
        </w:tc>
      </w:tr>
    </w:tbl>
    <w:p>
      <w:pPr>
        <w:pStyle w:val="Heading2"/>
        <w:spacing w:after="160" w:before="280"/>
      </w:pPr>
      <w:r>
        <w:rPr>
          <w:b/>
          <w:bCs/>
          <w:color w:val="2E75B6"/>
        </w:rPr>
        <w:t xml:space="preserve">2.6 Per-Element Metadata</w:t>
      </w:r>
    </w:p>
    <w:p>
      <w:pPr>
        <w:spacing w:after="120" w:line="300"/>
        <w:jc w:val="both"/>
      </w:pPr>
      <w:r>
        <w:t xml:space="preserve">Each information element at every layer should carry metadata that makes it usable in governance, integration, and operations. The Series Guide identifies seven standard metadata items per element:</w:t>
      </w:r>
    </w:p>
    <w:p>
      <w:pPr>
        <w:pStyle w:val="ListParagraph"/>
        <w:numPr>
          <w:ilvl w:val="0"/>
          <w:numId w:val="3"/>
        </w:numPr>
        <w:spacing w:after="80" w:line="280"/>
      </w:pPr>
      <w:r>
        <w:t xml:space="preserve">Definition — what the element means in business terms.</w:t>
      </w:r>
    </w:p>
    <w:p>
      <w:pPr>
        <w:pStyle w:val="ListParagraph"/>
        <w:numPr>
          <w:ilvl w:val="0"/>
          <w:numId w:val="3"/>
        </w:numPr>
        <w:spacing w:after="80" w:line="280"/>
      </w:pPr>
      <w:r>
        <w:t xml:space="preserve">System of Record — which system holds the authoritative version of this element.</w:t>
      </w:r>
    </w:p>
    <w:p>
      <w:pPr>
        <w:pStyle w:val="ListParagraph"/>
        <w:numPr>
          <w:ilvl w:val="0"/>
          <w:numId w:val="3"/>
        </w:numPr>
        <w:spacing w:after="80" w:line="280"/>
      </w:pPr>
      <w:r>
        <w:t xml:space="preserve">Owner — the named accountable executive (typically a Data Owner role; see Section 7).</w:t>
      </w:r>
    </w:p>
    <w:p>
      <w:pPr>
        <w:pStyle w:val="ListParagraph"/>
        <w:numPr>
          <w:ilvl w:val="0"/>
          <w:numId w:val="3"/>
        </w:numPr>
        <w:spacing w:after="80" w:line="280"/>
      </w:pPr>
      <w:r>
        <w:t xml:space="preserve">Steward — the named operational responsible (typically a Data Steward role; see Section 7).</w:t>
      </w:r>
    </w:p>
    <w:p>
      <w:pPr>
        <w:pStyle w:val="ListParagraph"/>
        <w:numPr>
          <w:ilvl w:val="0"/>
          <w:numId w:val="3"/>
        </w:numPr>
        <w:spacing w:after="80" w:line="280"/>
      </w:pPr>
      <w:r>
        <w:t xml:space="preserve">Lifecycle — creation, update, retention, archival, deletion behaviour and timelines.</w:t>
      </w:r>
    </w:p>
    <w:p>
      <w:pPr>
        <w:pStyle w:val="ListParagraph"/>
        <w:numPr>
          <w:ilvl w:val="0"/>
          <w:numId w:val="3"/>
        </w:numPr>
        <w:spacing w:after="80" w:line="280"/>
      </w:pPr>
      <w:r>
        <w:t xml:space="preserve">Sensitivity — classification (Public, Internal, Confidential, Restricted, etc.) driving security and privacy controls.</w:t>
      </w:r>
    </w:p>
    <w:p>
      <w:pPr>
        <w:pStyle w:val="ListParagraph"/>
        <w:numPr>
          <w:ilvl w:val="0"/>
          <w:numId w:val="3"/>
        </w:numPr>
        <w:spacing w:after="80" w:line="280"/>
      </w:pPr>
      <w:r>
        <w:t xml:space="preserve">Quality — quality requirements and current quality measures (completeness, accuracy, timeliness, consistency, validity).</w:t>
      </w:r>
    </w:p>
    <w:p>
      <w:pPr>
        <w:spacing w:after="120" w:line="300"/>
        <w:jc w:val="both"/>
      </w:pPr>
      <w:r>
        <w:t xml:space="preserve">Without this metadata, information elements are mere labels. With it, they become governable assets — each can be owned, traced, classified, retained, and measured.</w:t>
      </w:r>
    </w:p>
    <w:p>
      <w:r>
        <w:br w:type="page"/>
      </w:r>
    </w:p>
    <w:p>
      <w:pPr>
        <w:pStyle w:val="Heading1"/>
        <w:spacing w:after="200" w:before="360"/>
      </w:pPr>
      <w:r>
        <w:rPr>
          <w:b/>
          <w:bCs/>
          <w:color w:val="1F4E78"/>
        </w:rPr>
        <w:t xml:space="preserve">3. Per-Element Metadata in Practice</w:t>
      </w:r>
    </w:p>
    <w:p>
      <w:pPr>
        <w:spacing w:after="120" w:line="300"/>
        <w:jc w:val="both"/>
      </w:pPr>
      <w:r>
        <w:t xml:space="preserve">Section 2 introduced the seven metadata items. This section shows them populated for a concrete information element, then summarises the governance value of each.</w:t>
      </w:r>
    </w:p>
    <w:p>
      <w:pPr>
        <w:pStyle w:val="Heading2"/>
        <w:spacing w:after="160" w:before="280"/>
      </w:pPr>
      <w:r>
        <w:rPr>
          <w:b/>
          <w:bCs/>
          <w:color w:val="2E75B6"/>
        </w:rPr>
        <w:t xml:space="preserve">3.1 Worked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Per-Element Metadata for 'Customer Date of Birth' at Acme Bank</w:t>
            </w:r>
          </w:p>
          <w:p>
            <w:pPr>
              <w:spacing w:after="60" w:line="280"/>
              <w:jc w:val="both"/>
            </w:pPr>
            <w:r>
              <w:t xml:space="preserve">Definition: The date on which the customer was born. Used for age verification, KYC, regulatory eligibility checks, and (in pseudonymised form) for marketing targeting.</w:t>
            </w:r>
          </w:p>
          <w:p>
            <w:pPr>
              <w:spacing w:after="60" w:line="280"/>
              <w:jc w:val="both"/>
            </w:pPr>
            <w:r>
              <w:t xml:space="preserve">System of Record: Customer Master Data Hub (CMDH). All other systems hold copies replicated from the CMDH; updates flow only through the CMDH.</w:t>
            </w:r>
          </w:p>
          <w:p>
            <w:pPr>
              <w:spacing w:after="60" w:line="280"/>
              <w:jc w:val="both"/>
            </w:pPr>
            <w:r>
              <w:t xml:space="preserve">Owner: Head of Customer Data, Retail Banking Division — ultimately accountable for the quality and governance of all customer master data.</w:t>
            </w:r>
          </w:p>
          <w:p>
            <w:pPr>
              <w:spacing w:after="60" w:line="280"/>
              <w:jc w:val="both"/>
            </w:pPr>
            <w:r>
              <w:t xml:space="preserve">Steward: Senior Data Steward, Customer Data team — operationally responsible for monitoring quality, addressing exceptions, and managing the data lifecycle.</w:t>
            </w:r>
          </w:p>
          <w:p>
            <w:pPr>
              <w:spacing w:after="60" w:line="280"/>
              <w:jc w:val="both"/>
            </w:pPr>
            <w:r>
              <w:t xml:space="preserve">Lifecycle: Captured at customer onboarding via Identity Verification Service. Updated only through formal customer service request with verified identity. Retained for life of customer plus 7 years post-relationship-end (regulatory). Archived to long-term storage at relationship end + 2 years. Deleted at retention end + grace period.</w:t>
            </w:r>
          </w:p>
          <w:p>
            <w:pPr>
              <w:spacing w:after="60" w:line="280"/>
              <w:jc w:val="both"/>
            </w:pPr>
            <w:r>
              <w:t xml:space="preserve">Sensitivity: Personal Data under GDPR; Confidential classification under enterprise scheme; subject to data subject rights (access, rectification, erasure subject to retention obligations).</w:t>
            </w:r>
          </w:p>
          <w:p>
            <w:pPr>
              <w:spacing w:after="60" w:line="280"/>
              <w:jc w:val="both"/>
            </w:pPr>
            <w:r>
              <w:t xml:space="preserve">Quality: Completeness target 99.9% (only 0.1% may be null due to legitimate edge cases). Accuracy target 99.95% (verified at onboarding; spot-checked annually). Currency target real-time (changes propagate to all consuming systems within 5 minutes via event stream).</w:t>
            </w:r>
          </w:p>
          <w:p>
            <w:pPr>
              <w:spacing w:after="60" w:line="280"/>
              <w:jc w:val="both"/>
            </w:pPr>
            <w:r>
              <w:t xml:space="preserve">Seven metadata items; one element. Multiplied across the enterprise's information catalogue (typically 500-2000 named elements) and you have an Information Architecture's principal operational artefact.</w:t>
            </w:r>
          </w:p>
        </w:tc>
      </w:tr>
    </w:tbl>
    <w:p>
      <w:pPr>
        <w:pStyle w:val="Heading2"/>
        <w:spacing w:after="160" w:before="280"/>
      </w:pPr>
      <w:r>
        <w:rPr>
          <w:b/>
          <w:bCs/>
          <w:color w:val="2E75B6"/>
        </w:rPr>
        <w:t xml:space="preserve">3.2 Why Each Metadata Item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Metadata Item</w:t>
            </w:r>
          </w:p>
        </w:tc>
        <w:tc>
          <w:tcPr>
            <w:tcW w:type="dxa" w:w="4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Enables</w:t>
            </w:r>
          </w:p>
        </w:tc>
        <w:tc>
          <w:tcPr>
            <w:tcW w:type="dxa" w:w="3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Without It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Definition</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Shared understanding; consistent use across systems</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Different teams use the same name for different things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System of Record</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Clear authoritative source; conflict resolution</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Multiple sources, none authoritative; conflicts unresolved</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Owner</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Accountability; escalation path</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 accountability; orphaned data</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Steward</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Operational responsibility; quality monitoring</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 one watching quality day-to-day</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Lifecycle</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Retention compliance; storage discipline</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Indefinite storage; regulatory exposure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Sensitivity</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Security and privacy controls applied appropriately</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Over- or under-protection; compliance failures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Quality</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Measurable quality; basis for improvement</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 way to know if data is fit for purpose</w:t>
            </w:r>
          </w:p>
        </w:tc>
      </w:tr>
    </w:tbl>
    <w:p>
      <w:r>
        <w:br w:type="page"/>
      </w:r>
    </w:p>
    <w:p>
      <w:pPr>
        <w:pStyle w:val="Heading1"/>
        <w:spacing w:after="200" w:before="360"/>
      </w:pPr>
      <w:r>
        <w:rPr>
          <w:b/>
          <w:bCs/>
          <w:color w:val="1F4E78"/>
        </w:rPr>
        <w:t xml:space="preserve">4. The Four MDM Architecture Styles</w:t>
      </w:r>
    </w:p>
    <w:p>
      <w:pPr>
        <w:spacing w:after="120" w:line="300"/>
        <w:jc w:val="both"/>
      </w:pPr>
      <w:r>
        <w:t xml:space="preserve">Master Data Management — MDM — is the discipline of managing the enterprise's most critical, shared, durable information (master data) consistently across systems. The Series Guide identifies four standard architecture styles for MDM, each with different cost, complexity, and effectiveness profiles. Memorising the four by name is exam-relevant; understanding when each is appropriate is what makes them practically useful.</w:t>
      </w:r>
    </w:p>
    <w:p>
      <w:pPr>
        <w:pStyle w:val="Heading2"/>
        <w:spacing w:after="160" w:before="280"/>
      </w:pPr>
      <w:r>
        <w:rPr>
          <w:b/>
          <w:bCs/>
          <w:color w:val="2E75B6"/>
        </w:rPr>
        <w:t xml:space="preserve">4.1 What MDM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Master Data Management (MDM): </w:t>
            </w:r>
            <w:r>
              <w:t xml:space="preserve">The discipline of managing the enterprise's master data — the critical, shared, durable information about Customers, Products, Suppliers, Employees, and similar core entities — consistently across all systems that use it. Distinct from transactional data (orders, payments, events) which is more volatile and less shared. Implemented through one of four architecture styles (Registry, Consolidation, Coexistence, Centralised) chosen based on the enterprise's needs, scale, and tolerance for centralisation.</w:t>
            </w:r>
          </w:p>
        </w:tc>
      </w:tr>
    </w:tbl>
    <w:p>
      <w:pPr>
        <w:pStyle w:val="Heading2"/>
        <w:spacing w:after="160" w:before="280"/>
      </w:pPr>
      <w:r>
        <w:rPr>
          <w:b/>
          <w:bCs/>
          <w:color w:val="2E75B6"/>
        </w:rPr>
        <w:t xml:space="preserve">4.2 Style 1: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Registry MDM Style: </w:t>
            </w:r>
            <w:r>
              <w:t xml:space="preserve">The lightest-touch MDM style. The MDM hub holds only identifiers and cross-references — it knows that Customer 12345 in CRM is the same as Customer ABC-789 in the billing system, but it doesn't store the actual customer data. Source systems remain authoritative for their data; the registry just enables identity resolution across them. Lowest cost, lowest effectiveness, fastest to implement.</w:t>
            </w:r>
          </w:p>
        </w:tc>
      </w:tr>
    </w:tbl>
    <w:p>
      <w:pPr>
        <w:pStyle w:val="Heading3"/>
        <w:spacing w:after="120" w:before="220"/>
      </w:pPr>
      <w:r>
        <w:rPr>
          <w:b/>
          <w:bCs/>
          <w:color w:val="404040"/>
        </w:rPr>
        <w:t xml:space="preserve">How Registry Works</w:t>
      </w:r>
    </w:p>
    <w:p>
      <w:pPr>
        <w:spacing w:after="120" w:line="300"/>
        <w:jc w:val="both"/>
      </w:pPr>
      <w:r>
        <w:t xml:space="preserve">Source systems continue to hold customer data as they always did. A separate registry maintains the cross-reference: "these source-system records all refer to the same real-world customer". Queries that need data from multiple sources use the registry to find which source records relate, then fetch each source's data and combine.</w:t>
      </w:r>
    </w:p>
    <w:p>
      <w:pPr>
        <w:pStyle w:val="Heading3"/>
        <w:spacing w:after="120" w:before="220"/>
      </w:pPr>
      <w:r>
        <w:rPr>
          <w:b/>
          <w:bCs/>
          <w:color w:val="404040"/>
        </w:rPr>
        <w:t xml:space="preserve">Strengths and Weaknesses</w:t>
      </w:r>
    </w:p>
    <w:p>
      <w:pPr>
        <w:pStyle w:val="ListParagraph"/>
        <w:numPr>
          <w:ilvl w:val="0"/>
          <w:numId w:val="2"/>
        </w:numPr>
        <w:spacing w:after="80" w:line="280"/>
      </w:pPr>
      <w:r>
        <w:t xml:space="preserve">Strengths: low cost; minimal disruption to source systems; fast implementation; preserves source system autonomy.</w:t>
      </w:r>
    </w:p>
    <w:p>
      <w:pPr>
        <w:pStyle w:val="ListParagraph"/>
        <w:numPr>
          <w:ilvl w:val="0"/>
          <w:numId w:val="2"/>
        </w:numPr>
        <w:spacing w:after="80" w:line="280"/>
      </w:pPr>
      <w:r>
        <w:t xml:space="preserve">Weaknesses: data quality remains the responsibility of source systems (often inconsistent); data integration still happens at query time (slow, complex); does not solve the problem of master-record duplication and divergence within source systems.</w:t>
      </w:r>
    </w:p>
    <w:p>
      <w:pPr>
        <w:pStyle w:val="Heading2"/>
        <w:spacing w:after="160" w:before="280"/>
      </w:pPr>
      <w:r>
        <w:rPr>
          <w:b/>
          <w:bCs/>
          <w:color w:val="2E75B6"/>
        </w:rPr>
        <w:t xml:space="preserve">4.3 Style 2: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Consolidation MDM Style: </w:t>
            </w:r>
            <w:r>
              <w:t xml:space="preserve">The MDM hub consolidates copies of master data from source systems for reporting and analytical use, but does not push consolidated data back to sources. Source systems remain the systems of record; the hub is read-only. Used principally for analytics, regulatory reporting, and customer 360 views — not for operational data sharing.</w:t>
            </w:r>
          </w:p>
        </w:tc>
      </w:tr>
    </w:tbl>
    <w:p>
      <w:pPr>
        <w:pStyle w:val="Heading3"/>
        <w:spacing w:after="120" w:before="220"/>
      </w:pPr>
      <w:r>
        <w:rPr>
          <w:b/>
          <w:bCs/>
          <w:color w:val="404040"/>
        </w:rPr>
        <w:t xml:space="preserve">How Consolidation Works</w:t>
      </w:r>
    </w:p>
    <w:p>
      <w:pPr>
        <w:spacing w:after="120" w:line="300"/>
        <w:jc w:val="both"/>
      </w:pPr>
      <w:r>
        <w:t xml:space="preserve">Source systems publish master-data updates (typically via change-data-capture or scheduled extracts) to the hub. The hub applies match-merge logic (Section 5) to consolidate records from different sources representing the same real-world entity. Consumers (analytics, reporting, regulatory) read from the hub; source systems are unchanged.</w:t>
      </w:r>
    </w:p>
    <w:p>
      <w:pPr>
        <w:pStyle w:val="Heading3"/>
        <w:spacing w:after="120" w:before="220"/>
      </w:pPr>
      <w:r>
        <w:rPr>
          <w:b/>
          <w:bCs/>
          <w:color w:val="404040"/>
        </w:rPr>
        <w:t xml:space="preserve">Strengths and Weaknesses</w:t>
      </w:r>
    </w:p>
    <w:p>
      <w:pPr>
        <w:pStyle w:val="ListParagraph"/>
        <w:numPr>
          <w:ilvl w:val="0"/>
          <w:numId w:val="2"/>
        </w:numPr>
        <w:spacing w:after="80" w:line="280"/>
      </w:pPr>
      <w:r>
        <w:t xml:space="preserve">Strengths: enables consolidated reporting and analytics; surfaces duplication and inconsistency; relatively low impact on source systems.</w:t>
      </w:r>
    </w:p>
    <w:p>
      <w:pPr>
        <w:pStyle w:val="ListParagraph"/>
        <w:numPr>
          <w:ilvl w:val="0"/>
          <w:numId w:val="2"/>
        </w:numPr>
        <w:spacing w:after="80" w:line="280"/>
      </w:pPr>
      <w:r>
        <w:t xml:space="preserve">Weaknesses: does not improve operational data quality (the hub is read-only); doesn't prevent new duplicates being created in sources; consolidated data may be stale (refresh frequency).</w:t>
      </w:r>
    </w:p>
    <w:p>
      <w:pPr>
        <w:pStyle w:val="Heading2"/>
        <w:spacing w:after="160" w:before="280"/>
      </w:pPr>
      <w:r>
        <w:rPr>
          <w:b/>
          <w:bCs/>
          <w:color w:val="2E75B6"/>
        </w:rPr>
        <w:t xml:space="preserve">4.4 Style 3: Coexistence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Coexistence MDM Style: </w:t>
            </w:r>
            <w:r>
              <w:t xml:space="preserve">The MDM hub consolidates from sources AND publishes consolidated data back to sources. Source systems remain operational systems of record but are kept synchronised with the consolidated view through bidirectional flows. Higher complexity than Consolidation; substantially better operational consistency.</w:t>
            </w:r>
          </w:p>
        </w:tc>
      </w:tr>
    </w:tbl>
    <w:p>
      <w:pPr>
        <w:pStyle w:val="Heading3"/>
        <w:spacing w:after="120" w:before="220"/>
      </w:pPr>
      <w:r>
        <w:rPr>
          <w:b/>
          <w:bCs/>
          <w:color w:val="404040"/>
        </w:rPr>
        <w:t xml:space="preserve">How Coexistence Works</w:t>
      </w:r>
    </w:p>
    <w:p>
      <w:pPr>
        <w:spacing w:after="120" w:line="300"/>
        <w:jc w:val="both"/>
      </w:pPr>
      <w:r>
        <w:t xml:space="preserve">As with Consolidation, the hub consolidates updates from source systems through match-merge logic. Then — the differentiating step — the hub publishes the consolidated values back to source systems, so that each source's local copy converges toward the consolidated view. Source systems still own their primary use of the data, but now share a consistent picture across the enterprise.</w:t>
      </w:r>
    </w:p>
    <w:p>
      <w:pPr>
        <w:pStyle w:val="Heading3"/>
        <w:spacing w:after="120" w:before="220"/>
      </w:pPr>
      <w:r>
        <w:rPr>
          <w:b/>
          <w:bCs/>
          <w:color w:val="404040"/>
        </w:rPr>
        <w:t xml:space="preserve">Strengths and Weaknesses</w:t>
      </w:r>
    </w:p>
    <w:p>
      <w:pPr>
        <w:pStyle w:val="ListParagraph"/>
        <w:numPr>
          <w:ilvl w:val="0"/>
          <w:numId w:val="2"/>
        </w:numPr>
        <w:spacing w:after="80" w:line="280"/>
      </w:pPr>
      <w:r>
        <w:t xml:space="preserve">Strengths: operational consistency across systems; automatic resolution of inconsistencies; improved data quality at sources.</w:t>
      </w:r>
    </w:p>
    <w:p>
      <w:pPr>
        <w:pStyle w:val="ListParagraph"/>
        <w:numPr>
          <w:ilvl w:val="0"/>
          <w:numId w:val="2"/>
        </w:numPr>
        <w:spacing w:after="80" w:line="280"/>
      </w:pPr>
      <w:r>
        <w:t xml:space="preserve">Weaknesses: substantial complexity (bidirectional flows); risk of update loops if not carefully designed; source systems must accept updates from the hub (often requires source-side changes); slower implementation than Consolidation.</w:t>
      </w:r>
    </w:p>
    <w:p>
      <w:pPr>
        <w:pStyle w:val="Heading2"/>
        <w:spacing w:after="160" w:before="280"/>
      </w:pPr>
      <w:r>
        <w:rPr>
          <w:b/>
          <w:bCs/>
          <w:color w:val="2E75B6"/>
        </w:rPr>
        <w:t xml:space="preserve">4.5 Style 4: Centralised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Centralised MDM Style: </w:t>
            </w:r>
            <w:r>
              <w:t xml:space="preserve">The MDM hub is THE system of record for master data. Source systems do not own the data; they consume from the hub. New customer data is created directly in the hub (or in capture-systems that immediately publish to the hub); source systems hold only operational extensions, not the master data itself. Highest effectiveness, highest impact on existing systems, slowest to implement.</w:t>
            </w:r>
          </w:p>
        </w:tc>
      </w:tr>
    </w:tbl>
    <w:p>
      <w:pPr>
        <w:pStyle w:val="Heading3"/>
        <w:spacing w:after="120" w:before="220"/>
      </w:pPr>
      <w:r>
        <w:rPr>
          <w:b/>
          <w:bCs/>
          <w:color w:val="404040"/>
        </w:rPr>
        <w:t xml:space="preserve">How Centralised Works</w:t>
      </w:r>
    </w:p>
    <w:p>
      <w:pPr>
        <w:spacing w:after="120" w:line="300"/>
        <w:jc w:val="both"/>
      </w:pPr>
      <w:r>
        <w:t xml:space="preserve">All master data lives canonically in the MDM hub. Source systems either read from the hub on demand or maintain operational copies that are re-synchronised from the hub regularly. New master data records are created in the hub directly; updates go to the hub first and propagate from there. There is no question about which system has the authoritative version — the hub is, by design.</w:t>
      </w:r>
    </w:p>
    <w:p>
      <w:pPr>
        <w:pStyle w:val="Heading3"/>
        <w:spacing w:after="120" w:before="220"/>
      </w:pPr>
      <w:r>
        <w:rPr>
          <w:b/>
          <w:bCs/>
          <w:color w:val="404040"/>
        </w:rPr>
        <w:t xml:space="preserve">Strengths and Weaknesses</w:t>
      </w:r>
    </w:p>
    <w:p>
      <w:pPr>
        <w:pStyle w:val="ListParagraph"/>
        <w:numPr>
          <w:ilvl w:val="0"/>
          <w:numId w:val="2"/>
        </w:numPr>
        <w:spacing w:after="80" w:line="280"/>
      </w:pPr>
      <w:r>
        <w:t xml:space="preserve">Strengths: definitive authority; full operational consistency; clean governance model; supports customer 360 and regulatory reporting natively.</w:t>
      </w:r>
    </w:p>
    <w:p>
      <w:pPr>
        <w:pStyle w:val="ListParagraph"/>
        <w:numPr>
          <w:ilvl w:val="0"/>
          <w:numId w:val="2"/>
        </w:numPr>
        <w:spacing w:after="80" w:line="280"/>
      </w:pPr>
      <w:r>
        <w:t xml:space="preserve">Weaknesses: highest cost; longest implementation; requires substantial change to source systems; requires high availability of the hub (every operational use depends on it); cultural challenge — source system owners must cede master-data authority.</w:t>
      </w:r>
    </w:p>
    <w:p>
      <w:pPr>
        <w:pStyle w:val="Heading2"/>
        <w:spacing w:after="160" w:before="280"/>
      </w:pPr>
      <w:r>
        <w:rPr>
          <w:b/>
          <w:bCs/>
          <w:color w:val="2E75B6"/>
        </w:rPr>
        <w:t xml:space="preserve">4.6 The Four Styles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700"/>
        <w:gridCol w:w="1500"/>
        <w:gridCol w:w="19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Style</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Hub Role</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Cost / Complexity</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Effectiveness</w:t>
            </w:r>
          </w:p>
        </w:tc>
        <w:tc>
          <w:tcPr>
            <w:tcW w:type="dxa" w:w="1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When Appropriate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Registry</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Identifiers and cross-references only</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Low</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Limited</w:t>
            </w:r>
          </w:p>
        </w:tc>
        <w:tc>
          <w:tcPr>
            <w:tcW w:type="dxa" w:w="1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Quick wins; enabling cross-source queries; analytics-only use cases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Consolidation</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Read-only consolidated copy</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Medium</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Moderate</w:t>
            </w:r>
          </w:p>
        </w:tc>
        <w:tc>
          <w:tcPr>
            <w:tcW w:type="dxa" w:w="1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Reporting, analytics, regulatory, customer 360 views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Coexistence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Bidirectional sync with sources</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High</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High</w:t>
            </w:r>
          </w:p>
        </w:tc>
        <w:tc>
          <w:tcPr>
            <w:tcW w:type="dxa" w:w="1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Operational consistency without rebuilding source systems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Centralised</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System of record; sources consume</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Very high</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Definitive</w:t>
            </w:r>
          </w:p>
        </w:tc>
        <w:tc>
          <w:tcPr>
            <w:tcW w:type="dxa" w:w="1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Greenfield enterprises; major MDM programmes; regulatory imperative</w:t>
            </w:r>
          </w:p>
        </w:tc>
      </w:tr>
    </w:tbl>
    <w:p>
      <w:pPr>
        <w:pStyle w:val="Heading2"/>
        <w:spacing w:after="160" w:before="280"/>
      </w:pPr>
      <w:r>
        <w:rPr>
          <w:b/>
          <w:bCs/>
          <w:color w:val="2E75B6"/>
        </w:rPr>
        <w:t xml:space="preserve">4.7 Choosing a Style</w:t>
      </w:r>
    </w:p>
    <w:p>
      <w:pPr>
        <w:spacing w:after="120" w:line="300"/>
        <w:jc w:val="both"/>
      </w:pPr>
      <w:r>
        <w:t xml:space="preserve">Most enterprises start with Registry or Consolidation (low cost, fast results) and migrate toward Coexistence or Centralised over time as the business case justifies. A common evolution path:</w:t>
      </w:r>
    </w:p>
    <w:p>
      <w:pPr>
        <w:pStyle w:val="ListParagraph"/>
        <w:numPr>
          <w:ilvl w:val="0"/>
          <w:numId w:val="3"/>
        </w:numPr>
        <w:spacing w:after="80" w:line="280"/>
      </w:pPr>
      <w:r>
        <w:t xml:space="preserve">Start with Registry to enable analytics and cross-source queries while learning.</w:t>
      </w:r>
    </w:p>
    <w:p>
      <w:pPr>
        <w:pStyle w:val="ListParagraph"/>
        <w:numPr>
          <w:ilvl w:val="0"/>
          <w:numId w:val="3"/>
        </w:numPr>
        <w:spacing w:after="80" w:line="280"/>
      </w:pPr>
      <w:r>
        <w:t xml:space="preserve">Move to Consolidation as the consolidated view proves valuable and analytics demand grows.</w:t>
      </w:r>
    </w:p>
    <w:p>
      <w:pPr>
        <w:pStyle w:val="ListParagraph"/>
        <w:numPr>
          <w:ilvl w:val="0"/>
          <w:numId w:val="3"/>
        </w:numPr>
        <w:spacing w:after="80" w:line="280"/>
      </w:pPr>
      <w:r>
        <w:t xml:space="preserve">Add Coexistence behaviour for the highest-value entities (typically Customer first) where operational consistency justifies the bidirectional sync.</w:t>
      </w:r>
    </w:p>
    <w:p>
      <w:pPr>
        <w:pStyle w:val="ListParagraph"/>
        <w:numPr>
          <w:ilvl w:val="0"/>
          <w:numId w:val="3"/>
        </w:numPr>
        <w:spacing w:after="80" w:line="280"/>
      </w:pPr>
      <w:r>
        <w:t xml:space="preserve">Move to Centralised for those entities only when the business case is clear and the enterprise has the appetite for the source-system change required.</w:t>
      </w:r>
    </w:p>
    <w:p>
      <w:pPr>
        <w:spacing w:after="120" w:line="300"/>
        <w:jc w:val="both"/>
      </w:pPr>
      <w:r>
        <w:t xml:space="preserve">Most enterprises do not reach pure Centralised across all master data — typical mature state is Coexistence for high-value entities and Consolidation for the rest, with Registry-only behaviour for some lower-value cross-references.</w:t>
      </w:r>
    </w:p>
    <w:p>
      <w:r>
        <w:br w:type="page"/>
      </w:r>
    </w:p>
    <w:p>
      <w:pPr>
        <w:pStyle w:val="Heading1"/>
        <w:spacing w:after="200" w:before="360"/>
      </w:pPr>
      <w:r>
        <w:rPr>
          <w:b/>
          <w:bCs/>
          <w:color w:val="1F4E78"/>
        </w:rPr>
        <w:t xml:space="preserve">5. Match-Merge Logic</w:t>
      </w:r>
    </w:p>
    <w:p>
      <w:pPr>
        <w:spacing w:after="120" w:line="300"/>
        <w:jc w:val="both"/>
      </w:pPr>
      <w:r>
        <w:t xml:space="preserve">The core technical operation in MDM is match-merge: deciding which records from different sources refer to the same real-world entity (matching), and then combining their attributes into a single consolidated record (merging). The decisions are non-trivial because real-world data is messy — names misspelt, addresses formatted differently, dates of birth missing or wrong, IDs different across systems.</w:t>
      </w:r>
    </w:p>
    <w:p>
      <w:pPr>
        <w:pStyle w:val="Heading2"/>
        <w:spacing w:after="160" w:before="280"/>
      </w:pPr>
      <w:r>
        <w:rPr>
          <w:b/>
          <w:bCs/>
          <w:color w:val="2E75B6"/>
        </w:rPr>
        <w:t xml:space="preserve">5.1 The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Match-Merge Approaches: </w:t>
            </w:r>
            <w:r>
              <w:t xml:space="preserve">Three approaches to deciding which records match: (1) Deterministic — exact rules based on key fields (same email AND same date of birth → match); (2) Probabilistic — scoring approaches that produce a confidence score, with thresholds for auto-match and human review; (3) ML-based — machine learning models trained on confirmed match decisions, capable of capturing patterns deterministic and probabilistic approaches miss.</w:t>
            </w:r>
          </w:p>
        </w:tc>
      </w:tr>
    </w:tbl>
    <w:p>
      <w:pPr>
        <w:pStyle w:val="Heading2"/>
        <w:spacing w:after="160" w:before="280"/>
      </w:pPr>
      <w:r>
        <w:rPr>
          <w:b/>
          <w:bCs/>
          <w:color w:val="2E75B6"/>
        </w:rPr>
        <w:t xml:space="preserve">5.2 Deterministic Matching</w:t>
      </w:r>
    </w:p>
    <w:p>
      <w:pPr>
        <w:spacing w:after="120" w:line="300"/>
        <w:jc w:val="both"/>
      </w:pPr>
      <w:r>
        <w:t xml:space="preserve">Deterministic matching uses explicit rules based on key fields: "records match if email and date of birth are identical"; "records match if national insurance number is identical"; "records match if all of (last name, date of birth, postcode) are identical". Either rules match or they don't — no ambiguity, no scoring.</w:t>
      </w:r>
    </w:p>
    <w:p>
      <w:pPr>
        <w:pStyle w:val="Heading3"/>
        <w:spacing w:after="120" w:before="220"/>
      </w:pPr>
      <w:r>
        <w:rPr>
          <w:b/>
          <w:bCs/>
          <w:color w:val="404040"/>
        </w:rPr>
        <w:t xml:space="preserve">Strengths and Weaknesses</w:t>
      </w:r>
    </w:p>
    <w:p>
      <w:pPr>
        <w:pStyle w:val="ListParagraph"/>
        <w:numPr>
          <w:ilvl w:val="0"/>
          <w:numId w:val="2"/>
        </w:numPr>
        <w:spacing w:after="80" w:line="280"/>
      </w:pPr>
      <w:r>
        <w:t xml:space="preserve">Strengths: simple to understand, easy to debug, fast to execute, transparent.</w:t>
      </w:r>
    </w:p>
    <w:p>
      <w:pPr>
        <w:pStyle w:val="ListParagraph"/>
        <w:numPr>
          <w:ilvl w:val="0"/>
          <w:numId w:val="2"/>
        </w:numPr>
        <w:spacing w:after="80" w:line="280"/>
      </w:pPr>
      <w:r>
        <w:t xml:space="preserve">Weaknesses: misses matches where key fields are slightly different (typo in email, different postcode formatting); produces false positives where unrelated people share key fields; brittle to data quality issues.</w:t>
      </w:r>
    </w:p>
    <w:p>
      <w:pPr>
        <w:spacing w:after="120" w:line="300"/>
        <w:jc w:val="both"/>
      </w:pPr>
      <w:r>
        <w:t xml:space="preserve">Deterministic matching works well when the matching key is reliable (national insurance number, customer ID from a previous merger). It works poorly when the keys are user-supplied (names, addresses, emails) and prone to inconsistency.</w:t>
      </w:r>
    </w:p>
    <w:p>
      <w:pPr>
        <w:pStyle w:val="Heading2"/>
        <w:spacing w:after="160" w:before="280"/>
      </w:pPr>
      <w:r>
        <w:rPr>
          <w:b/>
          <w:bCs/>
          <w:color w:val="2E75B6"/>
        </w:rPr>
        <w:t xml:space="preserve">5.3 Probabilistic Matching</w:t>
      </w:r>
    </w:p>
    <w:p>
      <w:pPr>
        <w:spacing w:after="120" w:line="300"/>
        <w:jc w:val="both"/>
      </w:pPr>
      <w:r>
        <w:t xml:space="preserve">Probabilistic matching scores potential matches across many attributes, weighted by their reliability. Two records with identical national insurance numbers score very high (NI numbers are reliable identifiers); two records with similar but not identical names score moderately (names are unreliable); two records with the same date of birth and postcode but different names score depending on the strengths of the other signals.</w:t>
      </w:r>
    </w:p>
    <w:p>
      <w:pPr>
        <w:spacing w:after="120" w:line="300"/>
        <w:jc w:val="both"/>
      </w:pPr>
      <w:r>
        <w:t xml:space="preserve">The composite score is compared against thresholds: above a high threshold, auto-match; below a low threshold, no match; in between, route to human review (a Data Steward decides). Probabilistic matching uses techniques like:</w:t>
      </w:r>
    </w:p>
    <w:p>
      <w:pPr>
        <w:pStyle w:val="ListParagraph"/>
        <w:numPr>
          <w:ilvl w:val="0"/>
          <w:numId w:val="2"/>
        </w:numPr>
        <w:spacing w:after="80" w:line="280"/>
      </w:pPr>
      <w:r>
        <w:t xml:space="preserve">Edit distance (Levenshtein) for names — "Jonathan" and "Johnathan" score close, not identical.</w:t>
      </w:r>
    </w:p>
    <w:p>
      <w:pPr>
        <w:pStyle w:val="ListParagraph"/>
        <w:numPr>
          <w:ilvl w:val="0"/>
          <w:numId w:val="2"/>
        </w:numPr>
        <w:spacing w:after="80" w:line="280"/>
      </w:pPr>
      <w:r>
        <w:t xml:space="preserve">Phonetic matching (Soundex, Metaphone) — "Smith" and "Smyth" sound the same.</w:t>
      </w:r>
    </w:p>
    <w:p>
      <w:pPr>
        <w:pStyle w:val="ListParagraph"/>
        <w:numPr>
          <w:ilvl w:val="0"/>
          <w:numId w:val="2"/>
        </w:numPr>
        <w:spacing w:after="80" w:line="280"/>
      </w:pPr>
      <w:r>
        <w:t xml:space="preserve">Token-based comparison for addresses — "123 Main St" and "123 Main Street" tokenise to similar bags-of-words.</w:t>
      </w:r>
    </w:p>
    <w:p>
      <w:pPr>
        <w:pStyle w:val="ListParagraph"/>
        <w:numPr>
          <w:ilvl w:val="0"/>
          <w:numId w:val="2"/>
        </w:numPr>
        <w:spacing w:after="80" w:line="280"/>
      </w:pPr>
      <w:r>
        <w:t xml:space="preserve">Field reliability weights — fields that are usually correct get higher weights than fields that vary commonly.</w:t>
      </w:r>
    </w:p>
    <w:p>
      <w:pPr>
        <w:pStyle w:val="Heading3"/>
        <w:spacing w:after="120" w:before="220"/>
      </w:pPr>
      <w:r>
        <w:rPr>
          <w:b/>
          <w:bCs/>
          <w:color w:val="404040"/>
        </w:rPr>
        <w:t xml:space="preserve">Strengths and Weaknesses</w:t>
      </w:r>
    </w:p>
    <w:p>
      <w:pPr>
        <w:pStyle w:val="ListParagraph"/>
        <w:numPr>
          <w:ilvl w:val="0"/>
          <w:numId w:val="2"/>
        </w:numPr>
        <w:spacing w:after="80" w:line="280"/>
      </w:pPr>
      <w:r>
        <w:t xml:space="preserve">Strengths: handles real-world data quality issues; produces graduated confidence rather than binary; supports human review for ambiguous cases.</w:t>
      </w:r>
    </w:p>
    <w:p>
      <w:pPr>
        <w:pStyle w:val="ListParagraph"/>
        <w:numPr>
          <w:ilvl w:val="0"/>
          <w:numId w:val="2"/>
        </w:numPr>
        <w:spacing w:after="80" w:line="280"/>
      </w:pPr>
      <w:r>
        <w:t xml:space="preserve">Weaknesses: more complex to design and tune; thresholds need calibration; can produce false positives at the auto-match threshold.</w:t>
      </w:r>
    </w:p>
    <w:p>
      <w:pPr>
        <w:pStyle w:val="Heading2"/>
        <w:spacing w:after="160" w:before="280"/>
      </w:pPr>
      <w:r>
        <w:rPr>
          <w:b/>
          <w:bCs/>
          <w:color w:val="2E75B6"/>
        </w:rPr>
        <w:t xml:space="preserve">5.4 ML-Based Matching</w:t>
      </w:r>
    </w:p>
    <w:p>
      <w:pPr>
        <w:spacing w:after="120" w:line="300"/>
        <w:jc w:val="both"/>
      </w:pPr>
      <w:r>
        <w:t xml:space="preserve">ML-based matching uses machine learning models trained on confirmed match decisions. The model learns patterns that probabilistic matching's hand-tuned weights cannot capture — "customers with this address-format pattern from this source system tend to match this address format from that source" or "records where these specific attribute combinations appear together usually do or don't match".</w:t>
      </w:r>
    </w:p>
    <w:p>
      <w:pPr>
        <w:spacing w:after="120" w:line="300"/>
        <w:jc w:val="both"/>
      </w:pPr>
      <w:r>
        <w:t xml:space="preserve">Modern implementations typically use ML approaches like:</w:t>
      </w:r>
    </w:p>
    <w:p>
      <w:pPr>
        <w:pStyle w:val="ListParagraph"/>
        <w:numPr>
          <w:ilvl w:val="0"/>
          <w:numId w:val="2"/>
        </w:numPr>
        <w:spacing w:after="80" w:line="280"/>
      </w:pPr>
      <w:r>
        <w:t xml:space="preserve">Supervised classification — given a labelled dataset of confirmed matches and non-matches, train a classifier.</w:t>
      </w:r>
    </w:p>
    <w:p>
      <w:pPr>
        <w:pStyle w:val="ListParagraph"/>
        <w:numPr>
          <w:ilvl w:val="0"/>
          <w:numId w:val="2"/>
        </w:numPr>
        <w:spacing w:after="80" w:line="280"/>
      </w:pPr>
      <w:r>
        <w:t xml:space="preserve">Embedding-based approaches — encode records as vectors and use vector similarity for matching.</w:t>
      </w:r>
    </w:p>
    <w:p>
      <w:pPr>
        <w:pStyle w:val="ListParagraph"/>
        <w:numPr>
          <w:ilvl w:val="0"/>
          <w:numId w:val="2"/>
        </w:numPr>
        <w:spacing w:after="80" w:line="280"/>
      </w:pPr>
      <w:r>
        <w:t xml:space="preserve">Active learning — the model identifies uncertain cases and asks Data Stewards for confirmation, learning from each decision.</w:t>
      </w:r>
    </w:p>
    <w:p>
      <w:pPr>
        <w:pStyle w:val="Heading3"/>
        <w:spacing w:after="120" w:before="220"/>
      </w:pPr>
      <w:r>
        <w:rPr>
          <w:b/>
          <w:bCs/>
          <w:color w:val="404040"/>
        </w:rPr>
        <w:t xml:space="preserve">Strengths and Weaknesses</w:t>
      </w:r>
    </w:p>
    <w:p>
      <w:pPr>
        <w:pStyle w:val="ListParagraph"/>
        <w:numPr>
          <w:ilvl w:val="0"/>
          <w:numId w:val="2"/>
        </w:numPr>
        <w:spacing w:after="80" w:line="280"/>
      </w:pPr>
      <w:r>
        <w:t xml:space="preserve">Strengths: handles complex patterns; improves over time as more decisions are confirmed; can outperform probabilistic in difficult domains.</w:t>
      </w:r>
    </w:p>
    <w:p>
      <w:pPr>
        <w:pStyle w:val="ListParagraph"/>
        <w:numPr>
          <w:ilvl w:val="0"/>
          <w:numId w:val="2"/>
        </w:numPr>
        <w:spacing w:after="80" w:line="280"/>
      </w:pPr>
      <w:r>
        <w:t xml:space="preserve">Weaknesses: needs labelled training data; harder to explain to regulators ("the model said so"); requires MLOps infrastructure (Module 20); risk of bias if training data is biased.</w:t>
      </w:r>
    </w:p>
    <w:p>
      <w:pPr>
        <w:pStyle w:val="Heading2"/>
        <w:spacing w:after="160" w:before="280"/>
      </w:pPr>
      <w:r>
        <w:rPr>
          <w:b/>
          <w:bCs/>
          <w:color w:val="2E75B6"/>
        </w:rPr>
        <w:t xml:space="preserve">5.5 The Three Approaches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400"/>
        <w:gridCol w:w="17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Approach</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Mechanism</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Strengths</w:t>
            </w:r>
          </w:p>
        </w:tc>
        <w:tc>
          <w:tcPr>
            <w:tcW w:type="dxa" w:w="1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Weaknesses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Deterministic</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Explicit rules; binary match/no-match</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Simple, transparent, fast</w:t>
            </w:r>
          </w:p>
        </w:tc>
        <w:tc>
          <w:tcPr>
            <w:tcW w:type="dxa" w:w="1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Misses near-matches; brittle to data quality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Probabilistic</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Weighted scoring; thresholds; human review</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Handles real-world messiness; graduated confidence</w:t>
            </w:r>
          </w:p>
        </w:tc>
        <w:tc>
          <w:tcPr>
            <w:tcW w:type="dxa" w:w="1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Complex to design and tune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ML-based</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Models trained on confirmed decisions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Captures complex patterns; improves over time</w:t>
            </w:r>
          </w:p>
        </w:tc>
        <w:tc>
          <w:tcPr>
            <w:tcW w:type="dxa" w:w="1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Needs training data; explainability concerns</w:t>
            </w:r>
          </w:p>
        </w:tc>
      </w:tr>
    </w:tbl>
    <w:p>
      <w:pPr>
        <w:pStyle w:val="Heading2"/>
        <w:spacing w:after="160" w:before="280"/>
      </w:pPr>
      <w:r>
        <w:rPr>
          <w:b/>
          <w:bCs/>
          <w:color w:val="2E75B6"/>
        </w:rPr>
        <w:t xml:space="preserve">5.6 Survivorship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Survivorship Rules: </w:t>
            </w:r>
            <w:r>
              <w:t xml:space="preserve">After matching identifies that several records refer to the same entity, survivorship rules determine which source's value 'wins' for each attribute when the values disagree. Rules can be source-priority (prefer source X over source Y), recency (prefer the most recent), completeness (prefer the most complete), authority (prefer the system with formal authority for this attribute), or hybrid combinations. Without survivorship rules, merge logic cannot deterministically produce a consolidated record.</w:t>
            </w:r>
          </w:p>
        </w:tc>
      </w:tr>
    </w:tbl>
    <w:p>
      <w:pPr>
        <w:pStyle w:val="Heading2"/>
        <w:spacing w:after="160" w:before="280"/>
      </w:pPr>
      <w:r>
        <w:rPr>
          <w:b/>
          <w:bCs/>
          <w:color w:val="2E75B6"/>
        </w:rPr>
        <w:t xml:space="preserve">5.7 Survivorship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Survivorship Rules at Acme Bank</w:t>
            </w:r>
          </w:p>
          <w:p>
            <w:pPr>
              <w:spacing w:after="60" w:line="280"/>
              <w:jc w:val="both"/>
            </w:pPr>
            <w:r>
              <w:t xml:space="preserve">Setting: a Coexistence-style MDM hub consolidates customer data from CRM, the legacy core banking system, the mobile app's user database, and the regulatory reporting platform.</w:t>
            </w:r>
          </w:p>
          <w:p>
            <w:pPr>
              <w:spacing w:after="60" w:line="280"/>
              <w:jc w:val="both"/>
            </w:pPr>
            <w:r>
              <w:t xml:space="preserve">For each attribute, a survivorship rule determines which source wins when sources disagree:</w:t>
            </w:r>
          </w:p>
          <w:p>
            <w:pPr>
              <w:spacing w:after="60" w:line="280"/>
              <w:jc w:val="both"/>
            </w:pPr>
            <w:r>
              <w:t xml:space="preserve">  Email Address: most-recent wins (customers update email frequently; the most recent update is most likely correct).</w:t>
            </w:r>
          </w:p>
          <w:p>
            <w:pPr>
              <w:spacing w:after="60" w:line="280"/>
              <w:jc w:val="both"/>
            </w:pPr>
            <w:r>
              <w:t xml:space="preserve">  Date of Birth: source-priority wins, with the regulatory reporting platform highest priority (it requires verified DOB for KYC), then CRM, then mobile app, then legacy core banking.</w:t>
            </w:r>
          </w:p>
          <w:p>
            <w:pPr>
              <w:spacing w:after="60" w:line="280"/>
              <w:jc w:val="both"/>
            </w:pPr>
            <w:r>
              <w:t xml:space="preserve">  Phone Number: most-recent wins (similar to email).</w:t>
            </w:r>
          </w:p>
          <w:p>
            <w:pPr>
              <w:spacing w:after="60" w:line="280"/>
              <w:jc w:val="both"/>
            </w:pPr>
            <w:r>
              <w:t xml:space="preserve">  Address: source-priority with CRM highest (CRM gets the most rigorous address validation), then regulatory, then mobile, then legacy.</w:t>
            </w:r>
          </w:p>
          <w:p>
            <w:pPr>
              <w:spacing w:after="60" w:line="280"/>
              <w:jc w:val="both"/>
            </w:pPr>
            <w:r>
              <w:t xml:space="preserve">  Customer Risk Score: regulatory reporting platform wins (it is the only source authoritative for this attribute).</w:t>
            </w:r>
          </w:p>
          <w:p>
            <w:pPr>
              <w:spacing w:after="60" w:line="280"/>
              <w:jc w:val="both"/>
            </w:pPr>
            <w:r>
              <w:t xml:space="preserve">  Customer Segment: CRM wins (CRM is the system that owns segmentation logic).</w:t>
            </w:r>
          </w:p>
          <w:p>
            <w:pPr>
              <w:spacing w:after="60" w:line="280"/>
              <w:jc w:val="both"/>
            </w:pPr>
            <w:r>
              <w:t xml:space="preserve">Each attribute has a documented survivorship rule. The MDM hub applies the rules deterministically; the resulting consolidated record is auditable (which source's value won and why); Data Stewards can review individual cases where the rules produced unexpected outcomes.</w:t>
            </w:r>
          </w:p>
        </w:tc>
      </w:tr>
    </w:tbl>
    <w:p>
      <w:r>
        <w:br w:type="page"/>
      </w:r>
    </w:p>
    <w:p>
      <w:pPr>
        <w:pStyle w:val="Heading1"/>
        <w:spacing w:after="200" w:before="360"/>
      </w:pPr>
      <w:r>
        <w:rPr>
          <w:b/>
          <w:bCs/>
          <w:color w:val="1F4E78"/>
        </w:rPr>
        <w:t xml:space="preserve">6. The Four Information Ownership Roles</w:t>
      </w:r>
    </w:p>
    <w:p>
      <w:pPr>
        <w:spacing w:after="120" w:line="300"/>
        <w:jc w:val="both"/>
      </w:pPr>
      <w:r>
        <w:t xml:space="preserve">Effective Information Architecture requires clear accountability for each information element. The Series Guide identifies four standard ownership roles, each with distinct responsibility. Memorising the four is exam-relevant; clarifying who plays each role per element is operational discipline.</w:t>
      </w:r>
    </w:p>
    <w:p>
      <w:pPr>
        <w:pStyle w:val="Heading2"/>
        <w:spacing w:after="160" w:before="280"/>
      </w:pPr>
      <w:r>
        <w:rPr>
          <w:b/>
          <w:bCs/>
          <w:color w:val="2E75B6"/>
        </w:rPr>
        <w:t xml:space="preserve">6.1 The Four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Four Information Ownership Roles: </w:t>
            </w:r>
            <w:r>
              <w:t xml:space="preserve">(1) Owner — accountable executive; (2) Steward — operational responsibility for quality and lifecycle; (3) Custodian — technical responsibility for storage and access; (4) Consumer — uses the information without owning it. Together the four cover the full ownership spectrum from accountability through operations to consumption.</w:t>
            </w:r>
          </w:p>
        </w:tc>
      </w:tr>
    </w:tbl>
    <w:p>
      <w:pPr>
        <w:pStyle w:val="Heading2"/>
        <w:spacing w:after="160" w:before="280"/>
      </w:pPr>
      <w:r>
        <w:rPr>
          <w:b/>
          <w:bCs/>
          <w:color w:val="2E75B6"/>
        </w:rPr>
        <w:t xml:space="preserve">6.2 Each Role Defined</w:t>
      </w:r>
    </w:p>
    <w:p>
      <w:pPr>
        <w:pStyle w:val="Heading3"/>
        <w:spacing w:after="120" w:before="220"/>
      </w:pPr>
      <w:r>
        <w:rPr>
          <w:b/>
          <w:bCs/>
          <w:color w:val="404040"/>
        </w:rPr>
        <w:t xml:space="preserve">Role 1: Owner</w:t>
      </w:r>
    </w:p>
    <w:p>
      <w:pPr>
        <w:spacing w:after="120" w:line="300"/>
        <w:jc w:val="both"/>
      </w:pPr>
      <w:r>
        <w:t xml:space="preserve">The accountable executive — the person who is ultimately answerable for the information's quality, governance, and use. Owners are typically senior business executives (Head of Customer Data, Chief Data Officer, Head of Risk Data). Their accountability is for outcomes, not operations. They sign off on data classification, approve significant data initiatives, are accountable to regulators when things go wrong.</w:t>
      </w:r>
    </w:p>
    <w:p>
      <w:pPr>
        <w:pStyle w:val="Heading3"/>
        <w:spacing w:after="120" w:before="220"/>
      </w:pPr>
      <w:r>
        <w:rPr>
          <w:b/>
          <w:bCs/>
          <w:color w:val="404040"/>
        </w:rPr>
        <w:t xml:space="preserve">Role 2: Steward</w:t>
      </w:r>
    </w:p>
    <w:p>
      <w:pPr>
        <w:spacing w:after="120" w:line="300"/>
        <w:jc w:val="both"/>
      </w:pPr>
      <w:r>
        <w:t xml:space="preserve">The operational responsible — the person who performs the day-to-day governance of the information. Stewards typically sit one or two levels below the Owner and have data-governance as a substantial part of their role. Responsibilities: monitoring data quality; addressing exceptions; leading data quality improvement initiatives; managing the information element's lifecycle; engaging with consuming systems; participating in Data Quality reviews.</w:t>
      </w:r>
    </w:p>
    <w:p>
      <w:pPr>
        <w:pStyle w:val="Heading3"/>
        <w:spacing w:after="120" w:before="220"/>
      </w:pPr>
      <w:r>
        <w:rPr>
          <w:b/>
          <w:bCs/>
          <w:color w:val="404040"/>
        </w:rPr>
        <w:t xml:space="preserve">Role 3: Custodian</w:t>
      </w:r>
    </w:p>
    <w:p>
      <w:pPr>
        <w:spacing w:after="120" w:line="300"/>
        <w:jc w:val="both"/>
      </w:pPr>
      <w:r>
        <w:t xml:space="preserve">The technical responsible — the person or team that actually stores, processes, and provides access to the data. Custodians are typically the IT teams operating the systems where the data lives — the Customer Master Data Hub team, the data warehouse team, the analytics platform team. Responsibilities: storage; security controls; backup and recovery; access enforcement; technical performance.</w:t>
      </w:r>
    </w:p>
    <w:p>
      <w:pPr>
        <w:pStyle w:val="Heading3"/>
        <w:spacing w:after="120" w:before="220"/>
      </w:pPr>
      <w:r>
        <w:rPr>
          <w:b/>
          <w:bCs/>
          <w:color w:val="404040"/>
        </w:rPr>
        <w:t xml:space="preserve">Role 4: Consumer</w:t>
      </w:r>
    </w:p>
    <w:p>
      <w:pPr>
        <w:spacing w:after="120" w:line="300"/>
        <w:jc w:val="both"/>
      </w:pPr>
      <w:r>
        <w:t xml:space="preserve">The user — the role that consumes the information without owning, governing, or hosting it. Consumers include applications that read data, analysts who query it, and downstream systems that process it. Consumers have responsibilities (use within authorised purposes, report quality issues, comply with classification controls) but do not own the data.</w:t>
      </w:r>
    </w:p>
    <w:p>
      <w:pPr>
        <w:pStyle w:val="Heading2"/>
        <w:spacing w:after="160" w:before="280"/>
      </w:pPr>
      <w:r>
        <w:rPr>
          <w:b/>
          <w:bCs/>
          <w:color w:val="2E75B6"/>
        </w:rPr>
        <w:t xml:space="preserve">6.3 The Four Roles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700"/>
        <w:gridCol w:w="21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Role</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Responsibility</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Title</w:t>
            </w:r>
          </w:p>
        </w:tc>
        <w:tc>
          <w:tcPr>
            <w:tcW w:type="dxa" w:w="2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Accountability Type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Owner</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Accountable for outcomes, quality, governance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Head of Customer Data; CDO; Head of Risk Data</w:t>
            </w:r>
          </w:p>
        </w:tc>
        <w:tc>
          <w:tcPr>
            <w:tcW w:type="dxa" w:w="2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Executive accountability</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Steward</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Operational governance day-to-day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Senior Data Steward, Customer Data Team</w:t>
            </w:r>
          </w:p>
        </w:tc>
        <w:tc>
          <w:tcPr>
            <w:tcW w:type="dxa" w:w="2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Operational responsibility</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Custodian</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Technical storage, security, access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Customer MDM Platform Team; Data Warehouse Team</w:t>
            </w:r>
          </w:p>
        </w:tc>
        <w:tc>
          <w:tcPr>
            <w:tcW w:type="dxa" w:w="2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Technical responsibility</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Consumer</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Uses information within authorised purposes</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 teams; analysts; downstream systems</w:t>
            </w:r>
          </w:p>
        </w:tc>
        <w:tc>
          <w:tcPr>
            <w:tcW w:type="dxa" w:w="2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Use responsibility</w:t>
            </w:r>
          </w:p>
        </w:tc>
      </w:tr>
    </w:tbl>
    <w:p>
      <w:pPr>
        <w:pStyle w:val="Heading2"/>
        <w:spacing w:after="160" w:before="280"/>
      </w:pPr>
      <w:r>
        <w:rPr>
          <w:b/>
          <w:bCs/>
          <w:color w:val="2E75B6"/>
        </w:rPr>
        <w:t xml:space="preserve">6.4 Why Four Distinct Roles</w:t>
      </w:r>
    </w:p>
    <w:p>
      <w:pPr>
        <w:spacing w:after="120" w:line="300"/>
        <w:jc w:val="both"/>
      </w:pPr>
      <w:r>
        <w:t xml:space="preserve">Three reasons the roles are kept distinct:</w:t>
      </w:r>
    </w:p>
    <w:p>
      <w:pPr>
        <w:pStyle w:val="ListParagraph"/>
        <w:numPr>
          <w:ilvl w:val="0"/>
          <w:numId w:val="3"/>
        </w:numPr>
        <w:spacing w:after="80" w:line="280"/>
      </w:pPr>
      <w:r>
        <w:t xml:space="preserve">Different timescales. Owners operate at executive timescales (months, quarters, regulatory cycles). Stewards operate at operational timescales (daily, weekly). Custodians operate at technical timescales (real-time, hourly). Consumers operate at use timescales (per-query, per-batch). Conflating the roles confuses the timescales.</w:t>
      </w:r>
    </w:p>
    <w:p>
      <w:pPr>
        <w:pStyle w:val="ListParagraph"/>
        <w:numPr>
          <w:ilvl w:val="0"/>
          <w:numId w:val="3"/>
        </w:numPr>
        <w:spacing w:after="80" w:line="280"/>
      </w:pPr>
      <w:r>
        <w:t xml:space="preserve">Different skills. Executive accountability requires business and political skills. Operational stewardship requires data-quality and process skills. Technical custodianship requires platform engineering and security skills. Different people, different skills.</w:t>
      </w:r>
    </w:p>
    <w:p>
      <w:pPr>
        <w:pStyle w:val="ListParagraph"/>
        <w:numPr>
          <w:ilvl w:val="0"/>
          <w:numId w:val="3"/>
        </w:numPr>
        <w:spacing w:after="80" w:line="280"/>
      </w:pPr>
      <w:r>
        <w:t xml:space="preserve">Different escalation paths. A data quality issue surfaced by a Consumer is reported to the Steward; if the Steward cannot resolve it, escalated to the Owner; if the Owner needs technical change, requested of the Custodian. The role separation makes the escalation paths clear.</w:t>
      </w:r>
    </w:p>
    <w:p>
      <w:r>
        <w:br w:type="page"/>
      </w:r>
    </w:p>
    <w:p>
      <w:pPr>
        <w:pStyle w:val="Heading1"/>
        <w:spacing w:after="200" w:before="360"/>
      </w:pPr>
      <w:r>
        <w:rPr>
          <w:b/>
          <w:bCs/>
          <w:color w:val="1F4E78"/>
        </w:rPr>
        <w:t xml:space="preserve">7. Customer 360 Architecture</w:t>
      </w:r>
    </w:p>
    <w:p>
      <w:pPr>
        <w:spacing w:after="120" w:line="300"/>
        <w:jc w:val="both"/>
      </w:pPr>
      <w:r>
        <w:t xml:space="preserve">Customer 360 — sometimes "Single View of Customer" — is the architectural pattern providing a unified view of each customer across all systems and interactions. It is one of the most-requested architecture outcomes in modern enterprises and one of the most consistently underdelivered, because the architectural complexity is greater than business stakeholders typically anticipate. The Series Guide treats Customer 360 as a recurring reference architecture.</w:t>
      </w:r>
    </w:p>
    <w:p>
      <w:pPr>
        <w:pStyle w:val="Heading2"/>
        <w:spacing w:after="160" w:before="280"/>
      </w:pPr>
      <w:r>
        <w:rPr>
          <w:b/>
          <w:bCs/>
          <w:color w:val="2E75B6"/>
        </w:rPr>
        <w:t xml:space="preserve">7.1 What Customer 360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Customer 360: </w:t>
            </w:r>
            <w:r>
              <w:t xml:space="preserve">A unified view of each customer across all systems and interactions of the enterprise — relationship history, interactions, transactions, preferences, segments, risk indicators, consents. Aggregates from many source systems through MDM (Section 4) and the modern data platform (Module 20). Provides one consistent view to operational systems (real-time use cases), analytical systems (insight), and customers themselves (transparency, data subject rights).</w:t>
            </w:r>
          </w:p>
        </w:tc>
      </w:tr>
    </w:tbl>
    <w:p>
      <w:pPr>
        <w:pStyle w:val="Heading2"/>
        <w:spacing w:after="160" w:before="280"/>
      </w:pPr>
      <w:r>
        <w:rPr>
          <w:b/>
          <w:bCs/>
          <w:color w:val="2E75B6"/>
        </w:rPr>
        <w:t xml:space="preserve">7.2 Components of a Customer 360 Architecture</w:t>
      </w:r>
    </w:p>
    <w:p>
      <w:pPr>
        <w:spacing w:after="120" w:line="300"/>
        <w:jc w:val="both"/>
      </w:pPr>
      <w:r>
        <w:t xml:space="preserve">A complete Customer 360 architecture typically comprises:</w:t>
      </w:r>
    </w:p>
    <w:p>
      <w:pPr>
        <w:pStyle w:val="ListParagraph"/>
        <w:numPr>
          <w:ilvl w:val="0"/>
          <w:numId w:val="2"/>
        </w:numPr>
        <w:spacing w:after="80" w:line="280"/>
      </w:pPr>
      <w:r>
        <w:t xml:space="preserve">MDM hub holding consolidated customer master data (Section 4 — typically Coexistence or Centralised style for high-value Customer data).</w:t>
      </w:r>
    </w:p>
    <w:p>
      <w:pPr>
        <w:pStyle w:val="ListParagraph"/>
        <w:numPr>
          <w:ilvl w:val="0"/>
          <w:numId w:val="2"/>
        </w:numPr>
        <w:spacing w:after="80" w:line="280"/>
      </w:pPr>
      <w:r>
        <w:t xml:space="preserve">Event streams capturing customer interactions in real time (web sessions, mobile app activity, branch interactions, contact-centre calls).</w:t>
      </w:r>
    </w:p>
    <w:p>
      <w:pPr>
        <w:pStyle w:val="ListParagraph"/>
        <w:numPr>
          <w:ilvl w:val="0"/>
          <w:numId w:val="2"/>
        </w:numPr>
        <w:spacing w:after="80" w:line="280"/>
      </w:pPr>
      <w:r>
        <w:t xml:space="preserve">Modern data platform (Module 20) providing analytical depth — historical interactions, derived attributes, predictive scores.</w:t>
      </w:r>
    </w:p>
    <w:p>
      <w:pPr>
        <w:pStyle w:val="ListParagraph"/>
        <w:numPr>
          <w:ilvl w:val="0"/>
          <w:numId w:val="2"/>
        </w:numPr>
        <w:spacing w:after="80" w:line="280"/>
      </w:pPr>
      <w:r>
        <w:t xml:space="preserve">Customer-facing experience layer (the bank's mobile app, web banking) showing the customer their own 360 view — transparency.</w:t>
      </w:r>
    </w:p>
    <w:p>
      <w:pPr>
        <w:pStyle w:val="ListParagraph"/>
        <w:numPr>
          <w:ilvl w:val="0"/>
          <w:numId w:val="2"/>
        </w:numPr>
        <w:spacing w:after="80" w:line="280"/>
      </w:pPr>
      <w:r>
        <w:t xml:space="preserve">Operational use APIs for the contact centre, branch staff, fraud screening systems, marketing automation.</w:t>
      </w:r>
    </w:p>
    <w:p>
      <w:pPr>
        <w:pStyle w:val="ListParagraph"/>
        <w:numPr>
          <w:ilvl w:val="0"/>
          <w:numId w:val="2"/>
        </w:numPr>
        <w:spacing w:after="80" w:line="280"/>
      </w:pPr>
      <w:r>
        <w:t xml:space="preserve">Privacy and consent infrastructure — covered below as the non-negotiable architectural component.</w:t>
      </w:r>
    </w:p>
    <w:p>
      <w:pPr>
        <w:pStyle w:val="Heading2"/>
        <w:spacing w:after="160" w:before="280"/>
      </w:pPr>
      <w:r>
        <w:rPr>
          <w:b/>
          <w:bCs/>
          <w:color w:val="2E75B6"/>
        </w:rPr>
        <w:t xml:space="preserve">7.3 Consent Infrastructure — Non-Negotiable</w:t>
      </w:r>
    </w:p>
    <w:p>
      <w:pPr>
        <w:spacing w:after="120" w:line="300"/>
        <w:jc w:val="both"/>
      </w:pPr>
      <w:r>
        <w:t xml:space="preserve">The single most important architectural element of modern Customer 360 is consent infrastructure. Without it, the entire architecture is non-compliant with modern privacy regulation (GDPR, CCPA, sector-specific privacy regimes). The Series Guide treats consent infrastructure as non-negotiable in any Customer 360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Consent Infrastructure: </w:t>
            </w:r>
            <w:r>
              <w:t xml:space="preserve">The architectural component that captures, stores, enforces, and audits customer consent for use of their personal data. Each use of personal data is checked against the consent record before proceeding; uses without valid consent are blocked. The infrastructure must support consent capture (during onboarding and throughout the relationship), consent withdrawal (immediately effective), purpose-specific consent (consent for marketing is distinct from consent for analytics), and consent audit (proof of consent at any past time). Required by GDPR, CCPA, and most sector privacy regimes; non-negotiable for any modern Customer 360 architecture.</w:t>
            </w:r>
          </w:p>
        </w:tc>
      </w:tr>
    </w:tbl>
    <w:p>
      <w:pPr>
        <w:pStyle w:val="Heading2"/>
        <w:spacing w:after="160" w:before="280"/>
      </w:pPr>
      <w:r>
        <w:rPr>
          <w:b/>
          <w:bCs/>
          <w:color w:val="2E75B6"/>
        </w:rPr>
        <w:t xml:space="preserve">7.4 Consent Infrastructure Components</w:t>
      </w:r>
    </w:p>
    <w:p>
      <w:pPr>
        <w:pStyle w:val="ListParagraph"/>
        <w:numPr>
          <w:ilvl w:val="0"/>
          <w:numId w:val="2"/>
        </w:numPr>
        <w:spacing w:after="80" w:line="280"/>
      </w:pPr>
      <w:r>
        <w:t xml:space="preserve">Consent capture interfaces — UIs and APIs through which customers express consent.</w:t>
      </w:r>
    </w:p>
    <w:p>
      <w:pPr>
        <w:pStyle w:val="ListParagraph"/>
        <w:numPr>
          <w:ilvl w:val="0"/>
          <w:numId w:val="2"/>
        </w:numPr>
        <w:spacing w:after="80" w:line="280"/>
      </w:pPr>
      <w:r>
        <w:t xml:space="preserve">Consent store — durable record of consents granted and withdrawn, with timestamps and audit trails.</w:t>
      </w:r>
    </w:p>
    <w:p>
      <w:pPr>
        <w:pStyle w:val="ListParagraph"/>
        <w:numPr>
          <w:ilvl w:val="0"/>
          <w:numId w:val="2"/>
        </w:numPr>
        <w:spacing w:after="80" w:line="280"/>
      </w:pPr>
      <w:r>
        <w:t xml:space="preserve">Consent enforcement layer — checks every data use against the consent store; blocks unauthorised uses.</w:t>
      </w:r>
    </w:p>
    <w:p>
      <w:pPr>
        <w:pStyle w:val="ListParagraph"/>
        <w:numPr>
          <w:ilvl w:val="0"/>
          <w:numId w:val="2"/>
        </w:numPr>
        <w:spacing w:after="80" w:line="280"/>
      </w:pPr>
      <w:r>
        <w:t xml:space="preserve">Consent change notification — when consent is withdrawn, propagates the withdrawal to consuming systems immediately.</w:t>
      </w:r>
    </w:p>
    <w:p>
      <w:pPr>
        <w:pStyle w:val="ListParagraph"/>
        <w:numPr>
          <w:ilvl w:val="0"/>
          <w:numId w:val="2"/>
        </w:numPr>
        <w:spacing w:after="80" w:line="280"/>
      </w:pPr>
      <w:r>
        <w:t xml:space="preserve">Consent audit — supports regulatory inquiries ("prove that this customer consented to this use on this date").</w:t>
      </w:r>
    </w:p>
    <w:p>
      <w:pPr>
        <w:pStyle w:val="ListParagraph"/>
        <w:numPr>
          <w:ilvl w:val="0"/>
          <w:numId w:val="2"/>
        </w:numPr>
        <w:spacing w:after="80" w:line="280"/>
      </w:pPr>
      <w:r>
        <w:t xml:space="preserve">Customer-visible consent management — customer-facing UI showing what consents are active and allowing changes.</w:t>
      </w:r>
    </w:p>
    <w:p>
      <w:pPr>
        <w:pStyle w:val="Heading2"/>
        <w:spacing w:after="160" w:before="280"/>
      </w:pPr>
      <w:r>
        <w:rPr>
          <w:b/>
          <w:bCs/>
          <w:color w:val="2E75B6"/>
        </w:rPr>
        <w:t xml:space="preserve">7.5 Why Consent Cannot Be an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Consent as Afterthought — The Most Common Failure Mode</w:t>
            </w:r>
          </w:p>
          <w:p>
            <w:pPr>
              <w:spacing w:after="60" w:line="280"/>
              <w:jc w:val="both"/>
            </w:pPr>
            <w:r>
              <w:t xml:space="preserve">A Customer 360 architecture designed without consent infrastructure as a foundational component fails compliance review and produces regulatory exposure that surprises everyone except the privacy lawyers who flagged it months earlier.</w:t>
            </w:r>
          </w:p>
          <w:p>
            <w:pPr>
              <w:spacing w:after="60" w:line="280"/>
              <w:jc w:val="both"/>
            </w:pPr>
            <w:r>
              <w:t xml:space="preserve">Common failure pattern: Customer 360 architecture is designed assuming consent will be 'added later'; the consolidated customer data is built and connected to consuming systems; only at compliance review does the absence of enforceable consent surface; remediation is expensive (every consuming system must be retrofitted with consent checks).</w:t>
            </w:r>
          </w:p>
          <w:p>
            <w:pPr>
              <w:spacing w:after="60" w:line="280"/>
              <w:jc w:val="both"/>
            </w:pPr>
            <w:r>
              <w:t xml:space="preserve">Cure: design consent infrastructure as a foundational component from Phase B. Treat unauthorised data use as architecturally prevented, not just policy-prevented. Make consent enforcement automatic and unavoidable in the architecture — not a thing each consuming team has to remember to do.</w:t>
            </w:r>
          </w:p>
        </w:tc>
      </w:tr>
    </w:tbl>
    <w:p>
      <w:r>
        <w:br w:type="page"/>
      </w:r>
    </w:p>
    <w:p>
      <w:pPr>
        <w:pStyle w:val="Heading1"/>
        <w:spacing w:after="200" w:before="360"/>
      </w:pPr>
      <w:r>
        <w:rPr>
          <w:b/>
          <w:bCs/>
          <w:color w:val="1F4E78"/>
        </w:rPr>
        <w:t xml:space="preserve">8. Privacy by Design</w:t>
      </w:r>
    </w:p>
    <w:p>
      <w:pPr>
        <w:spacing w:after="120" w:line="300"/>
        <w:jc w:val="both"/>
      </w:pPr>
      <w:r>
        <w:t xml:space="preserve">Privacy by Design is the principle that privacy protection is built into systems from inception rather than added later. It is the regulatory expectation under GDPR (Article 25 — "data protection by design and by default") and increasingly under other privacy regimes globally. Four named techniques recur and are exam-relevant by name.</w:t>
      </w:r>
    </w:p>
    <w:p>
      <w:pPr>
        <w:pStyle w:val="Heading2"/>
        <w:spacing w:after="160" w:before="280"/>
      </w:pPr>
      <w:r>
        <w:rPr>
          <w:b/>
          <w:bCs/>
          <w:color w:val="2E75B6"/>
        </w:rPr>
        <w:t xml:space="preserve">8.1 The Four Principal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Privacy by Design — Four Principal Techniques: </w:t>
            </w:r>
            <w:r>
              <w:t xml:space="preserve">(1) Pseudonymisation — replace direct identifiers with pseudonyms while preserving analytical utility; (2) Purpose limitation — collect data only for specified purposes and use only for those purposes; (3) Data minimisation — collect only what is needed; dispose when no longer needed; (4) Right to erasure — support customer requests for data deletion subject to lawful retention obligations.</w:t>
            </w:r>
          </w:p>
        </w:tc>
      </w:tr>
    </w:tbl>
    <w:p>
      <w:pPr>
        <w:pStyle w:val="Heading2"/>
        <w:spacing w:after="160" w:before="280"/>
      </w:pPr>
      <w:r>
        <w:rPr>
          <w:b/>
          <w:bCs/>
          <w:color w:val="2E75B6"/>
        </w:rPr>
        <w:t xml:space="preserve">8.2 Pseudonymisation</w:t>
      </w:r>
    </w:p>
    <w:p>
      <w:pPr>
        <w:spacing w:after="120" w:line="300"/>
        <w:jc w:val="both"/>
      </w:pPr>
      <w:r>
        <w:t xml:space="preserve">Pseudonymisation replaces direct identifiers (name, ID number, email) with pseudonyms (random tokens, hashed values, encrypted references) while preserving the ability to perform analytical work that does not require direct identification.</w:t>
      </w:r>
    </w:p>
    <w:p>
      <w:pPr>
        <w:spacing w:after="120" w:line="300"/>
        <w:jc w:val="both"/>
      </w:pPr>
      <w:r>
        <w:t xml:space="preserve">Key properties:</w:t>
      </w:r>
    </w:p>
    <w:p>
      <w:pPr>
        <w:pStyle w:val="ListParagraph"/>
        <w:numPr>
          <w:ilvl w:val="0"/>
          <w:numId w:val="2"/>
        </w:numPr>
        <w:spacing w:after="80" w:line="280"/>
      </w:pPr>
      <w:r>
        <w:t xml:space="preserve">Reversible — the original identifier can be recovered through controlled access to the pseudonymisation mapping (distinguishes pseudonymisation from anonymisation, which is irreversible).</w:t>
      </w:r>
    </w:p>
    <w:p>
      <w:pPr>
        <w:pStyle w:val="ListParagraph"/>
        <w:numPr>
          <w:ilvl w:val="0"/>
          <w:numId w:val="2"/>
        </w:numPr>
        <w:spacing w:after="80" w:line="280"/>
      </w:pPr>
      <w:r>
        <w:t xml:space="preserve">Preserves utility — the same customer's records can be linked across systems through their pseudonym, so analysis can group records by customer without knowing customer identity.</w:t>
      </w:r>
    </w:p>
    <w:p>
      <w:pPr>
        <w:pStyle w:val="ListParagraph"/>
        <w:numPr>
          <w:ilvl w:val="0"/>
          <w:numId w:val="2"/>
        </w:numPr>
        <w:spacing w:after="80" w:line="280"/>
      </w:pPr>
      <w:r>
        <w:t xml:space="preserve">Reduces risk — a leaked pseudonymised dataset is much less harmful than a leaked dataset with direct identifiers.</w:t>
      </w:r>
    </w:p>
    <w:p>
      <w:pPr>
        <w:spacing w:after="120" w:line="300"/>
        <w:jc w:val="both"/>
      </w:pPr>
      <w:r>
        <w:t xml:space="preserve">Modern implementations: format-preserving encryption for fields that need format compatibility; hash-based pseudonyms for fields where format is flexible; tokenisation services that maintain the mapping centrally.</w:t>
      </w:r>
    </w:p>
    <w:p>
      <w:pPr>
        <w:pStyle w:val="Heading2"/>
        <w:spacing w:after="160" w:before="280"/>
      </w:pPr>
      <w:r>
        <w:rPr>
          <w:b/>
          <w:bCs/>
          <w:color w:val="2E75B6"/>
        </w:rPr>
        <w:t xml:space="preserve">8.3 Purpose Limitation</w:t>
      </w:r>
    </w:p>
    <w:p>
      <w:pPr>
        <w:spacing w:after="120" w:line="300"/>
        <w:jc w:val="both"/>
      </w:pPr>
      <w:r>
        <w:t xml:space="preserve">Data is collected for specified, explicit, legitimate purposes and not used for purposes incompatible with those for which it was collected. Purpose limitation requires:</w:t>
      </w:r>
    </w:p>
    <w:p>
      <w:pPr>
        <w:pStyle w:val="ListParagraph"/>
        <w:numPr>
          <w:ilvl w:val="0"/>
          <w:numId w:val="2"/>
        </w:numPr>
        <w:spacing w:after="80" w:line="280"/>
      </w:pPr>
      <w:r>
        <w:t xml:space="preserve">Specified purposes captured at collection time ("we are collecting your email for transaction notifications and customer service").</w:t>
      </w:r>
    </w:p>
    <w:p>
      <w:pPr>
        <w:pStyle w:val="ListParagraph"/>
        <w:numPr>
          <w:ilvl w:val="0"/>
          <w:numId w:val="2"/>
        </w:numPr>
        <w:spacing w:after="80" w:line="280"/>
      </w:pPr>
      <w:r>
        <w:t xml:space="preserve">Architectural enforcement — systems check that the use of data matches an approved purpose before proceeding.</w:t>
      </w:r>
    </w:p>
    <w:p>
      <w:pPr>
        <w:pStyle w:val="ListParagraph"/>
        <w:numPr>
          <w:ilvl w:val="0"/>
          <w:numId w:val="2"/>
        </w:numPr>
        <w:spacing w:after="80" w:line="280"/>
      </w:pPr>
      <w:r>
        <w:t xml:space="preserve">New purposes require additional consent or legal basis — they cannot be silently added.</w:t>
      </w:r>
    </w:p>
    <w:p>
      <w:pPr>
        <w:pStyle w:val="ListParagraph"/>
        <w:numPr>
          <w:ilvl w:val="0"/>
          <w:numId w:val="2"/>
        </w:numPr>
        <w:spacing w:after="80" w:line="280"/>
      </w:pPr>
      <w:r>
        <w:t xml:space="preserve">Purpose audit — records show what data was used for what purpose at what time.</w:t>
      </w:r>
    </w:p>
    <w:p>
      <w:pPr>
        <w:pStyle w:val="Heading2"/>
        <w:spacing w:after="160" w:before="280"/>
      </w:pPr>
      <w:r>
        <w:rPr>
          <w:b/>
          <w:bCs/>
          <w:color w:val="2E75B6"/>
        </w:rPr>
        <w:t xml:space="preserve">8.4 Data Minimisation</w:t>
      </w:r>
    </w:p>
    <w:p>
      <w:pPr>
        <w:spacing w:after="120" w:line="300"/>
        <w:jc w:val="both"/>
      </w:pPr>
      <w:r>
        <w:t xml:space="preserve">Two principles: collect only what is needed (don't collect data 'just in case'); dispose of data when it is no longer needed for the purpose for which it was collected (subject to lawful retention obligations).</w:t>
      </w:r>
    </w:p>
    <w:p>
      <w:pPr>
        <w:spacing w:after="120" w:line="300"/>
        <w:jc w:val="both"/>
      </w:pPr>
      <w:r>
        <w:t xml:space="preserve">Implementation requires:</w:t>
      </w:r>
    </w:p>
    <w:p>
      <w:pPr>
        <w:pStyle w:val="ListParagraph"/>
        <w:numPr>
          <w:ilvl w:val="0"/>
          <w:numId w:val="2"/>
        </w:numPr>
        <w:spacing w:after="80" w:line="280"/>
      </w:pPr>
      <w:r>
        <w:t xml:space="preserve">Minimum data sets per Capability — capture only what the Capability requires; resist the urge to capture more 'in case it's useful later'.</w:t>
      </w:r>
    </w:p>
    <w:p>
      <w:pPr>
        <w:pStyle w:val="ListParagraph"/>
        <w:numPr>
          <w:ilvl w:val="0"/>
          <w:numId w:val="2"/>
        </w:numPr>
        <w:spacing w:after="80" w:line="280"/>
      </w:pPr>
      <w:r>
        <w:t xml:space="preserve">Retention policies per data class — specified retention periods after which data is archived or deleted.</w:t>
      </w:r>
    </w:p>
    <w:p>
      <w:pPr>
        <w:pStyle w:val="ListParagraph"/>
        <w:numPr>
          <w:ilvl w:val="0"/>
          <w:numId w:val="2"/>
        </w:numPr>
        <w:spacing w:after="80" w:line="280"/>
      </w:pPr>
      <w:r>
        <w:t xml:space="preserve">Automated retention enforcement — data deletion happens automatically at retention expiry, not manually (which inevitably fails).</w:t>
      </w:r>
    </w:p>
    <w:p>
      <w:pPr>
        <w:pStyle w:val="ListParagraph"/>
        <w:numPr>
          <w:ilvl w:val="0"/>
          <w:numId w:val="2"/>
        </w:numPr>
        <w:spacing w:after="80" w:line="280"/>
      </w:pPr>
      <w:r>
        <w:t xml:space="preserve">Periodic data minimisation reviews — assess whether all collected data is still being used; if not, stop collecting it.</w:t>
      </w:r>
    </w:p>
    <w:p>
      <w:pPr>
        <w:pStyle w:val="Heading2"/>
        <w:spacing w:after="160" w:before="280"/>
      </w:pPr>
      <w:r>
        <w:rPr>
          <w:b/>
          <w:bCs/>
          <w:color w:val="2E75B6"/>
        </w:rPr>
        <w:t xml:space="preserve">8.5 Right to Erasure</w:t>
      </w:r>
    </w:p>
    <w:p>
      <w:pPr>
        <w:spacing w:after="120" w:line="300"/>
        <w:jc w:val="both"/>
      </w:pPr>
      <w:r>
        <w:t xml:space="preserve">Customers have the right to request deletion of their personal data, subject to lawful retention obligations (regulatory, contractual). Architecture must support this right operationally — "we can't delete customer data" is not a viable architectural answer to a regulator.</w:t>
      </w:r>
    </w:p>
    <w:p>
      <w:pPr>
        <w:spacing w:after="120" w:line="300"/>
        <w:jc w:val="both"/>
      </w:pPr>
      <w:r>
        <w:t xml:space="preserve">Implementation requires:</w:t>
      </w:r>
    </w:p>
    <w:p>
      <w:pPr>
        <w:pStyle w:val="ListParagraph"/>
        <w:numPr>
          <w:ilvl w:val="0"/>
          <w:numId w:val="2"/>
        </w:numPr>
        <w:spacing w:after="80" w:line="280"/>
      </w:pPr>
      <w:r>
        <w:t xml:space="preserve">Customer-facing erasure request interface (often integrated with data subject rights workflows).</w:t>
      </w:r>
    </w:p>
    <w:p>
      <w:pPr>
        <w:pStyle w:val="ListParagraph"/>
        <w:numPr>
          <w:ilvl w:val="0"/>
          <w:numId w:val="2"/>
        </w:numPr>
        <w:spacing w:after="80" w:line="280"/>
      </w:pPr>
      <w:r>
        <w:t xml:space="preserve">Architecture that supports erasure — knows where personal data lives, can delete it everywhere, including from backups (within technical and legal limits).</w:t>
      </w:r>
    </w:p>
    <w:p>
      <w:pPr>
        <w:pStyle w:val="ListParagraph"/>
        <w:numPr>
          <w:ilvl w:val="0"/>
          <w:numId w:val="2"/>
        </w:numPr>
        <w:spacing w:after="80" w:line="280"/>
      </w:pPr>
      <w:r>
        <w:t xml:space="preserve">Lawful exception handling — when erasure conflicts with retention obligations (anti-money-laundering records must be kept for X years), the architecture handles the conflict explicitly: data marked for erasure but retained until the conflict expires.</w:t>
      </w:r>
    </w:p>
    <w:p>
      <w:pPr>
        <w:pStyle w:val="ListParagraph"/>
        <w:numPr>
          <w:ilvl w:val="0"/>
          <w:numId w:val="2"/>
        </w:numPr>
        <w:spacing w:after="80" w:line="280"/>
      </w:pPr>
      <w:r>
        <w:t xml:space="preserve">Audit trails — records of erasure requests and their fulfillment.</w:t>
      </w:r>
    </w:p>
    <w:p>
      <w:pPr>
        <w:pStyle w:val="Heading2"/>
        <w:spacing w:after="160" w:before="280"/>
      </w:pPr>
      <w:r>
        <w:rPr>
          <w:b/>
          <w:bCs/>
          <w:color w:val="2E75B6"/>
        </w:rPr>
        <w:t xml:space="preserve">8.6 The Four Techniques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Technique</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Does</w:t>
            </w:r>
          </w:p>
        </w:tc>
        <w:tc>
          <w:tcPr>
            <w:tcW w:type="dxa" w:w="3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Architectural Implication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Pseudonymisation</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Replace identifiers with pseudonyms; reversible</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Pseudonymisation service; tokenisation infrastructure</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Purpose limitation</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Collect for specific purposes; use only for those</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Purpose declaration and enforcement layer</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minimisation</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Collect only what's needed; dispose when no longer needed</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Minimum data sets; automated retention enforcement</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Right to erasure</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Customers can request deletion subject to legal limits</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Comprehensive data lineage; erasure workflows; lawful exception handling</w:t>
            </w:r>
          </w:p>
        </w:tc>
      </w:tr>
    </w:tbl>
    <w:p>
      <w:r>
        <w:br w:type="page"/>
      </w:r>
    </w:p>
    <w:p>
      <w:pPr>
        <w:pStyle w:val="Heading1"/>
        <w:spacing w:after="200" w:before="360"/>
      </w:pPr>
      <w:r>
        <w:rPr>
          <w:b/>
          <w:bCs/>
          <w:color w:val="1F4E78"/>
        </w:rPr>
        <w:t xml:space="preserve">9. Modern Information Architecture Patterns</w:t>
      </w:r>
    </w:p>
    <w:p>
      <w:pPr>
        <w:spacing w:after="120" w:line="300"/>
        <w:jc w:val="both"/>
      </w:pPr>
      <w:r>
        <w:t xml:space="preserve">Several named patterns recur in modern information architecture practice. Module 20 covered Data Mesh in the context of digital transformation; this section reprises it briefly and adds three other patterns that the Series Guide on Information Architecture recognises: Data Fabric, Data Lakehouse, and Semantic Layer.</w:t>
      </w:r>
    </w:p>
    <w:p>
      <w:pPr>
        <w:pStyle w:val="Heading2"/>
        <w:spacing w:after="160" w:before="280"/>
      </w:pPr>
      <w:r>
        <w:rPr>
          <w:b/>
          <w:bCs/>
          <w:color w:val="2E75B6"/>
        </w:rPr>
        <w:t xml:space="preserve">9.1 Pattern 1: Data Mesh (Reprise)</w:t>
      </w:r>
    </w:p>
    <w:p>
      <w:pPr>
        <w:spacing w:after="120" w:line="300"/>
        <w:jc w:val="both"/>
      </w:pPr>
      <w:r>
        <w:t xml:space="preserve">Data Mesh (Module 20, Section 10) is the operating-model paradigm for enterprise data: domain-oriented decentralised ownership, data as a product, self-serve infrastructure as a platform, federated computational governance. In Information Architecture terms, Data Mesh shifts ownership of information from a centralised data team to source domains, with the central platform supporting rather than controlling. Recognise it by its four principles.</w:t>
      </w:r>
    </w:p>
    <w:p>
      <w:pPr>
        <w:pStyle w:val="Heading2"/>
        <w:spacing w:after="160" w:before="280"/>
      </w:pPr>
      <w:r>
        <w:rPr>
          <w:b/>
          <w:bCs/>
          <w:color w:val="2E75B6"/>
        </w:rPr>
        <w:t xml:space="preserve">9.2 Pattern 2: Data Fabric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Data Fabric: </w:t>
            </w:r>
            <w:r>
              <w:t xml:space="preserve">An architectural pattern that uses metadata, automation, and AI/ML to enable consistent data access across heterogeneous data environments without requiring physical consolidation. Connects existing data sources through a unified semantic layer and metadata catalogue. Contrasts with Data Mesh: where Data Mesh changes the operating model, Data Fabric changes the technical access pattern. The two are complementary; many enterprises adopt both.</w:t>
            </w:r>
          </w:p>
        </w:tc>
      </w:tr>
    </w:tbl>
    <w:p>
      <w:pPr>
        <w:pStyle w:val="Heading3"/>
        <w:spacing w:after="120" w:before="220"/>
      </w:pPr>
      <w:r>
        <w:rPr>
          <w:b/>
          <w:bCs/>
          <w:color w:val="404040"/>
        </w:rPr>
        <w:t xml:space="preserve">Data Fabric Components</w:t>
      </w:r>
    </w:p>
    <w:p>
      <w:pPr>
        <w:pStyle w:val="ListParagraph"/>
        <w:numPr>
          <w:ilvl w:val="0"/>
          <w:numId w:val="2"/>
        </w:numPr>
        <w:spacing w:after="80" w:line="280"/>
      </w:pPr>
      <w:r>
        <w:t xml:space="preserve">Active metadata catalogue — automatically populated metadata across all data sources.</w:t>
      </w:r>
    </w:p>
    <w:p>
      <w:pPr>
        <w:pStyle w:val="ListParagraph"/>
        <w:numPr>
          <w:ilvl w:val="0"/>
          <w:numId w:val="2"/>
        </w:numPr>
        <w:spacing w:after="80" w:line="280"/>
      </w:pPr>
      <w:r>
        <w:t xml:space="preserve">Semantic layer (Section 9.4) — unified business vocabulary mapped to physical data.</w:t>
      </w:r>
    </w:p>
    <w:p>
      <w:pPr>
        <w:pStyle w:val="ListParagraph"/>
        <w:numPr>
          <w:ilvl w:val="0"/>
          <w:numId w:val="2"/>
        </w:numPr>
        <w:spacing w:after="80" w:line="280"/>
      </w:pPr>
      <w:r>
        <w:t xml:space="preserve">Data virtualisation — query engines that span multiple physical sources.</w:t>
      </w:r>
    </w:p>
    <w:p>
      <w:pPr>
        <w:pStyle w:val="ListParagraph"/>
        <w:numPr>
          <w:ilvl w:val="0"/>
          <w:numId w:val="2"/>
        </w:numPr>
        <w:spacing w:after="80" w:line="280"/>
      </w:pPr>
      <w:r>
        <w:t xml:space="preserve">AI/ML-driven recommendations — suggesting which data to use, identifying quality issues, recommending integrations.</w:t>
      </w:r>
    </w:p>
    <w:p>
      <w:pPr>
        <w:pStyle w:val="ListParagraph"/>
        <w:numPr>
          <w:ilvl w:val="0"/>
          <w:numId w:val="2"/>
        </w:numPr>
        <w:spacing w:after="80" w:line="280"/>
      </w:pPr>
      <w:r>
        <w:t xml:space="preserve">Embedded governance — policies enforced as data is accessed rather than only at ingestion.</w:t>
      </w:r>
    </w:p>
    <w:p>
      <w:pPr>
        <w:pStyle w:val="Heading2"/>
        <w:spacing w:after="160" w:before="280"/>
      </w:pPr>
      <w:r>
        <w:rPr>
          <w:b/>
          <w:bCs/>
          <w:color w:val="2E75B6"/>
        </w:rPr>
        <w:t xml:space="preserve">9.3 Pattern 3: Data Lakehouse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Data Lakehouse: </w:t>
            </w:r>
            <w:r>
              <w:t xml:space="preserve">A hybrid storage pattern combining data lake (cheap, flexible) with data warehouse (structured, transactional) properties. Achieved through table formats (Apache Iceberg, Delta Lake, Apache Hudi) layered over object storage that add transactional integrity, schema evolution, and time travel to traditional data lake storage. Module 20 introduced this as the modern data platform's storage layer; the Information Architecture Series Guide treats it as the standard pattern for enterprise data storage.</w:t>
            </w:r>
          </w:p>
        </w:tc>
      </w:tr>
    </w:tbl>
    <w:p>
      <w:pPr>
        <w:pStyle w:val="Heading3"/>
        <w:spacing w:after="120" w:before="220"/>
      </w:pPr>
      <w:r>
        <w:rPr>
          <w:b/>
          <w:bCs/>
          <w:color w:val="404040"/>
        </w:rPr>
        <w:t xml:space="preserve">Why the Lakehouse</w:t>
      </w:r>
    </w:p>
    <w:p>
      <w:pPr>
        <w:spacing w:after="120" w:line="300"/>
        <w:jc w:val="both"/>
      </w:pPr>
      <w:r>
        <w:t xml:space="preserve">Three reasons:</w:t>
      </w:r>
    </w:p>
    <w:p>
      <w:pPr>
        <w:pStyle w:val="ListParagraph"/>
        <w:numPr>
          <w:ilvl w:val="0"/>
          <w:numId w:val="3"/>
        </w:numPr>
        <w:spacing w:after="80" w:line="280"/>
      </w:pPr>
      <w:r>
        <w:t xml:space="preserve">Cost — object storage is dramatically cheaper than data warehouse storage at scale.</w:t>
      </w:r>
    </w:p>
    <w:p>
      <w:pPr>
        <w:pStyle w:val="ListParagraph"/>
        <w:numPr>
          <w:ilvl w:val="0"/>
          <w:numId w:val="3"/>
        </w:numPr>
        <w:spacing w:after="80" w:line="280"/>
      </w:pPr>
      <w:r>
        <w:t xml:space="preserve">Flexibility — can hold any data format, structured or otherwise.</w:t>
      </w:r>
    </w:p>
    <w:p>
      <w:pPr>
        <w:pStyle w:val="ListParagraph"/>
        <w:numPr>
          <w:ilvl w:val="0"/>
          <w:numId w:val="3"/>
        </w:numPr>
        <w:spacing w:after="80" w:line="280"/>
      </w:pPr>
      <w:r>
        <w:t xml:space="preserve">Modern feature parity — table formats now provide ACID transactions, schema evolution, time travel, partition optimisation that previously required a data warehouse.</w:t>
      </w:r>
    </w:p>
    <w:p>
      <w:pPr>
        <w:spacing w:after="120" w:line="300"/>
        <w:jc w:val="both"/>
      </w:pPr>
      <w:r>
        <w:t xml:space="preserve">Modern enterprises increasingly use the lakehouse as the single storage layer for both operational analytical use cases (formerly the data warehouse) and exploratory/ML use cases (formerly the data lake).</w:t>
      </w:r>
    </w:p>
    <w:p>
      <w:pPr>
        <w:pStyle w:val="Heading2"/>
        <w:spacing w:after="160" w:before="280"/>
      </w:pPr>
      <w:r>
        <w:rPr>
          <w:b/>
          <w:bCs/>
          <w:color w:val="2E75B6"/>
        </w:rPr>
        <w:t xml:space="preserve">9.4 Pattern 4: Semantic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Semantic Layer: </w:t>
            </w:r>
            <w:r>
              <w:t xml:space="preserve">A unified business vocabulary layer that translates between business meaning and physical data. Provides a consistent way to ask business questions across multiple physical sources without business users having to know which source holds which physical data. Implemented through tools like Cube, Looker semantic models, dbt Semantic Layer, AtScale, or built into modern Data Fabric platforms.</w:t>
            </w:r>
          </w:p>
        </w:tc>
      </w:tr>
    </w:tbl>
    <w:p>
      <w:pPr>
        <w:pStyle w:val="Heading3"/>
        <w:spacing w:after="120" w:before="220"/>
      </w:pPr>
      <w:r>
        <w:rPr>
          <w:b/>
          <w:bCs/>
          <w:color w:val="404040"/>
        </w:rPr>
        <w:t xml:space="preserve">Why a Semantic Layer</w:t>
      </w:r>
    </w:p>
    <w:p>
      <w:pPr>
        <w:spacing w:after="120" w:line="300"/>
        <w:jc w:val="both"/>
      </w:pPr>
      <w:r>
        <w:t xml:space="preserve">Without a semantic layer, every consuming team writes their own SQL against physical sources, with predictable results: different teams compute the same metric ("active customers this month") differently, get different numbers, and dispute which is correct. With a semantic layer, the metric is defined once at the semantic layer; every consuming tool gets the same answer because they all compute it the same way.</w:t>
      </w:r>
    </w:p>
    <w:p>
      <w:pPr>
        <w:spacing w:after="120" w:line="300"/>
        <w:jc w:val="both"/>
      </w:pPr>
      <w:r>
        <w:t xml:space="preserve">The Semantic Layer is the bridge between Information Architecture (which defines what things mean) and consuming systems (which need to ask questions about those things). It is the operational manifestation of the Conceptual Information Map (Section 2).</w:t>
      </w:r>
    </w:p>
    <w:p>
      <w:pPr>
        <w:pStyle w:val="Heading2"/>
        <w:spacing w:after="160" w:before="280"/>
      </w:pPr>
      <w:r>
        <w:rPr>
          <w:b/>
          <w:bCs/>
          <w:color w:val="2E75B6"/>
        </w:rPr>
        <w:t xml:space="preserve">9.5 The Four Patterns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Pattern</w:t>
            </w:r>
          </w:p>
        </w:tc>
        <w:tc>
          <w:tcPr>
            <w:tcW w:type="dxa" w:w="5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Provides</w:t>
            </w:r>
          </w:p>
        </w:tc>
        <w:tc>
          <w:tcPr>
            <w:tcW w:type="dxa" w:w="2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Operating Model / Technical</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Mesh</w:t>
            </w:r>
          </w:p>
        </w:tc>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Decentralised ownership; data as product; federated governance</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Operating model</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Fabric</w:t>
            </w:r>
          </w:p>
        </w:tc>
        <w:tc>
          <w:tcPr>
            <w:tcW w:type="dxa" w:w="5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Unified access across heterogeneous sources via metadata and semantic layer</w:t>
            </w:r>
          </w:p>
        </w:tc>
        <w:tc>
          <w:tcPr>
            <w:tcW w:type="dxa" w:w="2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Technical access pattern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Lakehouse</w:t>
            </w:r>
          </w:p>
        </w:tc>
        <w:tc>
          <w:tcPr>
            <w:tcW w:type="dxa" w:w="5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Hybrid storage combining lake flexibility with warehouse rigour</w:t>
            </w:r>
          </w:p>
        </w:tc>
        <w:tc>
          <w:tcPr>
            <w:tcW w:type="dxa" w:w="2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Technical storage pattern</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Semantic Layer</w:t>
            </w:r>
          </w:p>
        </w:tc>
        <w:tc>
          <w:tcPr>
            <w:tcW w:type="dxa" w:w="5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Unified business vocabulary mapped to physical data</w:t>
            </w:r>
          </w:p>
        </w:tc>
        <w:tc>
          <w:tcPr>
            <w:tcW w:type="dxa" w:w="2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Technical translation layer</w:t>
            </w:r>
          </w:p>
        </w:tc>
      </w:tr>
    </w:tbl>
    <w:p>
      <w:pPr>
        <w:pStyle w:val="Heading2"/>
        <w:spacing w:after="160" w:before="280"/>
      </w:pPr>
      <w:r>
        <w:rPr>
          <w:b/>
          <w:bCs/>
          <w:color w:val="2E75B6"/>
        </w:rPr>
        <w:t xml:space="preserve">9.6 How They Combine</w:t>
      </w:r>
    </w:p>
    <w:p>
      <w:pPr>
        <w:spacing w:after="120" w:line="300"/>
        <w:jc w:val="both"/>
      </w:pPr>
      <w:r>
        <w:t xml:space="preserve">Modern enterprises typically adopt several or all of these patterns together:</w:t>
      </w:r>
    </w:p>
    <w:p>
      <w:pPr>
        <w:pStyle w:val="ListParagraph"/>
        <w:numPr>
          <w:ilvl w:val="0"/>
          <w:numId w:val="2"/>
        </w:numPr>
        <w:spacing w:after="80" w:line="280"/>
      </w:pPr>
      <w:r>
        <w:t xml:space="preserve">Data Mesh sets the operating model — domain ownership of data products.</w:t>
      </w:r>
    </w:p>
    <w:p>
      <w:pPr>
        <w:pStyle w:val="ListParagraph"/>
        <w:numPr>
          <w:ilvl w:val="0"/>
          <w:numId w:val="2"/>
        </w:numPr>
        <w:spacing w:after="80" w:line="280"/>
      </w:pPr>
      <w:r>
        <w:t xml:space="preserve">Data Fabric provides technical access across the resulting decentralised data products.</w:t>
      </w:r>
    </w:p>
    <w:p>
      <w:pPr>
        <w:pStyle w:val="ListParagraph"/>
        <w:numPr>
          <w:ilvl w:val="0"/>
          <w:numId w:val="2"/>
        </w:numPr>
        <w:spacing w:after="80" w:line="280"/>
      </w:pPr>
      <w:r>
        <w:t xml:space="preserve">Data Lakehouse is the storage technology of choice for the data products themselves and for the central platform.</w:t>
      </w:r>
    </w:p>
    <w:p>
      <w:pPr>
        <w:pStyle w:val="ListParagraph"/>
        <w:numPr>
          <w:ilvl w:val="0"/>
          <w:numId w:val="2"/>
        </w:numPr>
        <w:spacing w:after="80" w:line="280"/>
      </w:pPr>
      <w:r>
        <w:t xml:space="preserve">Semantic Layer provides the unified vocabulary that the Data Fabric exposes and that all consuming systems use.</w:t>
      </w:r>
    </w:p>
    <w:p>
      <w:pPr>
        <w:spacing w:after="120" w:line="300"/>
        <w:jc w:val="both"/>
      </w:pPr>
      <w:r>
        <w:t xml:space="preserve">Together the four patterns produce an information architecture that scales (decentralised), connects (unified access), stores efficiently (lakehouse), and remains semantically coherent (semantic layer).</w:t>
      </w:r>
    </w:p>
    <w:p>
      <w:r>
        <w:br w:type="page"/>
      </w:r>
    </w:p>
    <w:p>
      <w:pPr>
        <w:pStyle w:val="Heading1"/>
        <w:spacing w:after="200" w:before="360"/>
      </w:pPr>
      <w:r>
        <w:rPr>
          <w:b/>
          <w:bCs/>
          <w:color w:val="1F4E78"/>
        </w:rPr>
        <w:t xml:space="preserve">10. Summary and Review</w:t>
      </w:r>
    </w:p>
    <w:p>
      <w:pPr>
        <w:pStyle w:val="Heading2"/>
        <w:spacing w:after="160" w:before="280"/>
      </w:pPr>
      <w:r>
        <w:rPr>
          <w:b/>
          <w:bCs/>
          <w:color w:val="2E75B6"/>
        </w:rPr>
        <w:t xml:space="preserve">10.1 The Big Picture</w:t>
      </w:r>
    </w:p>
    <w:p>
      <w:pPr>
        <w:spacing w:after="120" w:line="300"/>
        <w:jc w:val="both"/>
      </w:pPr>
      <w:r>
        <w:t xml:space="preserve">The TOGAF Series Guide on Information Architecture covers the techniques and patterns for managing information at enterprise scale. Information is business meaning; Data is technical representation — distinguishing them is the foundation of competent practice. The three-layer Information Map (Conceptual, Logical, Physical) structures the architecture across abstraction levels. Per-element metadata (definition, system of record, owner, steward, lifecycle, sensitivity, quality) makes information governable. Master Data Management has four standard architecture styles (Registry, Consolidation, Coexistence, Centralised) of increasing cost and effectiveness. Match-merge logic combines records through deterministic, probabilistic, or ML-based approaches with explicit survivorship rules. Information ownership is structured into four roles (Owner, Steward, Custodian, Consumer). Customer 360 architecture combines MDM, event streams, the modern data platform, and — non-negotiably — consent infrastructure. Privacy by Design is enforced through pseudonymisation, purpose limitation, data minimisation, and right to erasure. Modern patterns (Data Mesh, Data Fabric, Data Lakehouse, Semantic Layer) provide the architectural shape of mature information practice.</w:t>
      </w:r>
    </w:p>
    <w:p>
      <w:pPr>
        <w:pStyle w:val="Heading2"/>
        <w:spacing w:after="160" w:before="280"/>
      </w:pPr>
      <w:r>
        <w:rPr>
          <w:b/>
          <w:bCs/>
          <w:color w:val="2E75B6"/>
        </w:rPr>
        <w:t xml:space="preserve">10.2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Information vs Data</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Information = business MEANING. Data = technical REPRESENTATION. Distinguish them.</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Information Map — three layers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Conceptual (business language, technology-independent), Logical (structured, technology-independent), Physical (technology-specific, per-system).</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Per-element metadata — seven items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Definition, System of Record, Owner, Steward, Lifecycle, Sensitivity, Quality.</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MDM architecture styles — four</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Registry (identifiers only), Consolidation (read-only copy), Coexistence (bidirectional sync), Centralised (system of record).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Match-merge — three approaches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Deterministic (rules), Probabilistic (scoring), ML-based (trained models).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Survivorship rules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Determine which source's value wins per attribute. Source-priority, recency, completeness, authority, hybrid.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Ownership roles — four</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Owner (executive accountability), Steward (operational responsibility), Custodian (technical), Consumer (use).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Customer 360 components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MDM hub, event streams, modern data platform, customer-facing layer, operational APIs, consent infrastructure (non-negotiable).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Consent infrastructure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NON-NEGOTIABLE. Capture, store, enforce, withdraw, audit. Foundational, not afterthought.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Privacy by Design — four techniques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Pseudonymisation, Purpose limitation, Data minimisation, Right to erasure.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Modern patterns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Mesh (operating model), Data Fabric (access), Data Lakehouse (storage), Semantic Layer (vocabulary). Often combined.</w:t>
            </w:r>
          </w:p>
        </w:tc>
      </w:tr>
    </w:tbl>
    <w:p>
      <w:pPr>
        <w:pStyle w:val="Heading2"/>
        <w:spacing w:after="160" w:before="280"/>
      </w:pPr>
      <w:r>
        <w:rPr>
          <w:b/>
          <w:bCs/>
          <w:color w:val="2E75B6"/>
        </w:rPr>
        <w:t xml:space="preserve">10.3 Self-Test Questions</w:t>
      </w:r>
    </w:p>
    <w:p>
      <w:pPr>
        <w:pStyle w:val="ListParagraph"/>
        <w:numPr>
          <w:ilvl w:val="0"/>
          <w:numId w:val="3"/>
        </w:numPr>
        <w:spacing w:after="80" w:line="280"/>
      </w:pPr>
      <w:r>
        <w:t xml:space="preserve">Distinguish Information from Data with one example.</w:t>
      </w:r>
    </w:p>
    <w:p>
      <w:pPr>
        <w:pStyle w:val="ListParagraph"/>
        <w:numPr>
          <w:ilvl w:val="0"/>
          <w:numId w:val="3"/>
        </w:numPr>
        <w:spacing w:after="80" w:line="280"/>
      </w:pPr>
      <w:r>
        <w:t xml:space="preserve">Name the three layers of an Information Map. What is the difference between Logical and Physical?</w:t>
      </w:r>
    </w:p>
    <w:p>
      <w:pPr>
        <w:pStyle w:val="ListParagraph"/>
        <w:numPr>
          <w:ilvl w:val="0"/>
          <w:numId w:val="3"/>
        </w:numPr>
        <w:spacing w:after="80" w:line="280"/>
      </w:pPr>
      <w:r>
        <w:t xml:space="preserve">Name the seven standard metadata items per information element.</w:t>
      </w:r>
    </w:p>
    <w:p>
      <w:pPr>
        <w:pStyle w:val="ListParagraph"/>
        <w:numPr>
          <w:ilvl w:val="0"/>
          <w:numId w:val="3"/>
        </w:numPr>
        <w:spacing w:after="80" w:line="280"/>
      </w:pPr>
      <w:r>
        <w:t xml:space="preserve">Name the four MDM architecture styles in order of increasing centralisation. Which is most appropriate for a quick-win analytics use case?</w:t>
      </w:r>
    </w:p>
    <w:p>
      <w:pPr>
        <w:pStyle w:val="ListParagraph"/>
        <w:numPr>
          <w:ilvl w:val="0"/>
          <w:numId w:val="3"/>
        </w:numPr>
        <w:spacing w:after="80" w:line="280"/>
      </w:pPr>
      <w:r>
        <w:t xml:space="preserve">Distinguish deterministic, probabilistic, and ML-based match-merge approaches.</w:t>
      </w:r>
    </w:p>
    <w:p>
      <w:pPr>
        <w:pStyle w:val="ListParagraph"/>
        <w:numPr>
          <w:ilvl w:val="0"/>
          <w:numId w:val="3"/>
        </w:numPr>
        <w:spacing w:after="80" w:line="280"/>
      </w:pPr>
      <w:r>
        <w:t xml:space="preserve">What are survivorship rules? Give two example rule types.</w:t>
      </w:r>
    </w:p>
    <w:p>
      <w:pPr>
        <w:pStyle w:val="ListParagraph"/>
        <w:numPr>
          <w:ilvl w:val="0"/>
          <w:numId w:val="3"/>
        </w:numPr>
        <w:spacing w:after="80" w:line="280"/>
      </w:pPr>
      <w:r>
        <w:t xml:space="preserve">Name the four information ownership roles and what each is responsible for.</w:t>
      </w:r>
    </w:p>
    <w:p>
      <w:pPr>
        <w:pStyle w:val="ListParagraph"/>
        <w:numPr>
          <w:ilvl w:val="0"/>
          <w:numId w:val="3"/>
        </w:numPr>
        <w:spacing w:after="80" w:line="280"/>
      </w:pPr>
      <w:r>
        <w:t xml:space="preserve">What is Customer 360? Why is consent infrastructure described as non-negotiable in any Customer 360 architecture?</w:t>
      </w:r>
    </w:p>
    <w:p>
      <w:pPr>
        <w:pStyle w:val="ListParagraph"/>
        <w:numPr>
          <w:ilvl w:val="0"/>
          <w:numId w:val="3"/>
        </w:numPr>
        <w:spacing w:after="80" w:line="280"/>
      </w:pPr>
      <w:r>
        <w:t xml:space="preserve">Name the four principal techniques of Privacy by Design and what each addresses.</w:t>
      </w:r>
    </w:p>
    <w:p>
      <w:pPr>
        <w:pStyle w:val="ListParagraph"/>
        <w:numPr>
          <w:ilvl w:val="0"/>
          <w:numId w:val="3"/>
        </w:numPr>
        <w:spacing w:after="80" w:line="280"/>
      </w:pPr>
      <w:r>
        <w:t xml:space="preserve">Distinguish Data Mesh from Data Fabric. How are they typically used together?</w:t>
      </w:r>
    </w:p>
    <w:p>
      <w:pPr>
        <w:pStyle w:val="ListParagraph"/>
        <w:numPr>
          <w:ilvl w:val="0"/>
          <w:numId w:val="3"/>
        </w:numPr>
        <w:spacing w:after="80" w:line="280"/>
      </w:pPr>
      <w:r>
        <w:t xml:space="preserve">What is a Semantic Layer and what problem does it solve?</w:t>
      </w:r>
    </w:p>
    <w:p>
      <w:pPr>
        <w:pStyle w:val="Heading2"/>
        <w:spacing w:after="160" w:before="280"/>
      </w:pPr>
      <w:r>
        <w:rPr>
          <w:b/>
          <w:bCs/>
          <w:color w:val="2E75B6"/>
        </w:rPr>
        <w:t xml:space="preserve">10.4 Closing Note</w:t>
      </w:r>
    </w:p>
    <w:p>
      <w:pPr>
        <w:spacing w:after="120" w:line="300"/>
        <w:jc w:val="both"/>
      </w:pPr>
      <w:r>
        <w:t xml:space="preserve">Module 22 has covered the TOGAF Series Guide on Information Architecture. The remaining modules turn to certification preparation: the structure of the TOGAF exams, what is tested, study strategies, and practice. Make sure you can recite: Information vs Data; the three-layer Information Map; the seven per-element metadata items; the four MDM styles; the three match-merge approaches; the four ownership roles; Customer 360 with consent as non-negotiable; the four privacy-by-design techniques; and the four modern patterns from memory before moving on.</w:t>
      </w:r>
    </w:p>
    <w:p>
      <w:pPr>
        <w:spacing w:after="120"/>
      </w:pPr>
      <w:r>
        <w:t xml:space="preserve"/>
      </w:r>
    </w:p>
    <w:p>
      <w:pPr>
        <w:spacing w:before="400"/>
        <w:jc w:val="center"/>
      </w:pPr>
      <w:r>
        <w:rPr>
          <w:i/>
          <w:iCs/>
          <w:color w:val="808080"/>
        </w:rPr>
        <w:t xml:space="preserve">— End of Module 22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22: Information Mapping &amp; MDM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22 Study Guide</dc:title>
  <dc:creator>Claude</dc:creator>
  <dc:description>Comprehensive study guide for the TOGAF Information Mapping and Master Data Management Series Guide</dc:description>
  <cp:lastModifiedBy>Un-named</cp:lastModifiedBy>
  <cp:revision>1</cp:revision>
  <dcterms:created xsi:type="dcterms:W3CDTF">2026-05-03T00:54:36.772Z</dcterms:created>
  <dcterms:modified xsi:type="dcterms:W3CDTF">2026-05-03T00:54:36.789Z</dcterms:modified>
</cp:coreProperties>
</file>

<file path=docProps/custom.xml><?xml version="1.0" encoding="utf-8"?>
<Properties xmlns="http://schemas.openxmlformats.org/officeDocument/2006/custom-properties" xmlns:vt="http://schemas.openxmlformats.org/officeDocument/2006/docPropsVTypes"/>
</file>