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23: Sustainability</w:t>
      </w:r>
    </w:p>
    <w:p>
      <w:pPr>
        <w:spacing w:after="200"/>
        <w:jc w:val="center"/>
      </w:pPr>
      <w:r>
        <w:rPr>
          <w:color w:val="595959"/>
          <w:sz w:val="28"/>
          <w:szCs w:val="28"/>
        </w:rPr>
        <w:t xml:space="preserve">TOGAF Series Guide on Sustainable Enterprise Architecture</w:t>
      </w:r>
    </w:p>
    <w:p>
      <w:pPr>
        <w:spacing w:after="200"/>
        <w:jc w:val="center"/>
      </w:pPr>
      <w:r>
        <w:rPr>
          <w:color w:val="808080"/>
          <w:sz w:val="22"/>
          <w:szCs w:val="22"/>
        </w:rPr>
        <w:t xml:space="preserve">Carbon · Green Software · Cloud Region Selection · Reporting Frameworks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23</w:t>
      </w:r>
    </w:p>
    <w:p>
      <w:pPr>
        <w:spacing w:after="120" w:line="300"/>
        <w:jc w:val="both"/>
      </w:pPr>
      <w:r>
        <w:t xml:space="preserve">Module 23 covers sustainability as an architectural concern. This is the most recently-developed area of TOGAF practice — sustainability was barely mentioned in TOGAF materials of a decade ago, and only became a substantial Series Guide topic with TOGAF 10. The recency reflects the underlying reality: environmental sustainability has moved from a niche concern in IT to a regulatory, reputational, and increasingly investor concern that architectures must address materially. Module 14 noted sustainability as one of the modern competencies the standard Skills Framework under-emphasises; this module covers the substantive content.</w:t>
      </w:r>
    </w:p>
    <w:p>
      <w:pPr>
        <w:spacing w:after="120" w:line="300"/>
        <w:jc w:val="both"/>
      </w:pPr>
      <w:r>
        <w:t xml:space="preserve">The framing of sustainability for enterprise architecture is principally about carbon — the greenhouse gas emissions associated with running IT systems. Other environmental dimensions exist (water, e-waste, biodiversity, materials extraction) and matter, but carbon is the most measurable, the most directly architectural, and the focus of most regulatory regimes. The Series Guide treats carbon as the principal metric while acknowledging the broader environmental picture.</w:t>
      </w:r>
    </w:p>
    <w:p>
      <w:pPr>
        <w:spacing w:after="120" w:line="300"/>
        <w:jc w:val="both"/>
      </w:pPr>
      <w:r>
        <w:t xml:space="preserve">Nine points anchor the exam-relevant content. First, the three levels of impact: Embodied, Operational, and Indirect/Induced carbon. Second, sustainability non-functional requirements expressed in concrete metrics. Third, the disproportionate impact of cloud region selection on carbon outcomes. Fourth, the standard sustainability trade-offs (carbon vs latency, cost, residency). Fifth, the Green Software Foundation's five principles. Sixth, named architectural patterns (right-sizing, scale-to-zero, demand shifting and shaping, cold tiers). Seventh, the greenwashing red flags. Eighth, the principal tools (Cloud Carbon Footprint, Electricity Maps, Carbon-Aware SDK, Kepler). Ninth, the reporting frameworks (GHG Protocol, CSRD, SEC Climate Disclosure, SBTi).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Sustainability is unusual in TOGAF practice in that it is more measurable than most architectural concerns — every architectural decision can in principle be evaluated against its carbon impact. The exam tests recognition of the named structures (three levels, five principles, the patterns, the tools, the reporting frameworks). The practical content is also unusual in being directly actionable: most architectural decisions can be improved on sustainability grounds with explicit, measurable changes.</w:t>
            </w:r>
          </w:p>
        </w:tc>
      </w:tr>
    </w:tbl>
    <w:p>
      <w:r>
        <w:br w:type="page"/>
      </w:r>
    </w:p>
    <w:p>
      <w:pPr>
        <w:pStyle w:val="Heading1"/>
        <w:spacing w:after="200" w:before="360"/>
      </w:pPr>
      <w:r>
        <w:rPr>
          <w:b/>
          <w:bCs/>
          <w:color w:val="1F4E78"/>
        </w:rPr>
        <w:t xml:space="preserve">1. The Three Levels of Carbon Impact</w:t>
      </w:r>
    </w:p>
    <w:p>
      <w:pPr>
        <w:spacing w:after="120" w:line="300"/>
        <w:jc w:val="both"/>
      </w:pPr>
      <w:r>
        <w:t xml:space="preserve">Carbon impact from IT systems is decomposed across three levels: Embodied, Operational, and Indirect/Induced. The decomposition is exam-relevant by name and important in practice because the levels are quite different in scale, measurability, and architectural leverage. Architects who understand only one of the three under-count the actual carbon impact of their decisions.</w:t>
      </w:r>
    </w:p>
    <w:p>
      <w:pPr>
        <w:pStyle w:val="Heading2"/>
        <w:spacing w:after="160" w:before="280"/>
      </w:pPr>
      <w:r>
        <w:rPr>
          <w:b/>
          <w:bCs/>
          <w:color w:val="2E75B6"/>
        </w:rPr>
        <w:t xml:space="preserve">1.1 The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 Levels of Carbon Impact: </w:t>
            </w:r>
            <w:r>
              <w:t xml:space="preserve">(1) Embodied carbon — the carbon emitted in manufacturing the hardware (servers, network equipment, end-user devices) before it ever ran a workload. (2) Operational carbon — the carbon emitted while running the hardware (electricity consumption × grid carbon intensity). (3) Indirect / Induced carbon — the carbon attributable to systems not directly owned but enabled by them (downstream user devices, third-party services consumed, the wider ecosystem the architecture creates demand within).</w:t>
            </w:r>
          </w:p>
        </w:tc>
      </w:tr>
    </w:tbl>
    <w:p>
      <w:pPr>
        <w:pStyle w:val="Heading2"/>
        <w:spacing w:after="160" w:before="280"/>
      </w:pPr>
      <w:r>
        <w:rPr>
          <w:b/>
          <w:bCs/>
          <w:color w:val="2E75B6"/>
        </w:rPr>
        <w:t xml:space="preserve">1.2 Level 1: Embodied Carbon</w:t>
      </w:r>
    </w:p>
    <w:p>
      <w:pPr>
        <w:spacing w:after="120" w:line="300"/>
        <w:jc w:val="both"/>
      </w:pPr>
      <w:r>
        <w:t xml:space="preserve">Embodied carbon is the carbon emitted during manufacturing and transportation of hardware before any workload runs on it. A server typically embeds 1-2 tonnes of CO2-equivalent emissions in its manufacture, depending on size and components; a smartphone embeds 50-80kg; a laptop, 200-400kg. These emissions exist regardless of how the device is used; they are paid for at manufacture.</w:t>
      </w:r>
    </w:p>
    <w:p>
      <w:pPr>
        <w:spacing w:after="120" w:line="300"/>
        <w:jc w:val="both"/>
      </w:pPr>
      <w:r>
        <w:t xml:space="preserve">Architectural levers on embodied carbon:</w:t>
      </w:r>
    </w:p>
    <w:p>
      <w:pPr>
        <w:pStyle w:val="ListParagraph"/>
        <w:numPr>
          <w:ilvl w:val="0"/>
          <w:numId w:val="2"/>
        </w:numPr>
        <w:spacing w:after="80" w:line="280"/>
      </w:pPr>
      <w:r>
        <w:t xml:space="preserve">Hardware lifetime extension. A server running for 5 years has its embodied carbon amortised over more workload than one running for 3 years; longer lifetimes reduce per-unit-work embodied carbon. Right-sizing decisions that allow older hardware to remain useful matter here.</w:t>
      </w:r>
    </w:p>
    <w:p>
      <w:pPr>
        <w:pStyle w:val="ListParagraph"/>
        <w:numPr>
          <w:ilvl w:val="0"/>
          <w:numId w:val="2"/>
        </w:numPr>
        <w:spacing w:after="80" w:line="280"/>
      </w:pPr>
      <w:r>
        <w:t xml:space="preserve">Hardware utilisation. A server running at 5% utilisation has the same embodied carbon as one running at 50%; the higher-utilisation server delivers ten times the work for the same embodied cost. Improving utilisation reduces embodied carbon per unit of work.</w:t>
      </w:r>
    </w:p>
    <w:p>
      <w:pPr>
        <w:pStyle w:val="ListParagraph"/>
        <w:numPr>
          <w:ilvl w:val="0"/>
          <w:numId w:val="2"/>
        </w:numPr>
        <w:spacing w:after="80" w:line="280"/>
      </w:pPr>
      <w:r>
        <w:t xml:space="preserve">Reducing total hardware. The simplest lever: fewer servers, fewer devices, less embodied carbon. Cloud consolidation, eliminating zombie infrastructure, and avoiding over-provisioning all reduce embodied carbon.</w:t>
      </w:r>
    </w:p>
    <w:p>
      <w:pPr>
        <w:pStyle w:val="Heading2"/>
        <w:spacing w:after="160" w:before="280"/>
      </w:pPr>
      <w:r>
        <w:rPr>
          <w:b/>
          <w:bCs/>
          <w:color w:val="2E75B6"/>
        </w:rPr>
        <w:t xml:space="preserve">1.3 Level 2: Operational Carbon</w:t>
      </w:r>
    </w:p>
    <w:p>
      <w:pPr>
        <w:spacing w:after="120" w:line="300"/>
        <w:jc w:val="both"/>
      </w:pPr>
      <w:r>
        <w:t xml:space="preserve">Operational carbon is the carbon emitted while running the hardware — energy consumption multiplied by the carbon intensity of the electricity used. This is the level architects have the most direct control over and the level that most architectural carbon discussion focuses on.</w:t>
      </w:r>
    </w:p>
    <w:p>
      <w:pPr>
        <w:spacing w:after="120" w:line="300"/>
        <w:jc w:val="both"/>
      </w:pPr>
      <w:r>
        <w:t xml:space="preserve">Two factors determine operational carbon:</w:t>
      </w:r>
    </w:p>
    <w:p>
      <w:pPr>
        <w:pStyle w:val="ListParagraph"/>
        <w:numPr>
          <w:ilvl w:val="0"/>
          <w:numId w:val="3"/>
        </w:numPr>
        <w:spacing w:after="80" w:line="280"/>
      </w:pPr>
      <w:r>
        <w:t xml:space="preserve">Energy consumption — how much electricity the workload uses. Driven by hardware efficiency, software efficiency, utilisation, and the time the workload runs.</w:t>
      </w:r>
    </w:p>
    <w:p>
      <w:pPr>
        <w:pStyle w:val="ListParagraph"/>
        <w:numPr>
          <w:ilvl w:val="0"/>
          <w:numId w:val="3"/>
        </w:numPr>
        <w:spacing w:after="80" w:line="280"/>
      </w:pPr>
      <w:r>
        <w:t xml:space="preserve">Grid carbon intensity — how much CO2 is emitted per kWh of electricity consumed. Varies enormously by region and by time of day (Section 3 covers this).</w:t>
      </w:r>
    </w:p>
    <w:p>
      <w:pPr>
        <w:spacing w:after="120" w:line="300"/>
        <w:jc w:val="both"/>
      </w:pPr>
      <w:r>
        <w:t xml:space="preserve">Architectural levers on operational carbon include all of: right-sizing, scale-to-zero, demand shifting, cold-storage tiers, and especially region selection. Section 6 covers the named patterns.</w:t>
      </w:r>
    </w:p>
    <w:p>
      <w:pPr>
        <w:pStyle w:val="Heading2"/>
        <w:spacing w:after="160" w:before="280"/>
      </w:pPr>
      <w:r>
        <w:rPr>
          <w:b/>
          <w:bCs/>
          <w:color w:val="2E75B6"/>
        </w:rPr>
        <w:t xml:space="preserve">1.4 Level 3: Indirect / Induced Carbon</w:t>
      </w:r>
    </w:p>
    <w:p>
      <w:pPr>
        <w:spacing w:after="120" w:line="300"/>
        <w:jc w:val="both"/>
      </w:pPr>
      <w:r>
        <w:t xml:space="preserve">Indirect or induced carbon captures impacts that are caused by the architecture but not directly accounted for in the architecture's own resource use. Three principal categories:</w:t>
      </w:r>
    </w:p>
    <w:p>
      <w:pPr>
        <w:pStyle w:val="ListParagraph"/>
        <w:numPr>
          <w:ilvl w:val="0"/>
          <w:numId w:val="2"/>
        </w:numPr>
        <w:spacing w:after="80" w:line="280"/>
      </w:pPr>
      <w:r>
        <w:t xml:space="preserve">End-user device impact. A web application that requires battery-draining JavaScript on millions of phones induces carbon at every user device. The architecture is responsible for that induced impact even though no server in the architecture is consuming it.</w:t>
      </w:r>
    </w:p>
    <w:p>
      <w:pPr>
        <w:pStyle w:val="ListParagraph"/>
        <w:numPr>
          <w:ilvl w:val="0"/>
          <w:numId w:val="2"/>
        </w:numPr>
        <w:spacing w:after="80" w:line="280"/>
      </w:pPr>
      <w:r>
        <w:t xml:space="preserve">Third-party services consumed. APIs called, SaaS used, cloud services consumed all have their own carbon footprints attributable proportionally to the consuming architecture.</w:t>
      </w:r>
    </w:p>
    <w:p>
      <w:pPr>
        <w:pStyle w:val="ListParagraph"/>
        <w:numPr>
          <w:ilvl w:val="0"/>
          <w:numId w:val="2"/>
        </w:numPr>
        <w:spacing w:after="80" w:line="280"/>
      </w:pPr>
      <w:r>
        <w:t xml:space="preserve">Demand created or enabled. Architectures that make formerly-difficult things easy can induce substantial new demand — recommendation systems that increase total content viewing, ride-hailing that increases total travel. The induced demand has its own carbon.</w:t>
      </w:r>
    </w:p>
    <w:p>
      <w:pPr>
        <w:spacing w:after="120" w:line="300"/>
        <w:jc w:val="both"/>
      </w:pPr>
      <w:r>
        <w:t xml:space="preserve">Indirect carbon is the hardest to measure precisely but often the largest in absolute terms. A typical user-facing web application's indirect carbon (across millions of user devices) frequently dwarfs its direct operational carbon.</w:t>
      </w:r>
    </w:p>
    <w:p>
      <w:pPr>
        <w:pStyle w:val="Heading2"/>
        <w:spacing w:after="160" w:before="280"/>
      </w:pPr>
      <w:r>
        <w:rPr>
          <w:b/>
          <w:bCs/>
          <w:color w:val="2E75B6"/>
        </w:rPr>
        <w:t xml:space="preserve">1.5 The Three Levels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700"/>
        <w:gridCol w:w="1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Captures</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Architectural Leverage</w:t>
            </w:r>
          </w:p>
        </w:tc>
        <w:tc>
          <w:tcPr>
            <w:tcW w:type="dxa" w:w="1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Magnitude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Embodied</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Manufacturing carbon of hardware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Lifetime extension; utilisation; total hardware reduction</w:t>
            </w:r>
          </w:p>
        </w:tc>
        <w:tc>
          <w:tcPr>
            <w:tcW w:type="dxa" w:w="1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10-30% of typical IT carbon</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Operational</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Running carbon — energy × grid intensity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Right-sizing; scale-to-zero; region selection; demand shifting</w:t>
            </w:r>
          </w:p>
        </w:tc>
        <w:tc>
          <w:tcPr>
            <w:tcW w:type="dxa" w:w="1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Often 50-70% of typical IT carbon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Indirect / Induced</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Downstream user devices, third-party services, induced demand</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Frontend efficiency; vendor selection; demand modelling</w:t>
            </w:r>
          </w:p>
        </w:tc>
        <w:tc>
          <w:tcPr>
            <w:tcW w:type="dxa" w:w="1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Highly variable; often dominant for user-facing apps</w:t>
            </w:r>
          </w:p>
        </w:tc>
      </w:tr>
    </w:tbl>
    <w:p>
      <w:pPr>
        <w:pStyle w:val="Heading2"/>
        <w:spacing w:after="160" w:before="280"/>
      </w:pPr>
      <w:r>
        <w:rPr>
          <w:b/>
          <w:bCs/>
          <w:color w:val="2E75B6"/>
        </w:rPr>
        <w:t xml:space="preserve">1.6 Why All Three Levels Matter</w:t>
      </w:r>
    </w:p>
    <w:p>
      <w:pPr>
        <w:spacing w:after="120" w:line="300"/>
        <w:jc w:val="both"/>
      </w:pPr>
      <w:r>
        <w:t xml:space="preserve">Three reasons architects must engage with all three levels:</w:t>
      </w:r>
    </w:p>
    <w:p>
      <w:pPr>
        <w:pStyle w:val="ListParagraph"/>
        <w:numPr>
          <w:ilvl w:val="0"/>
          <w:numId w:val="3"/>
        </w:numPr>
        <w:spacing w:after="80" w:line="280"/>
      </w:pPr>
      <w:r>
        <w:t xml:space="preserve">Reporting frameworks demand it. The GHG Protocol (Section 9) distinguishes Scope 1 (direct emissions), Scope 2 (purchased electricity), and Scope 3 (everything else, including embodied and induced). Modern reporting requires all three; architectures that account only for operational carbon fail full Scope reporting.</w:t>
      </w:r>
    </w:p>
    <w:p>
      <w:pPr>
        <w:pStyle w:val="ListParagraph"/>
        <w:numPr>
          <w:ilvl w:val="0"/>
          <w:numId w:val="3"/>
        </w:numPr>
        <w:spacing w:after="80" w:line="280"/>
      </w:pPr>
      <w:r>
        <w:t xml:space="preserve">Optimisation depends on knowing the dominant level. Optimising operational carbon while ignoring embodied carbon may result in retiring hardware too quickly to recoup its embodied carbon. Optimising direct carbon while ignoring induced carbon may shift impact rather than reducing it.</w:t>
      </w:r>
    </w:p>
    <w:p>
      <w:pPr>
        <w:pStyle w:val="ListParagraph"/>
        <w:numPr>
          <w:ilvl w:val="0"/>
          <w:numId w:val="3"/>
        </w:numPr>
        <w:spacing w:after="80" w:line="280"/>
      </w:pPr>
      <w:r>
        <w:t xml:space="preserve">Regulatory exposure spans all three. CSRD (Section 9) requires reporting at all three levels for relevant enterprises; SBTi (Section 9) requires emissions reduction across all three. Architectural decisions that improve one level at the expense of another fail the broader test.</w:t>
      </w:r>
    </w:p>
    <w:p>
      <w:r>
        <w:br w:type="page"/>
      </w:r>
    </w:p>
    <w:p>
      <w:pPr>
        <w:pStyle w:val="Heading1"/>
        <w:spacing w:after="200" w:before="360"/>
      </w:pPr>
      <w:r>
        <w:rPr>
          <w:b/>
          <w:bCs/>
          <w:color w:val="1F4E78"/>
        </w:rPr>
        <w:t xml:space="preserve">2. Sustainability Non-Functional Requirements</w:t>
      </w:r>
    </w:p>
    <w:p>
      <w:pPr>
        <w:spacing w:after="120" w:line="300"/>
        <w:jc w:val="both"/>
      </w:pPr>
      <w:r>
        <w:t xml:space="preserve">Sustainability becomes architecturally tractable when it is expressed as concrete non-functional requirements with measurable units. The Series Guide identifies several standard NFR types that recur in modern sustainable architectures. Recognising the units and targets is exam-relevant.</w:t>
      </w:r>
    </w:p>
    <w:p>
      <w:pPr>
        <w:pStyle w:val="Heading2"/>
        <w:spacing w:after="160" w:before="280"/>
      </w:pPr>
      <w:r>
        <w:rPr>
          <w:b/>
          <w:bCs/>
          <w:color w:val="2E75B6"/>
        </w:rPr>
        <w:t xml:space="preserve">2.1 The Standard NFR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Sustainability NFRs: </w:t>
            </w:r>
            <w:r>
              <w:t xml:space="preserve">Concrete non-functional requirements expressed in measurable sustainability units. Standard types: gCO2e per request (carbon emitted per unit of work delivered); energy proportionality (does idle hardware consume much less than busy hardware); resource utilisation (what fraction of provisioned capacity is actually used); demand shifting (the ability to time-shift workload to lower-carbon periods). Each type is measurable, target-able, and architecturally addressable.</w:t>
            </w:r>
          </w:p>
        </w:tc>
      </w:tr>
    </w:tbl>
    <w:p>
      <w:pPr>
        <w:pStyle w:val="Heading2"/>
        <w:spacing w:after="160" w:before="280"/>
      </w:pPr>
      <w:r>
        <w:rPr>
          <w:b/>
          <w:bCs/>
          <w:color w:val="2E75B6"/>
        </w:rPr>
        <w:t xml:space="preserve">2.2 NFR Type 1: Carbon Per Request</w:t>
      </w:r>
    </w:p>
    <w:p>
      <w:pPr>
        <w:spacing w:after="120" w:line="300"/>
        <w:jc w:val="both"/>
      </w:pPr>
      <w:r>
        <w:t xml:space="preserve">The most direct sustainability NFR: how much CO2-equivalent is emitted per unit of business work. Typical units: gCO2e per API request; gCO2e per web page load; gCO2e per ML inference; gCO2e per batch job per record processed.</w:t>
      </w:r>
    </w:p>
    <w:p>
      <w:pPr>
        <w:spacing w:after="120" w:line="300"/>
        <w:jc w:val="both"/>
      </w:pPr>
      <w:r>
        <w:t xml:space="preserve">Setting targets: typical baseline measurements are first taken, then improvement targets set (e.g., "reduce gCO2e per customer transaction from 2.4g to under 1.0g by Q4 2027"). The metric is the principal way sustainability work is tracked over time and reported.</w:t>
      </w:r>
    </w:p>
    <w:p>
      <w:pPr>
        <w:pStyle w:val="Heading2"/>
        <w:spacing w:after="160" w:before="280"/>
      </w:pPr>
      <w:r>
        <w:rPr>
          <w:b/>
          <w:bCs/>
          <w:color w:val="2E75B6"/>
        </w:rPr>
        <w:t xml:space="preserve">2.3 NFR Type 2: Energy Proportionality</w:t>
      </w:r>
    </w:p>
    <w:p>
      <w:pPr>
        <w:spacing w:after="120" w:line="300"/>
        <w:jc w:val="both"/>
      </w:pPr>
      <w:r>
        <w:t xml:space="preserve">Energy proportionality measures whether energy consumption scales linearly with utilisation. A perfectly proportional system consumes 0% energy at 0% load and 100% energy at 100% load. Real systems are imperfect: idle servers still consume substantial energy (often 30-60% of peak), so low utilisation is energy-inefficient.</w:t>
      </w:r>
    </w:p>
    <w:p>
      <w:pPr>
        <w:spacing w:after="120" w:line="300"/>
        <w:jc w:val="both"/>
      </w:pPr>
      <w:r>
        <w:t xml:space="preserve">Architecturally:</w:t>
      </w:r>
    </w:p>
    <w:p>
      <w:pPr>
        <w:pStyle w:val="ListParagraph"/>
        <w:numPr>
          <w:ilvl w:val="0"/>
          <w:numId w:val="2"/>
        </w:numPr>
        <w:spacing w:after="80" w:line="280"/>
      </w:pPr>
      <w:r>
        <w:t xml:space="preserve">Higher proportionality is better — a system that consumes 5% energy at 5% load is preferable to one that consumes 40%.</w:t>
      </w:r>
    </w:p>
    <w:p>
      <w:pPr>
        <w:pStyle w:val="ListParagraph"/>
        <w:numPr>
          <w:ilvl w:val="0"/>
          <w:numId w:val="2"/>
        </w:numPr>
        <w:spacing w:after="80" w:line="280"/>
      </w:pPr>
      <w:r>
        <w:t xml:space="preserve">Modern serverless and managed platforms are more proportional than provisioned VMs because the provider can pack workloads efficiently across hardware.</w:t>
      </w:r>
    </w:p>
    <w:p>
      <w:pPr>
        <w:pStyle w:val="ListParagraph"/>
        <w:numPr>
          <w:ilvl w:val="0"/>
          <w:numId w:val="2"/>
        </w:numPr>
        <w:spacing w:after="80" w:line="280"/>
      </w:pPr>
      <w:r>
        <w:t xml:space="preserve">Scale-to-zero (Section 6) is the limit case — zero energy at zero load.</w:t>
      </w:r>
    </w:p>
    <w:p>
      <w:pPr>
        <w:pStyle w:val="Heading2"/>
        <w:spacing w:after="160" w:before="280"/>
      </w:pPr>
      <w:r>
        <w:rPr>
          <w:b/>
          <w:bCs/>
          <w:color w:val="2E75B6"/>
        </w:rPr>
        <w:t xml:space="preserve">2.4 NFR Type 3: Resource Utilisation</w:t>
      </w:r>
    </w:p>
    <w:p>
      <w:pPr>
        <w:spacing w:after="120" w:line="300"/>
        <w:jc w:val="both"/>
      </w:pPr>
      <w:r>
        <w:t xml:space="preserve">Resource utilisation measures what fraction of provisioned capacity is actually used. A 20-CPU server running at 80% utilisation is using 16 CPUs of capacity; the same workload on a 100-CPU server runs at 16% utilisation but emits the energy of all 100 CPUs (subject to energy proportionality).</w:t>
      </w:r>
    </w:p>
    <w:p>
      <w:pPr>
        <w:spacing w:after="120" w:line="300"/>
        <w:jc w:val="both"/>
      </w:pPr>
      <w:r>
        <w:t xml:space="preserve">Targets: typical utilisation targets for compute infrastructure are 60-80% — high enough to use the embodied and operational carbon efficiently, low enough to absorb spikes and provide latency margin. Substantially lower utilisation indicates over-provisioning; substantially higher indicates inadequate margin.</w:t>
      </w:r>
    </w:p>
    <w:p>
      <w:pPr>
        <w:pStyle w:val="Heading2"/>
        <w:spacing w:after="160" w:before="280"/>
      </w:pPr>
      <w:r>
        <w:rPr>
          <w:b/>
          <w:bCs/>
          <w:color w:val="2E75B6"/>
        </w:rPr>
        <w:t xml:space="preserve">2.5 NFR Type 4: Demand Shifting Capability</w:t>
      </w:r>
    </w:p>
    <w:p>
      <w:pPr>
        <w:spacing w:after="120" w:line="300"/>
        <w:jc w:val="both"/>
      </w:pPr>
      <w:r>
        <w:t xml:space="preserve">Demand shifting is the ability to move non-time-critical workload to periods of low grid carbon intensity. "This batch can run any time in the next 24 hours" → the platform schedules it during the lowest-carbon window in that period. "This ML training can wait until weekend" → run when wind generation is high. Demand shifting has emerged as one of the most powerful operational carbon levers when grid carbon intensity varies substantially over time and space.</w:t>
      </w:r>
    </w:p>
    <w:p>
      <w:pPr>
        <w:spacing w:after="120" w:line="300"/>
        <w:jc w:val="both"/>
      </w:pPr>
      <w:r>
        <w:t xml:space="preserve">The NFR captures: which workloads can be shifted; what time windows are acceptable; what tolerance for delay exists. Workloads that require demand shifting must be designed for it — they must accept being scheduled in delayed windows, must be idempotent (in case of retries), and must not assume immediate execution.</w:t>
      </w:r>
    </w:p>
    <w:p>
      <w:pPr>
        <w:pStyle w:val="Heading2"/>
        <w:spacing w:after="160" w:before="280"/>
      </w:pPr>
      <w:r>
        <w:rPr>
          <w:b/>
          <w:bCs/>
          <w:color w:val="2E75B6"/>
        </w:rPr>
        <w:t xml:space="preserve">2.6 The Four NFR Types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700"/>
        <w:gridCol w:w="27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NFR Type</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Measurable Unit</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Target Direction</w:t>
            </w:r>
          </w:p>
        </w:tc>
        <w:tc>
          <w:tcPr>
            <w:tcW w:type="dxa" w:w="2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Architectural Lever</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 per request</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gCO2e per unit of work</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Lower is better</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All sustainability practices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Energy proportionality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Energy at low load / energy at peak load</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Lower fraction is better</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Scale-to-zero; serverless platforms; efficient idle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Resource utilisation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Used capacity / provisioned capacity</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60-80% typical target</w:t>
            </w:r>
          </w:p>
        </w:tc>
        <w:tc>
          <w:tcPr>
            <w:tcW w:type="dxa" w:w="2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Right-sizing; consolidation; autoscaling</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Demand shifting capability</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Workload classification: shiftable / not / partially</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Maximise shiftable fraction</w:t>
            </w:r>
          </w:p>
        </w:tc>
        <w:tc>
          <w:tcPr>
            <w:tcW w:type="dxa" w:w="2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Asynchronous design; idempotent jobs; flexible scheduling</w:t>
            </w:r>
          </w:p>
        </w:tc>
      </w:tr>
    </w:tbl>
    <w:p>
      <w:r>
        <w:br w:type="page"/>
      </w:r>
    </w:p>
    <w:p>
      <w:pPr>
        <w:pStyle w:val="Heading1"/>
        <w:spacing w:after="200" w:before="360"/>
      </w:pPr>
      <w:r>
        <w:rPr>
          <w:b/>
          <w:bCs/>
          <w:color w:val="1F4E78"/>
        </w:rPr>
        <w:t xml:space="preserve">3. Cloud Region Selection Dominates Carbon Outcomes</w:t>
      </w:r>
    </w:p>
    <w:p>
      <w:pPr>
        <w:spacing w:after="120" w:line="300"/>
        <w:jc w:val="both"/>
      </w:pPr>
      <w:r>
        <w:t xml:space="preserve">This is the most important practical point in this module: where workloads run dominates their operational carbon impact, by margins of 10× to 50× between the cleanest and dirtiest regions on the same cloud provider. A workload moved from a coal-heavy region to a hydro-or-nuclear-heavy region typically reduces its operational carbon by an order of magnitude. The exam tests recognition of this dominance; in practice, region selection is the highest-leverage decision an architect makes for operational carbon.</w:t>
      </w:r>
    </w:p>
    <w:p>
      <w:pPr>
        <w:pStyle w:val="Heading2"/>
        <w:spacing w:after="160" w:before="280"/>
      </w:pPr>
      <w:r>
        <w:rPr>
          <w:b/>
          <w:bCs/>
          <w:color w:val="2E75B6"/>
        </w:rPr>
        <w:t xml:space="preserve">3.1 The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Cloud Region Carbon Variance: </w:t>
            </w:r>
            <w:r>
              <w:t xml:space="preserve">Cloud regions differ enormously in grid carbon intensity — typically 10× to 50× variance between the cleanest and dirtiest regions on the same provider. France (mostly nuclear): ~50 gCO2/kWh. Sweden, Norway (hydro): ~10-30 gCO2/kWh. US Pacific Northwest (hydro): ~50-100 gCO2/kWh. India regions, some Asian regions (coal-heavy grids): 600-900+ gCO2/kWh. The same workload can have dramatically different carbon outcomes purely based on region, with no workload changes required.</w:t>
            </w:r>
          </w:p>
        </w:tc>
      </w:tr>
    </w:tbl>
    <w:p>
      <w:pPr>
        <w:pStyle w:val="Heading2"/>
        <w:spacing w:after="160" w:before="280"/>
      </w:pPr>
      <w:r>
        <w:rPr>
          <w:b/>
          <w:bCs/>
          <w:color w:val="2E75B6"/>
        </w:rPr>
        <w:t xml:space="preserve">3.2 Why the Variance Is So Large</w:t>
      </w:r>
    </w:p>
    <w:p>
      <w:pPr>
        <w:spacing w:after="120" w:line="300"/>
        <w:jc w:val="both"/>
      </w:pPr>
      <w:r>
        <w:t xml:space="preserve">Grid carbon intensity is determined by the mix of energy sources powering the grid. Some regions run on:</w:t>
      </w:r>
    </w:p>
    <w:p>
      <w:pPr>
        <w:pStyle w:val="ListParagraph"/>
        <w:numPr>
          <w:ilvl w:val="0"/>
          <w:numId w:val="2"/>
        </w:numPr>
        <w:spacing w:after="80" w:line="280"/>
      </w:pPr>
      <w:r>
        <w:t xml:space="preserve">Nuclear (~10-50 gCO2/kWh) — France, parts of Eastern Europe.</w:t>
      </w:r>
    </w:p>
    <w:p>
      <w:pPr>
        <w:pStyle w:val="ListParagraph"/>
        <w:numPr>
          <w:ilvl w:val="0"/>
          <w:numId w:val="2"/>
        </w:numPr>
        <w:spacing w:after="80" w:line="280"/>
      </w:pPr>
      <w:r>
        <w:t xml:space="preserve">Hydro (~10-50 gCO2/kWh) — Norway, Sweden, parts of Canada, US Pacific Northwest, Brazil.</w:t>
      </w:r>
    </w:p>
    <w:p>
      <w:pPr>
        <w:pStyle w:val="ListParagraph"/>
        <w:numPr>
          <w:ilvl w:val="0"/>
          <w:numId w:val="2"/>
        </w:numPr>
        <w:spacing w:after="80" w:line="280"/>
      </w:pPr>
      <w:r>
        <w:t xml:space="preserve">Wind/solar with appropriate storage (~30-100 gCO2/kWh) — Iceland (geothermal/hydro), parts of Denmark, Texas at certain times.</w:t>
      </w:r>
    </w:p>
    <w:p>
      <w:pPr>
        <w:pStyle w:val="ListParagraph"/>
        <w:numPr>
          <w:ilvl w:val="0"/>
          <w:numId w:val="2"/>
        </w:numPr>
        <w:spacing w:after="80" w:line="280"/>
      </w:pPr>
      <w:r>
        <w:t xml:space="preserve">Mixed grids with substantial gas (~250-450 gCO2/kWh) — UK, Germany at most times, much of US East.</w:t>
      </w:r>
    </w:p>
    <w:p>
      <w:pPr>
        <w:pStyle w:val="ListParagraph"/>
        <w:numPr>
          <w:ilvl w:val="0"/>
          <w:numId w:val="2"/>
        </w:numPr>
        <w:spacing w:after="80" w:line="280"/>
      </w:pPr>
      <w:r>
        <w:t xml:space="preserve">Coal-heavy grids (~600-900+ gCO2/kWh) — India, Poland, parts of Asia, some US states.</w:t>
      </w:r>
    </w:p>
    <w:p>
      <w:pPr>
        <w:spacing w:after="120" w:line="300"/>
        <w:jc w:val="both"/>
      </w:pPr>
      <w:r>
        <w:t xml:space="preserve">Cloud providers locate regions based on customer demand, latency, regulation, and cost; the resulting region distribution covers the full range of grid intensities. An architect's region choice therefore propagates the underlying grid choice to the workload's operational carbon.</w:t>
      </w:r>
    </w:p>
    <w:p>
      <w:pPr>
        <w:pStyle w:val="Heading2"/>
        <w:spacing w:after="160" w:before="280"/>
      </w:pPr>
      <w:r>
        <w:rPr>
          <w:b/>
          <w:bCs/>
          <w:color w:val="2E75B6"/>
        </w:rPr>
        <w:t xml:space="preserve">3.3 Region Selection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Same Workload, Different Regions, Different Carbon</w:t>
            </w:r>
          </w:p>
          <w:p>
            <w:pPr>
              <w:spacing w:after="60" w:line="280"/>
              <w:jc w:val="both"/>
            </w:pPr>
            <w:r>
              <w:t xml:space="preserve">Workload: a moderate-scale microservice handling 10 million API requests per day. Average energy per request: 0.1 watt-hours. Daily energy: 1,000 kWh.</w:t>
            </w:r>
          </w:p>
          <w:p>
            <w:pPr>
              <w:spacing w:after="60" w:line="280"/>
              <w:jc w:val="both"/>
            </w:pPr>
            <w:r>
              <w:t xml:space="preserve">If deployed in eu-north-1 (Stockholm; mostly hydro/nuclear, ~50 gCO2/kWh): daily emissions = 50 kg CO2. Annual: 18.3 tonnes.</w:t>
            </w:r>
          </w:p>
          <w:p>
            <w:pPr>
              <w:spacing w:after="60" w:line="280"/>
              <w:jc w:val="both"/>
            </w:pPr>
            <w:r>
              <w:t xml:space="preserve">If deployed in eu-west-2 (London; mixed with substantial gas, ~250 gCO2/kWh): daily emissions = 250 kg CO2. Annual: 91 tonnes.</w:t>
            </w:r>
          </w:p>
          <w:p>
            <w:pPr>
              <w:spacing w:after="60" w:line="280"/>
              <w:jc w:val="both"/>
            </w:pPr>
            <w:r>
              <w:t xml:space="preserve">If deployed in ap-south-1 (Mumbai; coal-heavy, ~700 gCO2/kWh): daily emissions = 700 kg CO2. Annual: 256 tonnes.</w:t>
            </w:r>
          </w:p>
          <w:p>
            <w:pPr>
              <w:spacing w:after="60" w:line="280"/>
              <w:jc w:val="both"/>
            </w:pPr>
            <w:r>
              <w:t xml:space="preserve">Same workload; same energy consumption; 14× difference in operational carbon between Stockholm and Mumbai. No code changes; no architectural rework; just region selection.</w:t>
            </w:r>
          </w:p>
          <w:p>
            <w:pPr>
              <w:spacing w:after="60" w:line="280"/>
              <w:jc w:val="both"/>
            </w:pPr>
            <w:r>
              <w:t xml:space="preserve">For most workloads where latency to a specific user base is not a hard constraint, this is the single largest sustainability lever an architect controls.</w:t>
            </w:r>
          </w:p>
        </w:tc>
      </w:tr>
    </w:tbl>
    <w:p>
      <w:pPr>
        <w:pStyle w:val="Heading2"/>
        <w:spacing w:after="160" w:before="280"/>
      </w:pPr>
      <w:r>
        <w:rPr>
          <w:b/>
          <w:bCs/>
          <w:color w:val="2E75B6"/>
        </w:rPr>
        <w:t xml:space="preserve">3.4 Cloud Provider Region Carbon Data</w:t>
      </w:r>
    </w:p>
    <w:p>
      <w:pPr>
        <w:spacing w:after="120" w:line="300"/>
        <w:jc w:val="both"/>
      </w:pPr>
      <w:r>
        <w:t xml:space="preserve">Modern cloud providers publish region-level carbon data:</w:t>
      </w:r>
    </w:p>
    <w:p>
      <w:pPr>
        <w:pStyle w:val="ListParagraph"/>
        <w:numPr>
          <w:ilvl w:val="0"/>
          <w:numId w:val="2"/>
        </w:numPr>
        <w:spacing w:after="80" w:line="280"/>
      </w:pPr>
      <w:r>
        <w:t xml:space="preserve">AWS — provides Customer Carbon Footprint Tool with per-region carbon data, refreshed monthly.</w:t>
      </w:r>
    </w:p>
    <w:p>
      <w:pPr>
        <w:pStyle w:val="ListParagraph"/>
        <w:numPr>
          <w:ilvl w:val="0"/>
          <w:numId w:val="2"/>
        </w:numPr>
        <w:spacing w:after="80" w:line="280"/>
      </w:pPr>
      <w:r>
        <w:t xml:space="preserve">Azure — Emissions Impact Dashboard provides equivalent reporting.</w:t>
      </w:r>
    </w:p>
    <w:p>
      <w:pPr>
        <w:pStyle w:val="ListParagraph"/>
        <w:numPr>
          <w:ilvl w:val="0"/>
          <w:numId w:val="2"/>
        </w:numPr>
        <w:spacing w:after="80" w:line="280"/>
      </w:pPr>
      <w:r>
        <w:t xml:space="preserve">Google Cloud — provides Carbon Footprint reporting and explicitly tags regions as low-carbon (those with the cleanest grids).</w:t>
      </w:r>
    </w:p>
    <w:p>
      <w:pPr>
        <w:spacing w:after="120" w:line="300"/>
        <w:jc w:val="both"/>
      </w:pPr>
      <w:r>
        <w:t xml:space="preserve">Architects should use this data when selecting regions: prefer the lowest-carbon regions among those that meet other constraints (latency, residency, cost). Where multiple regions meet all hard constraints, region selection should be carbon-driven.</w:t>
      </w:r>
    </w:p>
    <w:p>
      <w:r>
        <w:br w:type="page"/>
      </w:r>
    </w:p>
    <w:p>
      <w:pPr>
        <w:pStyle w:val="Heading1"/>
        <w:spacing w:after="200" w:before="360"/>
      </w:pPr>
      <w:r>
        <w:rPr>
          <w:b/>
          <w:bCs/>
          <w:color w:val="1F4E78"/>
        </w:rPr>
        <w:t xml:space="preserve">4. The Standard Sustainability Trade-Offs</w:t>
      </w:r>
    </w:p>
    <w:p>
      <w:pPr>
        <w:spacing w:after="120" w:line="300"/>
        <w:jc w:val="both"/>
      </w:pPr>
      <w:r>
        <w:t xml:space="preserve">Sustainability decisions interact with other architectural concerns. Three trade-offs recur most frequently and are exam-relevant: carbon vs latency, carbon vs cost, and carbon vs data residency. Understanding the trade-offs is what makes sustainability decisions defensible — purely-low-carbon decisions that ignore latency and residency are not viable in real engagements.</w:t>
      </w:r>
    </w:p>
    <w:p>
      <w:pPr>
        <w:pStyle w:val="Heading2"/>
        <w:spacing w:after="160" w:before="280"/>
      </w:pPr>
      <w:r>
        <w:rPr>
          <w:b/>
          <w:bCs/>
          <w:color w:val="2E75B6"/>
        </w:rPr>
        <w:t xml:space="preserve">4.1 Trade-Off 1: Carbon vs Latency</w:t>
      </w:r>
    </w:p>
    <w:p>
      <w:pPr>
        <w:spacing w:after="120" w:line="300"/>
        <w:jc w:val="both"/>
      </w:pPr>
      <w:r>
        <w:t xml:space="preserve">The cleanest cloud regions are not always close to your users. France, Sweden, Iceland are clean; if your users are in Asia or the US, latency to those regions is poor. Forcing latency-sensitive workloads to the cleanest region produces user experience that fails functional acceptance.</w:t>
      </w:r>
    </w:p>
    <w:p>
      <w:pPr>
        <w:spacing w:after="120" w:line="300"/>
        <w:jc w:val="both"/>
      </w:pPr>
      <w:r>
        <w:t xml:space="preserve">How to navigate the trade-off:</w:t>
      </w:r>
    </w:p>
    <w:p>
      <w:pPr>
        <w:pStyle w:val="ListParagraph"/>
        <w:numPr>
          <w:ilvl w:val="0"/>
          <w:numId w:val="2"/>
        </w:numPr>
        <w:spacing w:after="80" w:line="280"/>
      </w:pPr>
      <w:r>
        <w:t xml:space="preserve">For latency-insensitive workloads (batch jobs, ML training, background processing) — use the cleanest available regions globally; latency does not constrain.</w:t>
      </w:r>
    </w:p>
    <w:p>
      <w:pPr>
        <w:pStyle w:val="ListParagraph"/>
        <w:numPr>
          <w:ilvl w:val="0"/>
          <w:numId w:val="2"/>
        </w:numPr>
        <w:spacing w:after="80" w:line="280"/>
      </w:pPr>
      <w:r>
        <w:t xml:space="preserve">For latency-sensitive interactive workloads — use the cleanest region within the latency budget. "Within 100ms of European users" still typically allows choice between several European regions, of which the cleaner should be selected.</w:t>
      </w:r>
    </w:p>
    <w:p>
      <w:pPr>
        <w:pStyle w:val="ListParagraph"/>
        <w:numPr>
          <w:ilvl w:val="0"/>
          <w:numId w:val="2"/>
        </w:numPr>
        <w:spacing w:after="80" w:line="280"/>
      </w:pPr>
      <w:r>
        <w:t xml:space="preserve">For latency-critical workloads (real-time trading, gaming) — latency dominates; carbon optimisation happens through other levers (right-sizing, demand shifting on peripheral non-latency-critical components).</w:t>
      </w:r>
    </w:p>
    <w:p>
      <w:pPr>
        <w:pStyle w:val="Heading2"/>
        <w:spacing w:after="160" w:before="280"/>
      </w:pPr>
      <w:r>
        <w:rPr>
          <w:b/>
          <w:bCs/>
          <w:color w:val="2E75B6"/>
        </w:rPr>
        <w:t xml:space="preserve">4.2 Trade-Off 2: Carbon vs Cost</w:t>
      </w:r>
    </w:p>
    <w:p>
      <w:pPr>
        <w:spacing w:after="120" w:line="300"/>
        <w:jc w:val="both"/>
      </w:pPr>
      <w:r>
        <w:t xml:space="preserve">In some cases, the lowest-carbon region is also the lowest-cost (cloud providers price aggressively in regions with abundant clean power); in other cases, the cleanest regions cost more (Nordic regions can be premium-priced). Where the carbon and cost optima diverge, decisions become explicit:</w:t>
      </w:r>
    </w:p>
    <w:p>
      <w:pPr>
        <w:pStyle w:val="ListParagraph"/>
        <w:numPr>
          <w:ilvl w:val="0"/>
          <w:numId w:val="2"/>
        </w:numPr>
        <w:spacing w:after="80" w:line="280"/>
      </w:pPr>
      <w:r>
        <w:t xml:space="preserve">Many enterprises now apply a shadow carbon price — adding a notional cost-per-tonne-CO2 to financial calculations. At a shadow price of $50-100/tonne, many region decisions tip toward the lower-carbon option even when that option's listed cost is higher.</w:t>
      </w:r>
    </w:p>
    <w:p>
      <w:pPr>
        <w:pStyle w:val="ListParagraph"/>
        <w:numPr>
          <w:ilvl w:val="0"/>
          <w:numId w:val="2"/>
        </w:numPr>
        <w:spacing w:after="80" w:line="280"/>
      </w:pPr>
      <w:r>
        <w:t xml:space="preserve">Where the shadow price doesn't move the decision, document the trade-off explicitly. "We chose region X for cost reasons despite higher carbon; the carbon impact is Y tonnes/year above the alternative" makes the trade-off transparent.</w:t>
      </w:r>
    </w:p>
    <w:p>
      <w:pPr>
        <w:pStyle w:val="Heading2"/>
        <w:spacing w:after="160" w:before="280"/>
      </w:pPr>
      <w:r>
        <w:rPr>
          <w:b/>
          <w:bCs/>
          <w:color w:val="2E75B6"/>
        </w:rPr>
        <w:t xml:space="preserve">4.3 Trade-Off 3: Carbon vs Data Residency</w:t>
      </w:r>
    </w:p>
    <w:p>
      <w:pPr>
        <w:spacing w:after="120" w:line="300"/>
        <w:jc w:val="both"/>
      </w:pPr>
      <w:r>
        <w:t xml:space="preserve">Regulatory constraints (GDPR, sector-specific regulations, sovereignty requirements) often require data to stay within specific geographic boundaries. "Data must remain in the EU" eliminates non-EU regions regardless of their carbon credentials. "Data must remain in France" further restricts.</w:t>
      </w:r>
    </w:p>
    <w:p>
      <w:pPr>
        <w:spacing w:after="120" w:line="300"/>
        <w:jc w:val="both"/>
      </w:pPr>
      <w:r>
        <w:t xml:space="preserve">How to navigate:</w:t>
      </w:r>
    </w:p>
    <w:p>
      <w:pPr>
        <w:pStyle w:val="ListParagraph"/>
        <w:numPr>
          <w:ilvl w:val="0"/>
          <w:numId w:val="2"/>
        </w:numPr>
        <w:spacing w:after="80" w:line="280"/>
      </w:pPr>
      <w:r>
        <w:t xml:space="preserve">Identify residency constraints early in Phase B (Business / regulatory) — they cannot be relaxed for carbon reasons.</w:t>
      </w:r>
    </w:p>
    <w:p>
      <w:pPr>
        <w:pStyle w:val="ListParagraph"/>
        <w:numPr>
          <w:ilvl w:val="0"/>
          <w:numId w:val="2"/>
        </w:numPr>
        <w:spacing w:after="80" w:line="280"/>
      </w:pPr>
      <w:r>
        <w:t xml:space="preserve">Within the permitted regions, optimise for carbon. "Must stay in EU" still allows choice among EU regions; pick the cleanest available (typically eu-north-1 Stockholm, eu-west-3 Paris).</w:t>
      </w:r>
    </w:p>
    <w:p>
      <w:pPr>
        <w:pStyle w:val="ListParagraph"/>
        <w:numPr>
          <w:ilvl w:val="0"/>
          <w:numId w:val="2"/>
        </w:numPr>
        <w:spacing w:after="80" w:line="280"/>
      </w:pPr>
      <w:r>
        <w:t xml:space="preserve">Consider whether residency applies to all data or only specific elements. Often the residency requirement applies to personal data; non-personal analytical data may run elsewhere, opening more region choice for the carbon-intensive components.</w:t>
      </w:r>
    </w:p>
    <w:p>
      <w:pPr>
        <w:pStyle w:val="Heading2"/>
        <w:spacing w:after="160" w:before="280"/>
      </w:pPr>
      <w:r>
        <w:rPr>
          <w:b/>
          <w:bCs/>
          <w:color w:val="2E75B6"/>
        </w:rPr>
        <w:t xml:space="preserve">4.4 The Three Trade-Offs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Trade-Off</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Conflict</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How to Navigate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 vs Latency</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Cleanest regions may be far from users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Latency-insensitive: use cleanest globally. Sensitive: cleanest within latency budget. Critical: latency dominates.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Carbon vs Cost</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Cleanest regions may cost more (or less) than alternatives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Apply shadow carbon price; document explicit trade-offs where divergent.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 vs Data Residency</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Cleanest regions may be outside permitted residency zones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Identify residency early; optimise within permitted regions; segment data where possible.</w:t>
            </w:r>
          </w:p>
        </w:tc>
      </w:tr>
    </w:tbl>
    <w:p>
      <w:r>
        <w:br w:type="page"/>
      </w:r>
    </w:p>
    <w:p>
      <w:pPr>
        <w:pStyle w:val="Heading1"/>
        <w:spacing w:after="200" w:before="360"/>
      </w:pPr>
      <w:r>
        <w:rPr>
          <w:b/>
          <w:bCs/>
          <w:color w:val="1F4E78"/>
        </w:rPr>
        <w:t xml:space="preserve">5. The Green Software Foundation Five Principles</w:t>
      </w:r>
    </w:p>
    <w:p>
      <w:pPr>
        <w:spacing w:after="120" w:line="300"/>
        <w:jc w:val="both"/>
      </w:pPr>
      <w:r>
        <w:t xml:space="preserve">The Green Software Foundation (GSF) — a non-profit hosted by the Linux Foundation, formed in 2021 — has emerged as the principal industry body for green software practice. Its Principles of Green Software is widely adopted as the canonical conceptual framework. Memorising the five principles by name is exam-relevant; understanding what each requires is what makes them practically useful.</w:t>
      </w:r>
    </w:p>
    <w:p>
      <w:pPr>
        <w:pStyle w:val="Heading2"/>
        <w:spacing w:after="160" w:before="280"/>
      </w:pPr>
      <w:r>
        <w:rPr>
          <w:b/>
          <w:bCs/>
          <w:color w:val="2E75B6"/>
        </w:rPr>
        <w:t xml:space="preserve">5.1 The Five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Green Software Foundation — Five Principles: </w:t>
            </w:r>
            <w:r>
              <w:t xml:space="preserve">(1) Carbon Efficiency — emit the least carbon possible; (2) Energy Efficiency — use the least energy possible; (3) Carbon Awareness — do more when the electricity is clean and less when it is dirty; (4) Hardware Efficiency — use the least embodied carbon possible (extend hardware life, increase utilisation); (5) Measurement — what gets measured gets improved. Together the five frame the practice of building green software.</w:t>
            </w:r>
          </w:p>
        </w:tc>
      </w:tr>
    </w:tbl>
    <w:p>
      <w:pPr>
        <w:pStyle w:val="Heading2"/>
        <w:spacing w:after="160" w:before="280"/>
      </w:pPr>
      <w:r>
        <w:rPr>
          <w:b/>
          <w:bCs/>
          <w:color w:val="2E75B6"/>
        </w:rPr>
        <w:t xml:space="preserve">5.2 Each Principle Defined</w:t>
      </w:r>
    </w:p>
    <w:p>
      <w:pPr>
        <w:pStyle w:val="Heading3"/>
        <w:spacing w:after="120" w:before="220"/>
      </w:pPr>
      <w:r>
        <w:rPr>
          <w:b/>
          <w:bCs/>
          <w:color w:val="404040"/>
        </w:rPr>
        <w:t xml:space="preserve">Principle 1: Carbon Efficiency</w:t>
      </w:r>
    </w:p>
    <w:p>
      <w:pPr>
        <w:spacing w:after="120" w:line="300"/>
        <w:jc w:val="both"/>
      </w:pPr>
      <w:r>
        <w:t xml:space="preserve">Build applications that emit the least amount of carbon possible. The overarching principle: every architectural and engineering choice should consider its carbon impact. Carbon efficiency is the umbrella concept that the other four principles serve.</w:t>
      </w:r>
    </w:p>
    <w:p>
      <w:pPr>
        <w:pStyle w:val="Heading3"/>
        <w:spacing w:after="120" w:before="220"/>
      </w:pPr>
      <w:r>
        <w:rPr>
          <w:b/>
          <w:bCs/>
          <w:color w:val="404040"/>
        </w:rPr>
        <w:t xml:space="preserve">Principle 2: Energy Efficiency</w:t>
      </w:r>
    </w:p>
    <w:p>
      <w:pPr>
        <w:spacing w:after="120" w:line="300"/>
        <w:jc w:val="both"/>
      </w:pPr>
      <w:r>
        <w:t xml:space="preserve">Build applications that use the least amount of electricity possible. Distinct from carbon efficiency because not all electricity has the same carbon intensity (Section 3); even on a perfectly clean grid, using less energy is preferable. Concrete practices: efficient algorithms, minimal data transfer, optimised computation, modern hardware that does more per watt.</w:t>
      </w:r>
    </w:p>
    <w:p>
      <w:pPr>
        <w:pStyle w:val="Heading3"/>
        <w:spacing w:after="120" w:before="220"/>
      </w:pPr>
      <w:r>
        <w:rPr>
          <w:b/>
          <w:bCs/>
          <w:color w:val="404040"/>
        </w:rPr>
        <w:t xml:space="preserve">Principle 3: Carbon Awareness</w:t>
      </w:r>
    </w:p>
    <w:p>
      <w:pPr>
        <w:spacing w:after="120" w:line="300"/>
        <w:jc w:val="both"/>
      </w:pPr>
      <w:r>
        <w:t xml:space="preserve">Do more when the electricity supply is cleaner and less when it is dirtier. This is the principle behind demand shifting (Section 2.5): workloads that can wait until clean power is available should do so. The Carbon-Aware SDK (Section 8) is the engineering tool for implementing carbon awareness in software.</w:t>
      </w:r>
    </w:p>
    <w:p>
      <w:pPr>
        <w:pStyle w:val="Heading3"/>
        <w:spacing w:after="120" w:before="220"/>
      </w:pPr>
      <w:r>
        <w:rPr>
          <w:b/>
          <w:bCs/>
          <w:color w:val="404040"/>
        </w:rPr>
        <w:t xml:space="preserve">Principle 4: Hardware Efficiency</w:t>
      </w:r>
    </w:p>
    <w:p>
      <w:pPr>
        <w:spacing w:after="120" w:line="300"/>
        <w:jc w:val="both"/>
      </w:pPr>
      <w:r>
        <w:t xml:space="preserve">Build applications that use the least amount of embodied carbon possible. Practices: extend hardware lifetime; increase utilisation per device; reduce total devices required; choose hardware with lower embodied carbon when replacement is necessary; reuse and recycle decommissioned hardware.</w:t>
      </w:r>
    </w:p>
    <w:p>
      <w:pPr>
        <w:pStyle w:val="Heading3"/>
        <w:spacing w:after="120" w:before="220"/>
      </w:pPr>
      <w:r>
        <w:rPr>
          <w:b/>
          <w:bCs/>
          <w:color w:val="404040"/>
        </w:rPr>
        <w:t xml:space="preserve">Principle 5: Measurement</w:t>
      </w:r>
    </w:p>
    <w:p>
      <w:pPr>
        <w:spacing w:after="120" w:line="300"/>
        <w:jc w:val="both"/>
      </w:pPr>
      <w:r>
        <w:t xml:space="preserve">What gets measured gets improved. Sustainability work that is not measured cannot be assessed; without measurement, claims of improvement are unsupported. Concrete: instrument workloads for energy and carbon; baseline before optimisation; track over time; report transparently.</w:t>
      </w:r>
    </w:p>
    <w:p>
      <w:pPr>
        <w:pStyle w:val="Heading2"/>
        <w:spacing w:after="160" w:before="280"/>
      </w:pPr>
      <w:r>
        <w:rPr>
          <w:b/>
          <w:bCs/>
          <w:color w:val="2E75B6"/>
        </w:rPr>
        <w:t xml:space="preserve">5.3 The Five Principles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Principle</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Core Idea</w:t>
            </w:r>
          </w:p>
        </w:tc>
        <w:tc>
          <w:tcPr>
            <w:tcW w:type="dxa" w:w="3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Concrete Practice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 Efficiency</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Emit least carbon</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Overarching frame for all choices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Energy Efficiency</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Use least electricity</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Efficient algorithms; minimal data transfer; modern hardware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 Awareness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More when clean; less when dirty</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Demand shifting; carbon-aware scheduling</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Hardware Efficiency</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Use least embodied carbon</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Extend lifetime; increase utilisation; reduce total devices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Measurement</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gets measured gets improved</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Instrumentation; baselining; tracking; transparent reporting</w:t>
            </w:r>
          </w:p>
        </w:tc>
      </w:tr>
    </w:tbl>
    <w:p>
      <w:pPr>
        <w:pStyle w:val="Heading2"/>
        <w:spacing w:after="160" w:before="280"/>
      </w:pPr>
      <w:r>
        <w:rPr>
          <w:b/>
          <w:bCs/>
          <w:color w:val="2E75B6"/>
        </w:rPr>
        <w:t xml:space="preserve">5.4 GSF Beyond the Principles</w:t>
      </w:r>
    </w:p>
    <w:p>
      <w:pPr>
        <w:spacing w:after="120" w:line="300"/>
        <w:jc w:val="both"/>
      </w:pPr>
      <w:r>
        <w:t xml:space="preserve">The Green Software Foundation provides several more concrete artefacts beyond the five principles:</w:t>
      </w:r>
    </w:p>
    <w:p>
      <w:pPr>
        <w:pStyle w:val="ListParagraph"/>
        <w:numPr>
          <w:ilvl w:val="0"/>
          <w:numId w:val="2"/>
        </w:numPr>
        <w:spacing w:after="80" w:line="280"/>
      </w:pPr>
      <w:r>
        <w:t xml:space="preserve">Software Carbon Intensity (SCI) Specification — standardised metric for measuring software carbon. The unit is gCO2e per functional unit (e.g., per request, per user, per transaction).</w:t>
      </w:r>
    </w:p>
    <w:p>
      <w:pPr>
        <w:pStyle w:val="ListParagraph"/>
        <w:numPr>
          <w:ilvl w:val="0"/>
          <w:numId w:val="2"/>
        </w:numPr>
        <w:spacing w:after="80" w:line="280"/>
      </w:pPr>
      <w:r>
        <w:t xml:space="preserve">Green Software Patterns catalogue — over 70 named patterns for reducing software carbon.</w:t>
      </w:r>
    </w:p>
    <w:p>
      <w:pPr>
        <w:pStyle w:val="ListParagraph"/>
        <w:numPr>
          <w:ilvl w:val="0"/>
          <w:numId w:val="2"/>
        </w:numPr>
        <w:spacing w:after="80" w:line="280"/>
      </w:pPr>
      <w:r>
        <w:t xml:space="preserve">Carbon-Aware SDK — open-source SDK for building carbon-aware features into applications.</w:t>
      </w:r>
    </w:p>
    <w:p>
      <w:pPr>
        <w:pStyle w:val="ListParagraph"/>
        <w:numPr>
          <w:ilvl w:val="0"/>
          <w:numId w:val="2"/>
        </w:numPr>
        <w:spacing w:after="80" w:line="280"/>
      </w:pPr>
      <w:r>
        <w:t xml:space="preserve">Training and certification — Linux Foundation's Green Software for Practitioners course leading to GSF certification.</w:t>
      </w:r>
    </w:p>
    <w:p>
      <w:r>
        <w:br w:type="page"/>
      </w:r>
    </w:p>
    <w:p>
      <w:pPr>
        <w:pStyle w:val="Heading1"/>
        <w:spacing w:after="200" w:before="360"/>
      </w:pPr>
      <w:r>
        <w:rPr>
          <w:b/>
          <w:bCs/>
          <w:color w:val="1F4E78"/>
        </w:rPr>
        <w:t xml:space="preserve">6. Sustainability Architectural Patterns</w:t>
      </w:r>
    </w:p>
    <w:p>
      <w:pPr>
        <w:spacing w:after="120" w:line="300"/>
        <w:jc w:val="both"/>
      </w:pPr>
      <w:r>
        <w:t xml:space="preserve">Beyond the principles and NFRs, several named architectural patterns provide concrete approaches to reducing carbon impact. Four patterns are exam-relevant: right-sizing, scale-to-zero, demand shifting and shaping, and cold storage tiers. Each has clear architectural implications and significant impact when applied.</w:t>
      </w:r>
    </w:p>
    <w:p>
      <w:pPr>
        <w:pStyle w:val="Heading2"/>
        <w:spacing w:after="160" w:before="280"/>
      </w:pPr>
      <w:r>
        <w:rPr>
          <w:b/>
          <w:bCs/>
          <w:color w:val="2E75B6"/>
        </w:rPr>
        <w:t xml:space="preserve">6.1 Pattern 1: Right-Sizing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Right-Sizing: </w:t>
            </w:r>
            <w:r>
              <w:t xml:space="preserve">Continuous matching of provisioned capacity to actual workload demand. Eliminates over-provisioning (paying carbon for capacity that goes unused) and prevents under-provisioning (which causes performance failures and often triggers further over-provisioning as an over-correction). Implemented through observability of utilisation, autoscaling, and periodic right-sizing reviews.</w:t>
            </w:r>
          </w:p>
        </w:tc>
      </w:tr>
    </w:tbl>
    <w:p>
      <w:pPr>
        <w:pStyle w:val="Heading3"/>
        <w:spacing w:after="120" w:before="220"/>
      </w:pPr>
      <w:r>
        <w:rPr>
          <w:b/>
          <w:bCs/>
          <w:color w:val="404040"/>
        </w:rPr>
        <w:t xml:space="preserve">How It Works</w:t>
      </w:r>
    </w:p>
    <w:p>
      <w:pPr>
        <w:spacing w:after="120" w:line="300"/>
        <w:jc w:val="both"/>
      </w:pPr>
      <w:r>
        <w:t xml:space="preserve">Three layers of right-sizing:</w:t>
      </w:r>
    </w:p>
    <w:p>
      <w:pPr>
        <w:pStyle w:val="ListParagraph"/>
        <w:numPr>
          <w:ilvl w:val="0"/>
          <w:numId w:val="3"/>
        </w:numPr>
        <w:spacing w:after="80" w:line="280"/>
      </w:pPr>
      <w:r>
        <w:t xml:space="preserve">Initial sizing — at deployment, provision close to expected demand rather than worst-case. Many workloads run at 5-15% utilisation in production because they were sized for worst-case demand that rarely materialises.</w:t>
      </w:r>
    </w:p>
    <w:p>
      <w:pPr>
        <w:pStyle w:val="ListParagraph"/>
        <w:numPr>
          <w:ilvl w:val="0"/>
          <w:numId w:val="3"/>
        </w:numPr>
        <w:spacing w:after="80" w:line="280"/>
      </w:pPr>
      <w:r>
        <w:t xml:space="preserve">Autoscaling — as demand varies through the day, week, season, scale capacity up and down. Cloud-native autoscaling (Kubernetes HPA, AWS Auto Scaling, Azure VM Scale Sets) handles this automatically when configured.</w:t>
      </w:r>
    </w:p>
    <w:p>
      <w:pPr>
        <w:pStyle w:val="ListParagraph"/>
        <w:numPr>
          <w:ilvl w:val="0"/>
          <w:numId w:val="3"/>
        </w:numPr>
        <w:spacing w:after="80" w:line="280"/>
      </w:pPr>
      <w:r>
        <w:t xml:space="preserve">Periodic review — quarterly or annual reviews of actual utilisation against provisioning, with explicit decisions to downsize where utilisation has consistently been low.</w:t>
      </w:r>
    </w:p>
    <w:p>
      <w:pPr>
        <w:spacing w:after="120" w:line="300"/>
        <w:jc w:val="both"/>
      </w:pPr>
      <w:r>
        <w:t xml:space="preserve">Right-sizing reduces both embodied (less hardware needed) and operational (less energy consumed by less hardware) carbon.</w:t>
      </w:r>
    </w:p>
    <w:p>
      <w:pPr>
        <w:pStyle w:val="Heading2"/>
        <w:spacing w:after="160" w:before="280"/>
      </w:pPr>
      <w:r>
        <w:rPr>
          <w:b/>
          <w:bCs/>
          <w:color w:val="2E75B6"/>
        </w:rPr>
        <w:t xml:space="preserve">6.2 Pattern 2: Scale-to-Zero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Scale-to-Zero: </w:t>
            </w:r>
            <w:r>
              <w:t xml:space="preserve">The architectural pattern in which idle workloads consume zero resources (and therefore zero energy and carbon) when not active. Possible when workloads can tolerate startup latency at the first request after idle. Enabled by serverless platforms (AWS Lambda, Azure Functions, Google Cloud Run, Knative) that achieve true zero consumption when idle. The limit case of energy proportionality (Section 2.3).</w:t>
            </w:r>
          </w:p>
        </w:tc>
      </w:tr>
    </w:tbl>
    <w:p>
      <w:pPr>
        <w:pStyle w:val="Heading3"/>
        <w:spacing w:after="120" w:before="220"/>
      </w:pPr>
      <w:r>
        <w:rPr>
          <w:b/>
          <w:bCs/>
          <w:color w:val="404040"/>
        </w:rPr>
        <w:t xml:space="preserve">Where Scale-to-Zero Applies</w:t>
      </w:r>
    </w:p>
    <w:p>
      <w:pPr>
        <w:pStyle w:val="ListParagraph"/>
        <w:numPr>
          <w:ilvl w:val="0"/>
          <w:numId w:val="2"/>
        </w:numPr>
        <w:spacing w:after="80" w:line="280"/>
      </w:pPr>
      <w:r>
        <w:t xml:space="preserve">Development and testing environments overnight and weekends — typically used 8-10 hours weekdays, idle the rest; scale-to-zero saves 70%+ of their carbon.</w:t>
      </w:r>
    </w:p>
    <w:p>
      <w:pPr>
        <w:pStyle w:val="ListParagraph"/>
        <w:numPr>
          <w:ilvl w:val="0"/>
          <w:numId w:val="2"/>
        </w:numPr>
        <w:spacing w:after="80" w:line="280"/>
      </w:pPr>
      <w:r>
        <w:t xml:space="preserve">Internal tools used occasionally — admin dashboards, reporting tools, internal services with bursty access.</w:t>
      </w:r>
    </w:p>
    <w:p>
      <w:pPr>
        <w:pStyle w:val="ListParagraph"/>
        <w:numPr>
          <w:ilvl w:val="0"/>
          <w:numId w:val="2"/>
        </w:numPr>
        <w:spacing w:after="80" w:line="280"/>
      </w:pPr>
      <w:r>
        <w:t xml:space="preserve">Customer-facing services with cold-start tolerance — APIs where occasional 1-2 second cold-start latency is acceptable.</w:t>
      </w:r>
    </w:p>
    <w:p>
      <w:pPr>
        <w:pStyle w:val="ListParagraph"/>
        <w:numPr>
          <w:ilvl w:val="0"/>
          <w:numId w:val="2"/>
        </w:numPr>
        <w:spacing w:after="80" w:line="280"/>
      </w:pPr>
      <w:r>
        <w:t xml:space="preserve">Async / batch processing — workloads that are purely event-driven and have no continuous baseline.</w:t>
      </w:r>
    </w:p>
    <w:p>
      <w:pPr>
        <w:spacing w:after="120" w:line="300"/>
        <w:jc w:val="both"/>
      </w:pPr>
      <w:r>
        <w:t xml:space="preserve">Where scale-to-zero does not apply: latency-critical user-facing services where cold start is unacceptable; services with strong continuous baseline traffic that never approaches zero.</w:t>
      </w:r>
    </w:p>
    <w:p>
      <w:pPr>
        <w:pStyle w:val="Heading2"/>
        <w:spacing w:after="160" w:before="280"/>
      </w:pPr>
      <w:r>
        <w:rPr>
          <w:b/>
          <w:bCs/>
          <w:color w:val="2E75B6"/>
        </w:rPr>
        <w:t xml:space="preserve">6.3 Pattern 3: Demand Shifting and Shaping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Demand Shifting and Shaping: </w:t>
            </w:r>
            <w:r>
              <w:t xml:space="preserve">Demand shifting moves non-time-critical workload to periods of low grid carbon intensity (run the batch when wind generation is high). Demand shaping changes the demand pattern itself to reduce carbon (compress data; cache aggressively; pre-compute results during low-carbon periods to serve during high-carbon ones). Both rely on workload classification: which work is shiftable, which is shapable, which must run immediately.</w:t>
            </w:r>
          </w:p>
        </w:tc>
      </w:tr>
    </w:tbl>
    <w:p>
      <w:pPr>
        <w:pStyle w:val="Heading3"/>
        <w:spacing w:after="120" w:before="220"/>
      </w:pPr>
      <w:r>
        <w:rPr>
          <w:b/>
          <w:bCs/>
          <w:color w:val="404040"/>
        </w:rPr>
        <w:t xml:space="preserve">How They Work</w:t>
      </w:r>
    </w:p>
    <w:p>
      <w:pPr>
        <w:spacing w:after="120" w:line="300"/>
        <w:jc w:val="both"/>
      </w:pPr>
      <w:r>
        <w:t xml:space="preserve">Demand shifting — for workloads where time-of-execution is flexible:</w:t>
      </w:r>
    </w:p>
    <w:p>
      <w:pPr>
        <w:pStyle w:val="ListParagraph"/>
        <w:numPr>
          <w:ilvl w:val="0"/>
          <w:numId w:val="2"/>
        </w:numPr>
        <w:spacing w:after="80" w:line="280"/>
      </w:pPr>
      <w:r>
        <w:t xml:space="preserve">Tag workloads with their time tolerance ("can run anytime in next 24h", "can run anytime in next 7d").</w:t>
      </w:r>
    </w:p>
    <w:p>
      <w:pPr>
        <w:pStyle w:val="ListParagraph"/>
        <w:numPr>
          <w:ilvl w:val="0"/>
          <w:numId w:val="2"/>
        </w:numPr>
        <w:spacing w:after="80" w:line="280"/>
      </w:pPr>
      <w:r>
        <w:t xml:space="preserve">Schedule them through carbon-aware schedulers that consult forecasts of grid carbon intensity (often provided by region or via Electricity Maps API — Section 8).</w:t>
      </w:r>
    </w:p>
    <w:p>
      <w:pPr>
        <w:pStyle w:val="ListParagraph"/>
        <w:numPr>
          <w:ilvl w:val="0"/>
          <w:numId w:val="2"/>
        </w:numPr>
        <w:spacing w:after="80" w:line="280"/>
      </w:pPr>
      <w:r>
        <w:t xml:space="preserve">Execute when forecasted grid carbon is lowest within the tolerance window.</w:t>
      </w:r>
    </w:p>
    <w:p>
      <w:pPr>
        <w:spacing w:after="120" w:line="300"/>
        <w:jc w:val="both"/>
      </w:pPr>
      <w:r>
        <w:t xml:space="preserve">Demand shaping — modifying the demand to reduce carbon:</w:t>
      </w:r>
    </w:p>
    <w:p>
      <w:pPr>
        <w:pStyle w:val="ListParagraph"/>
        <w:numPr>
          <w:ilvl w:val="0"/>
          <w:numId w:val="2"/>
        </w:numPr>
        <w:spacing w:after="80" w:line="280"/>
      </w:pPr>
      <w:r>
        <w:t xml:space="preserve">Caching aggressively to reduce computation per request.</w:t>
      </w:r>
    </w:p>
    <w:p>
      <w:pPr>
        <w:pStyle w:val="ListParagraph"/>
        <w:numPr>
          <w:ilvl w:val="0"/>
          <w:numId w:val="2"/>
        </w:numPr>
        <w:spacing w:after="80" w:line="280"/>
      </w:pPr>
      <w:r>
        <w:t xml:space="preserve">Pre-computing results during low-carbon periods to serve during high-carbon ones.</w:t>
      </w:r>
    </w:p>
    <w:p>
      <w:pPr>
        <w:pStyle w:val="ListParagraph"/>
        <w:numPr>
          <w:ilvl w:val="0"/>
          <w:numId w:val="2"/>
        </w:numPr>
        <w:spacing w:after="80" w:line="280"/>
      </w:pPr>
      <w:r>
        <w:t xml:space="preserve">Compressing data to reduce transfer energy.</w:t>
      </w:r>
    </w:p>
    <w:p>
      <w:pPr>
        <w:pStyle w:val="ListParagraph"/>
        <w:numPr>
          <w:ilvl w:val="0"/>
          <w:numId w:val="2"/>
        </w:numPr>
        <w:spacing w:after="80" w:line="280"/>
      </w:pPr>
      <w:r>
        <w:t xml:space="preserve">Reducing image quality / video resolution when grid is dirty (some streaming services experimentally do this).</w:t>
      </w:r>
    </w:p>
    <w:p>
      <w:pPr>
        <w:pStyle w:val="Heading2"/>
        <w:spacing w:after="160" w:before="280"/>
      </w:pPr>
      <w:r>
        <w:rPr>
          <w:b/>
          <w:bCs/>
          <w:color w:val="2E75B6"/>
        </w:rPr>
        <w:t xml:space="preserve">6.4 Pattern 4: Cold Storage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Cold Storage Tiers: </w:t>
            </w:r>
            <w:r>
              <w:t xml:space="preserve">Storage tiers progressively reducing in cost and carbon for data that is accessed less frequently. Hot tiers: fast SSD-backed storage for active data. Warm tiers: lower-cost storage with slower access. Cold tiers: archival storage (S3 Glacier, Azure Cool/Archive) with retrieval times of hours but very low ongoing carbon. Carbon impact reduces as data moves to colder tiers because the storage hardware operates at lower power.</w:t>
            </w:r>
          </w:p>
        </w:tc>
      </w:tr>
    </w:tbl>
    <w:p>
      <w:pPr>
        <w:pStyle w:val="Heading3"/>
        <w:spacing w:after="120" w:before="220"/>
      </w:pPr>
      <w:r>
        <w:rPr>
          <w:b/>
          <w:bCs/>
          <w:color w:val="404040"/>
        </w:rPr>
        <w:t xml:space="preserve">How It Works</w:t>
      </w:r>
    </w:p>
    <w:p>
      <w:pPr>
        <w:spacing w:after="120" w:line="300"/>
        <w:jc w:val="both"/>
      </w:pPr>
      <w:r>
        <w:t xml:space="preserve">Lifecycle policies move data automatically from hot to warm to cold tiers based on access patterns. Data accessed daily stays hot; data accessed weekly moves to warm; data accessed monthly or less moves to cold; data not accessed in a year moves to deep archive (Glacier Deep Archive, Azure Archive).</w:t>
      </w:r>
    </w:p>
    <w:p>
      <w:pPr>
        <w:spacing w:after="120" w:line="300"/>
        <w:jc w:val="both"/>
      </w:pPr>
      <w:r>
        <w:t xml:space="preserve">The carbon savings are substantial. Storing 1TB in hot SSD storage typically consumes 50-100× more energy than storing 1TB in archive tier. For data that is genuinely cold (regulatory archives, legacy backups, historical records), keeping it in hot storage represents pure waste.</w:t>
      </w:r>
    </w:p>
    <w:p>
      <w:pPr>
        <w:pStyle w:val="Heading2"/>
        <w:spacing w:after="160" w:before="280"/>
      </w:pPr>
      <w:r>
        <w:rPr>
          <w:b/>
          <w:bCs/>
          <w:color w:val="2E75B6"/>
        </w:rPr>
        <w:t xml:space="preserve">6.5 The Four Patterns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Pattern</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Does</w:t>
            </w:r>
          </w:p>
        </w:tc>
        <w:tc>
          <w:tcPr>
            <w:tcW w:type="dxa" w:w="3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When To Use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Right-Sizing</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Match provisioned capacity to actual demand</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Always — both embodied and operational benefit</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Scale-to-Zero</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Zero resources when idle</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Bursty workloads with cold-start tolerance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Demand Shifting / Shaping</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Move work to low-carbon times; modify work to reduce carbon</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Workloads with time flexibility; data-heavy workloads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Cold Storage Tiers</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Progressive storage tiers by access frequency</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with declining access patterns over time</w:t>
            </w:r>
          </w:p>
        </w:tc>
      </w:tr>
    </w:tbl>
    <w:p>
      <w:r>
        <w:br w:type="page"/>
      </w:r>
    </w:p>
    <w:p>
      <w:pPr>
        <w:pStyle w:val="Heading1"/>
        <w:spacing w:after="200" w:before="360"/>
      </w:pPr>
      <w:r>
        <w:rPr>
          <w:b/>
          <w:bCs/>
          <w:color w:val="1F4E78"/>
        </w:rPr>
        <w:t xml:space="preserve">7. Greenwashing Red Flags</w:t>
      </w:r>
    </w:p>
    <w:p>
      <w:pPr>
        <w:spacing w:after="120" w:line="300"/>
        <w:jc w:val="both"/>
      </w:pPr>
      <w:r>
        <w:t xml:space="preserve">Greenwashing — claims of environmental benefit that are misleading, unsupported, or actively false — is endemic in the IT industry as it is across other sectors. Architects must be able to recognise greenwashing both in vendor claims and in their own enterprise's communications. The Series Guide names three principal red flags.</w:t>
      </w:r>
    </w:p>
    <w:p>
      <w:pPr>
        <w:pStyle w:val="Heading2"/>
        <w:spacing w:after="160" w:before="280"/>
      </w:pPr>
      <w:r>
        <w:rPr>
          <w:b/>
          <w:bCs/>
          <w:color w:val="2E75B6"/>
        </w:rPr>
        <w:t xml:space="preserve">7.1 The Three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Greenwashing Red Flags: </w:t>
            </w:r>
            <w:r>
              <w:t xml:space="preserve">(1) Offsets-only claims — emissions are not reduced but are 'offset' by purchasing credits of varying credibility; (2) REC-only 'renewable' — claims of running on renewable power based on Renewable Energy Certificates without actual matching of consumption to renewable generation; (3) One-time measurement — sustainability metrics measured once, claimed as ongoing achievement, but not actually monitored over time.</w:t>
            </w:r>
          </w:p>
        </w:tc>
      </w:tr>
    </w:tbl>
    <w:p>
      <w:pPr>
        <w:pStyle w:val="Heading2"/>
        <w:spacing w:after="160" w:before="280"/>
      </w:pPr>
      <w:r>
        <w:rPr>
          <w:b/>
          <w:bCs/>
          <w:color w:val="2E75B6"/>
        </w:rPr>
        <w:t xml:space="preserve">7.2 Red Flag 1: Offsets-Only Claims</w:t>
      </w:r>
    </w:p>
    <w:p>
      <w:pPr>
        <w:spacing w:after="120" w:line="300"/>
        <w:jc w:val="both"/>
      </w:pPr>
      <w:r>
        <w:t xml:space="preserve">"We are carbon neutral" can mean two very different things. It can mean: "we have substantially reduced our actual emissions and the residual emissions are offset by carefully verified carbon removal credits". Or it can mean: "we have not reduced our emissions at all but we have purchased credits of varying quality that nominally compensate".</w:t>
      </w:r>
    </w:p>
    <w:p>
      <w:pPr>
        <w:spacing w:after="120" w:line="300"/>
        <w:jc w:val="both"/>
      </w:pPr>
      <w:r>
        <w:t xml:space="preserve">The second is greenwashing. Carbon offsets vary enormously in quality:</w:t>
      </w:r>
    </w:p>
    <w:p>
      <w:pPr>
        <w:pStyle w:val="ListParagraph"/>
        <w:numPr>
          <w:ilvl w:val="0"/>
          <w:numId w:val="2"/>
        </w:numPr>
        <w:spacing w:after="80" w:line="280"/>
      </w:pPr>
      <w:r>
        <w:t xml:space="preserve">High-quality offsets (direct air capture, verified afforestation with strong permanence, certified soil sequestration with monitoring) genuinely remove or avoid emissions.</w:t>
      </w:r>
    </w:p>
    <w:p>
      <w:pPr>
        <w:pStyle w:val="ListParagraph"/>
        <w:numPr>
          <w:ilvl w:val="0"/>
          <w:numId w:val="2"/>
        </w:numPr>
        <w:spacing w:after="80" w:line="280"/>
      </w:pPr>
      <w:r>
        <w:t xml:space="preserve">Low-quality offsets (forest-protection credits where the protection might have happened anyway; double-counted credits; projects with weak verification) often deliver little real benefit.</w:t>
      </w:r>
    </w:p>
    <w:p>
      <w:pPr>
        <w:spacing w:after="120" w:line="300"/>
        <w:jc w:val="both"/>
      </w:pPr>
      <w:r>
        <w:t xml:space="preserve">The architectural rule of thumb: offsets are appropriate for residual emissions after substantial reduction; offsets used in lieu of reduction are greenwashing. Read "carbon neutral" claims sceptically; ask what reduction has been achieved before any offsetting.</w:t>
      </w:r>
    </w:p>
    <w:p>
      <w:pPr>
        <w:pStyle w:val="Heading2"/>
        <w:spacing w:after="160" w:before="280"/>
      </w:pPr>
      <w:r>
        <w:rPr>
          <w:b/>
          <w:bCs/>
          <w:color w:val="2E75B6"/>
        </w:rPr>
        <w:t xml:space="preserve">7.3 Red Flag 2: REC-Only "Renewable"</w:t>
      </w:r>
    </w:p>
    <w:p>
      <w:pPr>
        <w:spacing w:after="120" w:line="300"/>
        <w:jc w:val="both"/>
      </w:pPr>
      <w:r>
        <w:t xml:space="preserve">Renewable Energy Certificates (RECs) are tradeable certificates representing renewable electricity generation. An organisation can buy RECs to claim that its electricity consumption is "matched" by renewable generation. The accounting is at annual level: total annual REC purchases match total annual electricity consumption.</w:t>
      </w:r>
    </w:p>
    <w:p>
      <w:pPr>
        <w:spacing w:after="120" w:line="300"/>
        <w:jc w:val="both"/>
      </w:pPr>
      <w:r>
        <w:t xml:space="preserve">The greenwashing problem: RECs do not require time matching. An organisation might consume electricity from a coal-heavy grid every weekday afternoon, while purchasing RECs for wind generation that happened on weekends or at night. The annual numbers balance; the actual consumption was coal-powered.</w:t>
      </w:r>
    </w:p>
    <w:p>
      <w:pPr>
        <w:spacing w:after="120" w:line="300"/>
        <w:jc w:val="both"/>
      </w:pPr>
      <w:r>
        <w:t xml:space="preserve">Modern best practice — sometimes called 24/7 carbon-free energy or hourly matching — requires that consumption be matched to renewable generation hour-by-hour, not aggregated annually. Google has committed to 24/7 carbon-free energy by 2030; Microsoft and others have similar commitments. Annual REC matching is increasingly recognised as inadequate.</w:t>
      </w:r>
    </w:p>
    <w:p>
      <w:pPr>
        <w:pStyle w:val="Heading2"/>
        <w:spacing w:after="160" w:before="280"/>
      </w:pPr>
      <w:r>
        <w:rPr>
          <w:b/>
          <w:bCs/>
          <w:color w:val="2E75B6"/>
        </w:rPr>
        <w:t xml:space="preserve">7.4 Red Flag 3: One-Time Measurement</w:t>
      </w:r>
    </w:p>
    <w:p>
      <w:pPr>
        <w:spacing w:after="120" w:line="300"/>
        <w:jc w:val="both"/>
      </w:pPr>
      <w:r>
        <w:t xml:space="preserve">Sustainability claims based on a single measurement are unreliable. Measurements need to be ongoing because:</w:t>
      </w:r>
    </w:p>
    <w:p>
      <w:pPr>
        <w:pStyle w:val="ListParagraph"/>
        <w:numPr>
          <w:ilvl w:val="0"/>
          <w:numId w:val="2"/>
        </w:numPr>
        <w:spacing w:after="80" w:line="280"/>
      </w:pPr>
      <w:r>
        <w:t xml:space="preserve">Workloads change — refactoring, scale, new features all change carbon impact.</w:t>
      </w:r>
    </w:p>
    <w:p>
      <w:pPr>
        <w:pStyle w:val="ListParagraph"/>
        <w:numPr>
          <w:ilvl w:val="0"/>
          <w:numId w:val="2"/>
        </w:numPr>
        <w:spacing w:after="80" w:line="280"/>
      </w:pPr>
      <w:r>
        <w:t xml:space="preserve">Grid intensity changes — regions clean over time as grids decarbonise; regions also occasionally regress.</w:t>
      </w:r>
    </w:p>
    <w:p>
      <w:pPr>
        <w:pStyle w:val="ListParagraph"/>
        <w:numPr>
          <w:ilvl w:val="0"/>
          <w:numId w:val="2"/>
        </w:numPr>
        <w:spacing w:after="80" w:line="280"/>
      </w:pPr>
      <w:r>
        <w:t xml:space="preserve">External conditions change — usage growth, seasonal variation, changes in user behaviour.</w:t>
      </w:r>
    </w:p>
    <w:p>
      <w:pPr>
        <w:spacing w:after="120" w:line="300"/>
        <w:jc w:val="both"/>
      </w:pPr>
      <w:r>
        <w:t xml:space="preserve">"We measured our carbon impact in 2023" is not a sustainability programme. "We continuously monitor our carbon impact, report monthly, and have reduced gCO2e per request by 35% since 2023" is. Architects should treat one-time measurements claimed as ongoing achievement as a red flag.</w:t>
      </w:r>
    </w:p>
    <w:p>
      <w:pPr>
        <w:pStyle w:val="Heading2"/>
        <w:spacing w:after="160" w:before="280"/>
      </w:pPr>
      <w:r>
        <w:rPr>
          <w:b/>
          <w:bCs/>
          <w:color w:val="2E75B6"/>
        </w:rPr>
        <w:t xml:space="preserve">7.5 The Three Red Flags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Red Flag</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Looks Like</w:t>
            </w:r>
          </w:p>
        </w:tc>
        <w:tc>
          <w:tcPr>
            <w:tcW w:type="dxa" w:w="3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Real Practice Looks Like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Offsets-only</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 neutral' achieved entirely through credit purchases; little actual reduction</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Substantial reduction first; high-quality offsets only for residual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REC-only 'renewable'</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Annual REC matching claimed as 100% renewable; actual consumption from dirty grid</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24/7 / hourly matching; physical proximity of generation; explicit time-matched accounting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One-time measurement</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Single measurement claimed as ongoing achievement; no continuous monitoring</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Continuous instrumentation; monthly or quarterly reporting; trends over time</w:t>
            </w:r>
          </w:p>
        </w:tc>
      </w:tr>
    </w:tbl>
    <w:p>
      <w:r>
        <w:br w:type="page"/>
      </w:r>
    </w:p>
    <w:p>
      <w:pPr>
        <w:pStyle w:val="Heading1"/>
        <w:spacing w:after="200" w:before="360"/>
      </w:pPr>
      <w:r>
        <w:rPr>
          <w:b/>
          <w:bCs/>
          <w:color w:val="1F4E78"/>
        </w:rPr>
        <w:t xml:space="preserve">8. Sustainability Tools</w:t>
      </w:r>
    </w:p>
    <w:p>
      <w:pPr>
        <w:spacing w:after="120" w:line="300"/>
        <w:jc w:val="both"/>
      </w:pPr>
      <w:r>
        <w:t xml:space="preserve">Several named tools recur in sustainability architecture practice. Recognising the principal tools by name is exam-relevant; using them is what makes sustainability work measurable rather than aspirational.</w:t>
      </w:r>
    </w:p>
    <w:p>
      <w:pPr>
        <w:pStyle w:val="Heading2"/>
        <w:spacing w:after="160" w:before="280"/>
      </w:pPr>
      <w:r>
        <w:rPr>
          <w:b/>
          <w:bCs/>
          <w:color w:val="2E75B6"/>
        </w:rPr>
        <w:t xml:space="preserve">8.1 Cloud Carbon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Cloud Carbon Footprint: </w:t>
            </w:r>
            <w:r>
              <w:t xml:space="preserve">An open-source tool from ThoughtWorks for measuring carbon emissions from cloud usage. Connects to AWS, Azure, and Google Cloud billing and usage data; calculates carbon impact based on resource consumption and regional grid intensity. Provides per-service, per-account, per-region breakdowns. Free and self-hostable.</w:t>
            </w:r>
          </w:p>
        </w:tc>
      </w:tr>
    </w:tbl>
    <w:p>
      <w:pPr>
        <w:spacing w:after="120" w:line="300"/>
        <w:jc w:val="both"/>
      </w:pPr>
      <w:r>
        <w:t xml:space="preserve">Cloud Carbon Footprint is widely adopted as the open-source baseline for cloud emissions reporting. Many enterprises run it alongside cloud provider native tools to cross-check and to fill gaps in provider reporting. It supports multi-cloud reporting in a single view, which matters for enterprises spanning multiple providers.</w:t>
      </w:r>
    </w:p>
    <w:p>
      <w:pPr>
        <w:pStyle w:val="Heading2"/>
        <w:spacing w:after="160" w:before="280"/>
      </w:pPr>
      <w:r>
        <w:rPr>
          <w:b/>
          <w:bCs/>
          <w:color w:val="2E75B6"/>
        </w:rPr>
        <w:t xml:space="preserve">8.2 Electricity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Electricity Maps: </w:t>
            </w:r>
            <w:r>
              <w:t xml:space="preserve">A real-time platform showing the carbon intensity of electricity grids worldwide. Provides current grid carbon intensity by region, historical data, and forecasts. Available as a free public website and as a paid API used by carbon-aware schedulers, demand-shifting systems, and reporting platforms. The standard reference for grid intensity data.</w:t>
            </w:r>
          </w:p>
        </w:tc>
      </w:tr>
    </w:tbl>
    <w:p>
      <w:pPr>
        <w:spacing w:after="120" w:line="300"/>
        <w:jc w:val="both"/>
      </w:pPr>
      <w:r>
        <w:t xml:space="preserve">Modern carbon-aware applications consult Electricity Maps (or equivalent regional data sources) to make scheduling decisions in real time: "the grid is currently 80% renewable in this region; run the batch now" or "forecast for the next 6 hours suggests 30% lower carbon at 03:00; defer until then".</w:t>
      </w:r>
    </w:p>
    <w:p>
      <w:pPr>
        <w:pStyle w:val="Heading2"/>
        <w:spacing w:after="160" w:before="280"/>
      </w:pPr>
      <w:r>
        <w:rPr>
          <w:b/>
          <w:bCs/>
          <w:color w:val="2E75B6"/>
        </w:rPr>
        <w:t xml:space="preserve">8.3 Carbon-Aware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Carbon-Aware SDK: </w:t>
            </w:r>
            <w:r>
              <w:t xml:space="preserve">An open-source SDK from the Green Software Foundation for building carbon awareness into applications. Provides programmatic access to grid carbon data, recommendations for low-carbon execution windows, and integration patterns for carbon-aware scheduling. Available in multiple languages; designed to be embedded into applications that want to behave differently based on grid conditions.</w:t>
            </w:r>
          </w:p>
        </w:tc>
      </w:tr>
    </w:tbl>
    <w:p>
      <w:pPr>
        <w:spacing w:after="120" w:line="300"/>
        <w:jc w:val="both"/>
      </w:pPr>
      <w:r>
        <w:t xml:space="preserve">Where Electricity Maps provides the data, the Carbon-Aware SDK provides the SDK that applications use to act on that data. The two are typically used together: Electricity Maps for the live and forecast intensity; Carbon-Aware SDK for the application logic that consumes and responds to it.</w:t>
      </w:r>
    </w:p>
    <w:p>
      <w:pPr>
        <w:pStyle w:val="Heading2"/>
        <w:spacing w:after="160" w:before="280"/>
      </w:pPr>
      <w:r>
        <w:rPr>
          <w:b/>
          <w:bCs/>
          <w:color w:val="2E75B6"/>
        </w:rPr>
        <w:t xml:space="preserve">8.4 Kepler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Kepler (Kubernetes-based Efficient Power Level Exporter): </w:t>
            </w:r>
            <w:r>
              <w:t xml:space="preserve">A CNCF Sandbox project that exports per-pod and per-container energy consumption metrics in Kubernetes. Uses eBPF and hardware counters to measure actual energy usage, not estimates. Integrates with Prometheus for collection and Grafana for visualisation. Becoming the standard tool for granular Kubernetes-level energy measurement.</w:t>
            </w:r>
          </w:p>
        </w:tc>
      </w:tr>
    </w:tbl>
    <w:p>
      <w:pPr>
        <w:spacing w:after="120" w:line="300"/>
        <w:jc w:val="both"/>
      </w:pPr>
      <w:r>
        <w:t xml:space="preserve">Kepler addresses a long-standing measurement gap: energy consumption was measurable at the host level but hard to attribute to individual workloads in shared infrastructure. Kepler provides per-container energy metrics, allowing teams to identify the specific services or pods that dominate their workload's carbon impact and to target optimisation efforts.</w:t>
      </w:r>
    </w:p>
    <w:p>
      <w:pPr>
        <w:pStyle w:val="Heading2"/>
        <w:spacing w:after="160" w:before="280"/>
      </w:pPr>
      <w:r>
        <w:rPr>
          <w:b/>
          <w:bCs/>
          <w:color w:val="2E75B6"/>
        </w:rPr>
        <w:t xml:space="preserve">8.5 The Four Principal Tools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900"/>
        <w:gridCol w:w="17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Tool</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Does</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Maintained By</w:t>
            </w:r>
          </w:p>
        </w:tc>
        <w:tc>
          <w:tcPr>
            <w:tcW w:type="dxa" w:w="1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Use Case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 Carbon Footprint</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Measure cloud emissions from billing/usage data</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ThoughtWorks (open source)</w:t>
            </w:r>
          </w:p>
        </w:tc>
        <w:tc>
          <w:tcPr>
            <w:tcW w:type="dxa" w:w="1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Multi-cloud reporting; baseline measurement</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Electricity Maps</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Real-time grid carbon intensity worldwide</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Electricity Maps (commercial + free tier)</w:t>
            </w:r>
          </w:p>
        </w:tc>
        <w:tc>
          <w:tcPr>
            <w:tcW w:type="dxa" w:w="1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Region selection; carbon-aware scheduling</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Carbon-Aware SDK</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Building carbon awareness into applications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Green Software Foundation (open source)</w:t>
            </w:r>
          </w:p>
        </w:tc>
        <w:tc>
          <w:tcPr>
            <w:tcW w:type="dxa" w:w="1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Demand shifting; carbon-aware scheduling</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Kepler</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Per-pod / per-container energy metrics in Kubernetes</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CNCF Sandbox</w:t>
            </w:r>
          </w:p>
        </w:tc>
        <w:tc>
          <w:tcPr>
            <w:tcW w:type="dxa" w:w="1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Granular workload-level measurement</w:t>
            </w:r>
          </w:p>
        </w:tc>
      </w:tr>
    </w:tbl>
    <w:p>
      <w:pPr>
        <w:pStyle w:val="Heading2"/>
        <w:spacing w:after="160" w:before="280"/>
      </w:pPr>
      <w:r>
        <w:rPr>
          <w:b/>
          <w:bCs/>
          <w:color w:val="2E75B6"/>
        </w:rPr>
        <w:t xml:space="preserve">8.6 Other Tools Worth Recognising</w:t>
      </w:r>
    </w:p>
    <w:p>
      <w:pPr>
        <w:pStyle w:val="ListParagraph"/>
        <w:numPr>
          <w:ilvl w:val="0"/>
          <w:numId w:val="2"/>
        </w:numPr>
        <w:spacing w:after="80" w:line="280"/>
      </w:pPr>
      <w:r>
        <w:t xml:space="preserve">AWS Customer Carbon Footprint Tool — AWS-native carbon reporting with monthly granularity.</w:t>
      </w:r>
    </w:p>
    <w:p>
      <w:pPr>
        <w:pStyle w:val="ListParagraph"/>
        <w:numPr>
          <w:ilvl w:val="0"/>
          <w:numId w:val="2"/>
        </w:numPr>
        <w:spacing w:after="80" w:line="280"/>
      </w:pPr>
      <w:r>
        <w:t xml:space="preserve">Azure Emissions Impact Dashboard — Microsoft's equivalent.</w:t>
      </w:r>
    </w:p>
    <w:p>
      <w:pPr>
        <w:pStyle w:val="ListParagraph"/>
        <w:numPr>
          <w:ilvl w:val="0"/>
          <w:numId w:val="2"/>
        </w:numPr>
        <w:spacing w:after="80" w:line="280"/>
      </w:pPr>
      <w:r>
        <w:t xml:space="preserve">Google Cloud Carbon Footprint — Google's equivalent.</w:t>
      </w:r>
    </w:p>
    <w:p>
      <w:pPr>
        <w:pStyle w:val="ListParagraph"/>
        <w:numPr>
          <w:ilvl w:val="0"/>
          <w:numId w:val="2"/>
        </w:numPr>
        <w:spacing w:after="80" w:line="280"/>
      </w:pPr>
      <w:r>
        <w:t xml:space="preserve">Watttime API — alternative to Electricity Maps for grid intensity data, focused on US.</w:t>
      </w:r>
    </w:p>
    <w:p>
      <w:pPr>
        <w:pStyle w:val="ListParagraph"/>
        <w:numPr>
          <w:ilvl w:val="0"/>
          <w:numId w:val="2"/>
        </w:numPr>
        <w:spacing w:after="80" w:line="280"/>
      </w:pPr>
      <w:r>
        <w:t xml:space="preserve">Boavizta — open-source database of embodied carbon for hardware components.</w:t>
      </w:r>
    </w:p>
    <w:p>
      <w:pPr>
        <w:pStyle w:val="ListParagraph"/>
        <w:numPr>
          <w:ilvl w:val="0"/>
          <w:numId w:val="2"/>
        </w:numPr>
        <w:spacing w:after="80" w:line="280"/>
      </w:pPr>
      <w:r>
        <w:t xml:space="preserve">Software Carbon Intensity (SCI) reference implementations — for measuring at the application level following the GSF SCI specification.</w:t>
      </w:r>
    </w:p>
    <w:p>
      <w:r>
        <w:br w:type="page"/>
      </w:r>
    </w:p>
    <w:p>
      <w:pPr>
        <w:pStyle w:val="Heading1"/>
        <w:spacing w:after="200" w:before="360"/>
      </w:pPr>
      <w:r>
        <w:rPr>
          <w:b/>
          <w:bCs/>
          <w:color w:val="1F4E78"/>
        </w:rPr>
        <w:t xml:space="preserve">9. Reporting Frameworks</w:t>
      </w:r>
    </w:p>
    <w:p>
      <w:pPr>
        <w:spacing w:after="120" w:line="300"/>
        <w:jc w:val="both"/>
      </w:pPr>
      <w:r>
        <w:t xml:space="preserve">Sustainability work increasingly needs to be reported externally — to regulators, investors, customers, and rating agencies. Four reporting frameworks are exam-relevant: the GHG Protocol as the underlying methodology, CSRD as the EU regulatory regime, SEC Climate Disclosure as the US regulatory regime, and SBTi as the principal voluntary framework for science-based targets.</w:t>
      </w:r>
    </w:p>
    <w:p>
      <w:pPr>
        <w:pStyle w:val="Heading2"/>
        <w:spacing w:after="160" w:before="280"/>
      </w:pPr>
      <w:r>
        <w:rPr>
          <w:b/>
          <w:bCs/>
          <w:color w:val="2E75B6"/>
        </w:rPr>
        <w:t xml:space="preserve">9.1 The GHG Protocol — Underlying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GHG Protocol (Greenhouse Gas Protocol): </w:t>
            </w:r>
            <w:r>
              <w:t xml:space="preserve">The principal standard for measuring and reporting greenhouse gas emissions. Maintained by the World Resources Institute and World Business Council for Sustainable Development. Defines three Scopes: Scope 1 — direct emissions from owned operations; Scope 2 — indirect emissions from purchased electricity, heat, and cooling; Scope 3 — all other indirect emissions (supply chain, transportation, employee commuting, downstream use). Underlies every other major reporting framework.</w:t>
            </w:r>
          </w:p>
        </w:tc>
      </w:tr>
    </w:tbl>
    <w:p>
      <w:pPr>
        <w:pStyle w:val="Heading2"/>
        <w:spacing w:after="160" w:before="280"/>
      </w:pPr>
      <w:r>
        <w:rPr>
          <w:b/>
          <w:bCs/>
          <w:color w:val="2E75B6"/>
        </w:rPr>
        <w:t xml:space="preserve">9.2 The Three GHG Scopes</w:t>
      </w:r>
    </w:p>
    <w:p>
      <w:pPr>
        <w:pStyle w:val="Heading3"/>
        <w:spacing w:after="120" w:before="220"/>
      </w:pPr>
      <w:r>
        <w:rPr>
          <w:b/>
          <w:bCs/>
          <w:color w:val="404040"/>
        </w:rPr>
        <w:t xml:space="preserve">Scope 1: Direct Emissions</w:t>
      </w:r>
    </w:p>
    <w:p>
      <w:pPr>
        <w:spacing w:after="120" w:line="300"/>
        <w:jc w:val="both"/>
      </w:pPr>
      <w:r>
        <w:t xml:space="preserve">Emissions from sources directly owned or controlled by the enterprise. For most IT-heavy enterprises, Scope 1 is small — primarily generators (typically diesel) used for backup power. For enterprises with significant physical operations (manufacturing, transportation, on-premise data centres burning fossil fuels), Scope 1 is more substantial.</w:t>
      </w:r>
    </w:p>
    <w:p>
      <w:pPr>
        <w:pStyle w:val="Heading3"/>
        <w:spacing w:after="120" w:before="220"/>
      </w:pPr>
      <w:r>
        <w:rPr>
          <w:b/>
          <w:bCs/>
          <w:color w:val="404040"/>
        </w:rPr>
        <w:t xml:space="preserve">Scope 2: Purchased Electricity</w:t>
      </w:r>
    </w:p>
    <w:p>
      <w:pPr>
        <w:spacing w:after="120" w:line="300"/>
        <w:jc w:val="both"/>
      </w:pPr>
      <w:r>
        <w:t xml:space="preserve">Emissions from generation of electricity purchased and consumed by the enterprise. The dominant scope for cloud-using enterprises (electricity consumed by cloud infrastructure is allocated as Scope 2 to the consumer). Reported either using location-based methodology (using grid average intensity) or market-based methodology (using contracted clean power purchases). The two often differ substantially.</w:t>
      </w:r>
    </w:p>
    <w:p>
      <w:pPr>
        <w:pStyle w:val="Heading3"/>
        <w:spacing w:after="120" w:before="220"/>
      </w:pPr>
      <w:r>
        <w:rPr>
          <w:b/>
          <w:bCs/>
          <w:color w:val="404040"/>
        </w:rPr>
        <w:t xml:space="preserve">Scope 3: All Other Indirect Emissions</w:t>
      </w:r>
    </w:p>
    <w:p>
      <w:pPr>
        <w:spacing w:after="120" w:line="300"/>
        <w:jc w:val="both"/>
      </w:pPr>
      <w:r>
        <w:t xml:space="preserve">Everything else attributable to the enterprise's activities but not in Scopes 1 or 2. Includes: supply chain emissions (manufacturing of purchased hardware — embodied carbon from Section 1); business travel; employee commuting; downstream use of products; investments. Scope 3 is typically the largest and hardest to measure scope. For IT-heavy enterprises, Scope 3 includes the embodied carbon of cloud infrastructure (allocated to the cloud customer proportionally) and the induced carbon from end-user devices.</w:t>
      </w:r>
    </w:p>
    <w:p>
      <w:pPr>
        <w:pStyle w:val="Heading2"/>
        <w:spacing w:after="160" w:before="280"/>
      </w:pPr>
      <w:r>
        <w:rPr>
          <w:b/>
          <w:bCs/>
          <w:color w:val="2E75B6"/>
        </w:rPr>
        <w:t xml:space="preserve">9.3 CSRD (EU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CSRD (Corporate Sustainability Reporting Directive): </w:t>
            </w:r>
            <w:r>
              <w:t xml:space="preserve">EU regulation, in force from 2024 onwards (with phased rollout), requiring large companies to report on a wide range of sustainability matters including greenhouse gas emissions, environmental impact, social factors, and governance. Reporting is mandatory, externally audited, and must follow the European Sustainability Reporting Standards (ESRS). Applies to ~50,000 companies including all large EU-listed companies and many large non-EU companies with substantial EU operations.</w:t>
            </w:r>
          </w:p>
        </w:tc>
      </w:tr>
    </w:tbl>
    <w:p>
      <w:pPr>
        <w:spacing w:after="120" w:line="300"/>
        <w:jc w:val="both"/>
      </w:pPr>
      <w:r>
        <w:t xml:space="preserve">For architectures within CSRD-affected enterprises, the implications are direct: Scope 1, 2, and 3 emissions must be reported; the reporting must be audited; the data must be defensible to auditors; the methodology must be documented. This drives architectural requirements for data collection, retention, and reporting that many enterprises had not previously formalised.</w:t>
      </w:r>
    </w:p>
    <w:p>
      <w:pPr>
        <w:pStyle w:val="Heading2"/>
        <w:spacing w:after="160" w:before="280"/>
      </w:pPr>
      <w:r>
        <w:rPr>
          <w:b/>
          <w:bCs/>
          <w:color w:val="2E75B6"/>
        </w:rPr>
        <w:t xml:space="preserve">9.4 SEC Climate Disclosure (US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SEC Climate Disclosure Rule: </w:t>
            </w:r>
            <w:r>
              <w:t xml:space="preserve">US Securities and Exchange Commission rule, finalised 2024, requiring publicly-traded companies to disclose climate-related risks and (for larger companies) greenhouse gas emissions. Less prescriptive than CSRD on Scope 3 (the SEC scaled back Scope 3 requirements after consultation) but increases disclosure of climate risks to financial performance. Has faced legal challenges that have delayed full enforcement.</w:t>
            </w:r>
          </w:p>
        </w:tc>
      </w:tr>
    </w:tbl>
    <w:p>
      <w:pPr>
        <w:spacing w:after="120" w:line="300"/>
        <w:jc w:val="both"/>
      </w:pPr>
      <w:r>
        <w:t xml:space="preserve">The SEC rule is the principal US regulatory driver for climate-related corporate disclosure. Its scope is narrower than CSRD (Scope 3 partially descoped), but it covers the substantial population of US-listed companies. Enterprises subject to both CSRD (EU operations) and SEC (US listing) must satisfy both.</w:t>
      </w:r>
    </w:p>
    <w:p>
      <w:pPr>
        <w:pStyle w:val="Heading2"/>
        <w:spacing w:after="160" w:before="280"/>
      </w:pPr>
      <w:r>
        <w:rPr>
          <w:b/>
          <w:bCs/>
          <w:color w:val="2E75B6"/>
        </w:rPr>
        <w:t xml:space="preserve">9.5 SBTi (Science Based Targets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SBTi (Science Based Targets initiative): </w:t>
            </w:r>
            <w:r>
              <w:t xml:space="preserve">A voluntary framework for setting and validating emissions reduction targets aligned with what climate science indicates is necessary to limit warming to 1.5°C. Companies submit emissions reduction targets covering Scopes 1, 2, and 3; SBTi validates the targets against science-based criteria. Over 7,000 companies globally have committed to or had targets validated. Increasingly expected by major customers, investors, and procurement processes.</w:t>
            </w:r>
          </w:p>
        </w:tc>
      </w:tr>
    </w:tbl>
    <w:p>
      <w:pPr>
        <w:spacing w:after="120" w:line="300"/>
        <w:jc w:val="both"/>
      </w:pPr>
      <w:r>
        <w:t xml:space="preserve">SBTi's value is providing external validation that an enterprise's targets are credible. Internal targets without external validation can be set arbitrarily; SBTi-validated targets meet a published standard. Many enterprises now require SBTi commitments from major suppliers as part of procurement due diligence.</w:t>
      </w:r>
    </w:p>
    <w:p>
      <w:pPr>
        <w:pStyle w:val="Heading2"/>
        <w:spacing w:after="160" w:before="280"/>
      </w:pPr>
      <w:r>
        <w:rPr>
          <w:b/>
          <w:bCs/>
          <w:color w:val="2E75B6"/>
        </w:rPr>
        <w:t xml:space="preserve">9.6 The Four Frameworks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900"/>
        <w:gridCol w:w="17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Framework</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Is</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Mandatory / Voluntary</w:t>
            </w:r>
          </w:p>
        </w:tc>
        <w:tc>
          <w:tcPr>
            <w:tcW w:type="dxa" w:w="17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Relevance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GHG Protocol</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Methodology for measuring emissions across three Scopes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Voluntary methodology, but underlies others</w:t>
            </w:r>
          </w:p>
        </w:tc>
        <w:tc>
          <w:tcPr>
            <w:tcW w:type="dxa" w:w="1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 for all other frameworks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CSRD (EU)</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EU regulation requiring sustainability reporting</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Mandatory for ~50k companies in/dealing with EU</w:t>
            </w:r>
          </w:p>
        </w:tc>
        <w:tc>
          <w:tcPr>
            <w:tcW w:type="dxa" w:w="1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Drives architectural requirements for data; audited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 Climate Disclosure (US)</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US SEC rule for climate-related disclosures from public companies</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Mandatory for SEC registrants</w:t>
            </w:r>
          </w:p>
        </w:tc>
        <w:tc>
          <w:tcPr>
            <w:tcW w:type="dxa" w:w="17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Climate risk disclosure; partial Scope 3</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SBTi</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Voluntary framework validating emissions reduction targets against science</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Voluntary; increasingly expected</w:t>
            </w:r>
          </w:p>
        </w:tc>
        <w:tc>
          <w:tcPr>
            <w:tcW w:type="dxa" w:w="17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External validation; increasingly required by customers/investors</w:t>
            </w:r>
          </w:p>
        </w:tc>
      </w:tr>
    </w:tbl>
    <w:p>
      <w:pPr>
        <w:pStyle w:val="Heading2"/>
        <w:spacing w:after="160" w:before="280"/>
      </w:pPr>
      <w:r>
        <w:rPr>
          <w:b/>
          <w:bCs/>
          <w:color w:val="2E75B6"/>
        </w:rPr>
        <w:t xml:space="preserve">9.7 What This Means for Architects</w:t>
      </w:r>
    </w:p>
    <w:p>
      <w:pPr>
        <w:spacing w:after="120" w:line="300"/>
        <w:jc w:val="both"/>
      </w:pPr>
      <w:r>
        <w:t xml:space="preserve">The reporting landscape produces concrete architectural requirements:</w:t>
      </w:r>
    </w:p>
    <w:p>
      <w:pPr>
        <w:pStyle w:val="ListParagraph"/>
        <w:numPr>
          <w:ilvl w:val="0"/>
          <w:numId w:val="3"/>
        </w:numPr>
        <w:spacing w:after="80" w:line="280"/>
      </w:pPr>
      <w:r>
        <w:t xml:space="preserve">Data collection — emissions data must be captured at sufficient granularity to support Scope 1, 2, and 3 reporting. Architectures need to feed sustainability data alongside operational data.</w:t>
      </w:r>
    </w:p>
    <w:p>
      <w:pPr>
        <w:pStyle w:val="ListParagraph"/>
        <w:numPr>
          <w:ilvl w:val="0"/>
          <w:numId w:val="3"/>
        </w:numPr>
        <w:spacing w:after="80" w:line="280"/>
      </w:pPr>
      <w:r>
        <w:t xml:space="preserve">Retention — reporting frameworks require multi-year history; data retention policies must accommodate.</w:t>
      </w:r>
    </w:p>
    <w:p>
      <w:pPr>
        <w:pStyle w:val="ListParagraph"/>
        <w:numPr>
          <w:ilvl w:val="0"/>
          <w:numId w:val="3"/>
        </w:numPr>
        <w:spacing w:after="80" w:line="280"/>
      </w:pPr>
      <w:r>
        <w:t xml:space="preserve">Auditability — reported numbers must be defensible to auditors; methodology must be documented; data lineage must be traceable.</w:t>
      </w:r>
    </w:p>
    <w:p>
      <w:pPr>
        <w:pStyle w:val="ListParagraph"/>
        <w:numPr>
          <w:ilvl w:val="0"/>
          <w:numId w:val="3"/>
        </w:numPr>
        <w:spacing w:after="80" w:line="280"/>
      </w:pPr>
      <w:r>
        <w:t xml:space="preserve">Continuous improvement — SBTi-validated targets require year-on-year reduction; architectural decisions need to be measurable against the targets.</w:t>
      </w:r>
    </w:p>
    <w:p>
      <w:pPr>
        <w:pStyle w:val="ListParagraph"/>
        <w:numPr>
          <w:ilvl w:val="0"/>
          <w:numId w:val="3"/>
        </w:numPr>
        <w:spacing w:after="80" w:line="280"/>
      </w:pPr>
      <w:r>
        <w:t xml:space="preserve">Vendor reporting — suppliers' Scope 1/2 emissions become the consuming enterprise's Scope 3; vendor data quality becomes an architectural concern.</w:t>
      </w:r>
    </w:p>
    <w:p>
      <w:r>
        <w:br w:type="page"/>
      </w:r>
    </w:p>
    <w:p>
      <w:pPr>
        <w:pStyle w:val="Heading1"/>
        <w:spacing w:after="200" w:before="360"/>
      </w:pPr>
      <w:r>
        <w:rPr>
          <w:b/>
          <w:bCs/>
          <w:color w:val="1F4E78"/>
        </w:rPr>
        <w:t xml:space="preserve">10. Summary and Review</w:t>
      </w:r>
    </w:p>
    <w:p>
      <w:pPr>
        <w:pStyle w:val="Heading2"/>
        <w:spacing w:after="160" w:before="280"/>
      </w:pPr>
      <w:r>
        <w:rPr>
          <w:b/>
          <w:bCs/>
          <w:color w:val="2E75B6"/>
        </w:rPr>
        <w:t xml:space="preserve">10.1 The Big Picture</w:t>
      </w:r>
    </w:p>
    <w:p>
      <w:pPr>
        <w:spacing w:after="120" w:line="300"/>
        <w:jc w:val="both"/>
      </w:pPr>
      <w:r>
        <w:t xml:space="preserve">Sustainability has become a substantive architectural concern, with TOGAF 10 introducing dedicated Series Guide content. Carbon impact decomposes across three levels — Embodied (manufacturing), Operational (running), and Indirect/Induced (downstream). Sustainability becomes architecturally tractable through concrete NFRs: gCO2e per request, energy proportionality, resource utilisation, demand-shifting capability. Cloud region selection dominates operational carbon outcomes, with 10-50× variance between cleanest and dirtiest regions on the same provider. Standard trade-offs (carbon vs latency, cost, residency) must be navigated explicitly. The Green Software Foundation's five principles (Carbon Efficiency, Energy Efficiency, Carbon Awareness, Hardware Efficiency, Measurement) frame the practice. Four named patterns (right-sizing, scale-to-zero, demand shifting and shaping, cold storage tiers) provide concrete approaches. Greenwashing red flags (offsets-only, REC-only, one-time measurement) help recognise unreliable claims. Principal tools (Cloud Carbon Footprint, Electricity Maps, Carbon-Aware SDK, Kepler) make sustainability measurable. Reporting frameworks (GHG Protocol, CSRD, SEC Climate Disclosure, SBTi) drive architectural requirements for data collection, retention, and auditability.</w:t>
      </w:r>
    </w:p>
    <w:p>
      <w:pPr>
        <w:pStyle w:val="Heading2"/>
        <w:spacing w:after="160" w:before="280"/>
      </w:pPr>
      <w:r>
        <w:rPr>
          <w:b/>
          <w:bCs/>
          <w:color w:val="2E75B6"/>
        </w:rPr>
        <w:t xml:space="preserve">10.2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Three levels of impact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Embodied (manufacturing), Operational (running), Indirect/Induced (downstream user devices, third-party services, induced demand).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Sustainability NFRs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gCO2e per request; energy proportionality; resource utilisation; demand-shifting capability.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Cloud region selection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DOMINATES carbon outcomes. 10-50× variance between cleanest and dirtiest regions. Largest single architectural lever for operational carbon.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Trade-offs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Carbon vs Latency; Carbon vs Cost; Carbon vs Residency. Each needs explicit navigation.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GSF five principles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Carbon Efficiency; Energy Efficiency; Carbon Awareness; Hardware Efficiency; Measurement.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Architectural patterns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Right-sizing; Scale-to-zero; Demand Shifting and Shaping; Cold Storage Tiers.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Greenwashing red flags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Offsets-only claims; REC-only 'renewable'; One-time measurement claimed as ongoing.</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Principal tools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Cloud Carbon Footprint (ThoughtWorks); Electricity Maps; Carbon-Aware SDK (GSF); Kepler (CNCF).</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GHG Protocol — three Scopes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Scope 1 = direct emissions; Scope 2 = purchased electricity; Scope 3 = everything else (largest, hardest).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Reporting frameworks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GHG Protocol (methodology), CSRD (EU mandatory), SEC Climate Disclosure (US mandatory), SBTi (voluntary, science-based targets).</w:t>
            </w:r>
          </w:p>
        </w:tc>
      </w:tr>
    </w:tbl>
    <w:p>
      <w:pPr>
        <w:pStyle w:val="Heading2"/>
        <w:spacing w:after="160" w:before="280"/>
      </w:pPr>
      <w:r>
        <w:rPr>
          <w:b/>
          <w:bCs/>
          <w:color w:val="2E75B6"/>
        </w:rPr>
        <w:t xml:space="preserve">10.3 Self-Test Questions</w:t>
      </w:r>
    </w:p>
    <w:p>
      <w:pPr>
        <w:pStyle w:val="ListParagraph"/>
        <w:numPr>
          <w:ilvl w:val="0"/>
          <w:numId w:val="3"/>
        </w:numPr>
        <w:spacing w:after="80" w:line="280"/>
      </w:pPr>
      <w:r>
        <w:t xml:space="preserve">Name the three levels of carbon impact and what each captures.</w:t>
      </w:r>
    </w:p>
    <w:p>
      <w:pPr>
        <w:pStyle w:val="ListParagraph"/>
        <w:numPr>
          <w:ilvl w:val="0"/>
          <w:numId w:val="3"/>
        </w:numPr>
        <w:spacing w:after="80" w:line="280"/>
      </w:pPr>
      <w:r>
        <w:t xml:space="preserve">Why does cloud region selection dominate operational carbon? What is the typical variance between cleanest and dirtiest regions?</w:t>
      </w:r>
    </w:p>
    <w:p>
      <w:pPr>
        <w:pStyle w:val="ListParagraph"/>
        <w:numPr>
          <w:ilvl w:val="0"/>
          <w:numId w:val="3"/>
        </w:numPr>
        <w:spacing w:after="80" w:line="280"/>
      </w:pPr>
      <w:r>
        <w:t xml:space="preserve">Name four sustainability NFR types with their measurable units.</w:t>
      </w:r>
    </w:p>
    <w:p>
      <w:pPr>
        <w:pStyle w:val="ListParagraph"/>
        <w:numPr>
          <w:ilvl w:val="0"/>
          <w:numId w:val="3"/>
        </w:numPr>
        <w:spacing w:after="80" w:line="280"/>
      </w:pPr>
      <w:r>
        <w:t xml:space="preserve">Name the three standard sustainability trade-offs and how each is typically navigated.</w:t>
      </w:r>
    </w:p>
    <w:p>
      <w:pPr>
        <w:pStyle w:val="ListParagraph"/>
        <w:numPr>
          <w:ilvl w:val="0"/>
          <w:numId w:val="3"/>
        </w:numPr>
        <w:spacing w:after="80" w:line="280"/>
      </w:pPr>
      <w:r>
        <w:t xml:space="preserve">Name the five Green Software Foundation principles.</w:t>
      </w:r>
    </w:p>
    <w:p>
      <w:pPr>
        <w:pStyle w:val="ListParagraph"/>
        <w:numPr>
          <w:ilvl w:val="0"/>
          <w:numId w:val="3"/>
        </w:numPr>
        <w:spacing w:after="80" w:line="280"/>
      </w:pPr>
      <w:r>
        <w:t xml:space="preserve">Distinguish demand shifting from demand shaping with an example of each.</w:t>
      </w:r>
    </w:p>
    <w:p>
      <w:pPr>
        <w:pStyle w:val="ListParagraph"/>
        <w:numPr>
          <w:ilvl w:val="0"/>
          <w:numId w:val="3"/>
        </w:numPr>
        <w:spacing w:after="80" w:line="280"/>
      </w:pPr>
      <w:r>
        <w:t xml:space="preserve">Name three architectural patterns for sustainability and when each applies.</w:t>
      </w:r>
    </w:p>
    <w:p>
      <w:pPr>
        <w:pStyle w:val="ListParagraph"/>
        <w:numPr>
          <w:ilvl w:val="0"/>
          <w:numId w:val="3"/>
        </w:numPr>
        <w:spacing w:after="80" w:line="280"/>
      </w:pPr>
      <w:r>
        <w:t xml:space="preserve">Name the three principal greenwashing red flags. For each, what does real practice look like instead?</w:t>
      </w:r>
    </w:p>
    <w:p>
      <w:pPr>
        <w:pStyle w:val="ListParagraph"/>
        <w:numPr>
          <w:ilvl w:val="0"/>
          <w:numId w:val="3"/>
        </w:numPr>
        <w:spacing w:after="80" w:line="280"/>
      </w:pPr>
      <w:r>
        <w:t xml:space="preserve">Name four principal sustainability tools and what each provides.</w:t>
      </w:r>
    </w:p>
    <w:p>
      <w:pPr>
        <w:pStyle w:val="ListParagraph"/>
        <w:numPr>
          <w:ilvl w:val="0"/>
          <w:numId w:val="3"/>
        </w:numPr>
        <w:spacing w:after="80" w:line="280"/>
      </w:pPr>
      <w:r>
        <w:t xml:space="preserve">Name the three Scopes of the GHG Protocol. Which is typically largest for IT-heavy enterprises?</w:t>
      </w:r>
    </w:p>
    <w:p>
      <w:pPr>
        <w:pStyle w:val="ListParagraph"/>
        <w:numPr>
          <w:ilvl w:val="0"/>
          <w:numId w:val="3"/>
        </w:numPr>
        <w:spacing w:after="80" w:line="280"/>
      </w:pPr>
      <w:r>
        <w:t xml:space="preserve">Name four reporting frameworks. Which is mandatory in the EU? Which provides voluntary external validation of science-based targets?</w:t>
      </w:r>
    </w:p>
    <w:p>
      <w:pPr>
        <w:pStyle w:val="Heading2"/>
        <w:spacing w:after="160" w:before="280"/>
      </w:pPr>
      <w:r>
        <w:rPr>
          <w:b/>
          <w:bCs/>
          <w:color w:val="2E75B6"/>
        </w:rPr>
        <w:t xml:space="preserve">10.4 Closing Note</w:t>
      </w:r>
    </w:p>
    <w:p>
      <w:pPr>
        <w:spacing w:after="120" w:line="300"/>
        <w:jc w:val="both"/>
      </w:pPr>
      <w:r>
        <w:t xml:space="preserve">Module 23 has covered sustainability as an architectural concern. Sustainability is the most recent addition to TOGAF practice and one of the most directly measurable: every architectural decision can be evaluated against carbon impact with concrete metrics. The remaining modules turn to certification preparation. Make sure you can recite: the three levels of impact; the standard NFRs; cloud region selection's dominance; the three trade-offs; the five GSF principles; the four named patterns; the three greenwashing red flags; the four principal tools; the three GHG Scopes; and the four reporting frameworks from memory before moving on.</w:t>
      </w:r>
    </w:p>
    <w:p>
      <w:pPr>
        <w:spacing w:after="120"/>
      </w:pPr>
      <w:r>
        <w:t xml:space="preserve"/>
      </w:r>
    </w:p>
    <w:p>
      <w:pPr>
        <w:spacing w:before="400"/>
        <w:jc w:val="center"/>
      </w:pPr>
      <w:r>
        <w:rPr>
          <w:i/>
          <w:iCs/>
          <w:color w:val="808080"/>
        </w:rPr>
        <w:t xml:space="preserve">— End of Module 23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23: Sustainability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23 Study Guide</dc:title>
  <dc:creator>Claude</dc:creator>
  <dc:description>Comprehensive study guide for the TOGAF Sustainability Series Guide</dc:description>
  <cp:lastModifiedBy>Un-named</cp:lastModifiedBy>
  <cp:revision>1</cp:revision>
  <dcterms:created xsi:type="dcterms:W3CDTF">2026-05-03T01:08:40.930Z</dcterms:created>
  <dcterms:modified xsi:type="dcterms:W3CDTF">2026-05-03T01:08:40.944Z</dcterms:modified>
</cp:coreProperties>
</file>

<file path=docProps/custom.xml><?xml version="1.0" encoding="utf-8"?>
<Properties xmlns="http://schemas.openxmlformats.org/officeDocument/2006/custom-properties" xmlns:vt="http://schemas.openxmlformats.org/officeDocument/2006/docPropsVTypes"/>
</file>