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1F4E78"/>
          <w:sz w:val="96"/>
          <w:szCs w:val="96"/>
        </w:rPr>
        <w:t xml:space="preserve">TOGAF</w:t>
      </w:r>
    </w:p>
    <w:p>
      <w:pPr>
        <w:spacing w:after="400"/>
        <w:jc w:val="center"/>
      </w:pPr>
      <w:r>
        <w:rPr>
          <w:b/>
          <w:bCs/>
          <w:color w:val="2E75B6"/>
          <w:sz w:val="44"/>
          <w:szCs w:val="44"/>
        </w:rPr>
        <w:t xml:space="preserve">Enterprise Architecture Study Guide</w:t>
      </w:r>
    </w:p>
    <w:p>
      <w:pPr>
        <w:spacing w:after="1600"/>
        <w:jc w:val="center"/>
      </w:pPr>
      <w:r>
        <w:rPr>
          <w:i/>
          <w:iCs/>
          <w:color w:val="595959"/>
          <w:sz w:val="36"/>
          <w:szCs w:val="36"/>
        </w:rPr>
        <w:t xml:space="preserve">Module 24: Practical Artifacts &amp; Templates</w:t>
      </w:r>
    </w:p>
    <w:p>
      <w:pPr>
        <w:spacing w:after="200"/>
        <w:jc w:val="center"/>
      </w:pPr>
      <w:r>
        <w:rPr>
          <w:color w:val="595959"/>
          <w:sz w:val="28"/>
          <w:szCs w:val="28"/>
        </w:rPr>
        <w:t xml:space="preserve">The Eleven Standard TOGAF Deliverables</w:t>
      </w:r>
    </w:p>
    <w:p>
      <w:pPr>
        <w:spacing w:after="200"/>
        <w:jc w:val="center"/>
      </w:pPr>
      <w:r>
        <w:rPr>
          <w:color w:val="808080"/>
          <w:sz w:val="22"/>
          <w:szCs w:val="22"/>
        </w:rPr>
        <w:t xml:space="preserve">Templates · Quick Reference · Phase Mapping · Worked Examples</w:t>
      </w:r>
    </w:p>
    <w:p>
      <w:pPr>
        <w:spacing w:before="2400"/>
        <w:jc w:val="center"/>
      </w:pPr>
      <w:r>
        <w:rPr>
          <w:i/>
          <w:iCs/>
          <w:color w:val="808080"/>
          <w:sz w:val="22"/>
          <w:szCs w:val="22"/>
        </w:rPr>
        <w:t xml:space="preserve">Aligned with TOGAF® Standard, 10th Edition (The Open Group)</w:t>
      </w:r>
    </w:p>
    <w:p>
      <w:r>
        <w:br w:type="page"/>
      </w:r>
    </w:p>
    <w:p>
      <w:pPr>
        <w:pStyle w:val="Heading1"/>
        <w:spacing w:after="200" w:before="360"/>
      </w:pPr>
      <w:r>
        <w:rPr>
          <w:b/>
          <w:bCs/>
          <w:color w:val="1F4E78"/>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color w:val="1F4E78"/>
        </w:rPr>
        <w:t xml:space="preserve">Introduction to Module 24</w:t>
      </w:r>
    </w:p>
    <w:p>
      <w:pPr>
        <w:spacing w:after="120" w:line="300"/>
        <w:jc w:val="both"/>
      </w:pPr>
      <w:r>
        <w:t xml:space="preserve">Module 9 covered the Architecture Content Framework conceptually — the categories of artefact (Catalogue, Matrix, Diagram), the three types of building block (ABB, SBB), and the structure of Deliverables, Artifacts, and Building Blocks. Module 24 turns this conceptual framework into practical artefacts: the eleven standard deliverable templates that recur across TOGAF engagements, what each contains, when each is produced, and how they connect.</w:t>
      </w:r>
    </w:p>
    <w:p>
      <w:pPr>
        <w:spacing w:after="120" w:line="300"/>
        <w:jc w:val="both"/>
      </w:pPr>
      <w:r>
        <w:t xml:space="preserve">The eleven artefacts covered in this module are a curated practical set. TOGAF formally identifies many more potential artefacts (the full catalogue includes around 90 named items across the various phases), but in real engagements an architect produces a small subset of these consistently and tailors others as required. The eleven covered here are the ones every architect produces and reads regardless of engagement type. Recognising them by name and knowing what each contains is exam-relevant; using them well is what distinguishes effective practice.</w:t>
      </w:r>
    </w:p>
    <w:p>
      <w:pPr>
        <w:spacing w:after="120" w:line="300"/>
        <w:jc w:val="both"/>
      </w:pPr>
      <w:r>
        <w:t xml:space="preserve">This module is organised differently from the others. After a brief introduction to the eleven and how they relate, each artefact gets its own focused section: what it is, what it contains, when it is produced, who consumes it, what good looks like, and a worked template structure. The module closes with two cross-cutting summaries: the quick-reference "which artefact answers which question", and the ADM phase to artefact mapping. Together these provide the operational reference that practitioners use in real engagements.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How to Read This Module</w:t>
            </w:r>
          </w:p>
          <w:p>
            <w:pPr>
              <w:spacing w:after="60" w:line="280"/>
              <w:jc w:val="both"/>
            </w:pPr>
            <w:r>
              <w:t xml:space="preserve">Unlike the more conceptual earlier modules, this one is directly usable as a practical reference. Read it once linearly to learn the structures; then return to it during real engagements to remind yourself what each template contains. The exam tests recognition of artefact names and what each is for; the practical work tests whether you can produce each one well. Both purposes converge: knowing the artefacts is essential for both the exam and for delivering competent architecture work.</w:t>
            </w:r>
          </w:p>
        </w:tc>
      </w:tr>
    </w:tbl>
    <w:p>
      <w:r>
        <w:br w:type="page"/>
      </w:r>
    </w:p>
    <w:p>
      <w:pPr>
        <w:pStyle w:val="Heading1"/>
        <w:spacing w:after="200" w:before="360"/>
      </w:pPr>
      <w:r>
        <w:rPr>
          <w:b/>
          <w:bCs/>
          <w:color w:val="1F4E78"/>
        </w:rPr>
        <w:t xml:space="preserve">1. The Eleven Standard Artefacts at a Glance</w:t>
      </w:r>
    </w:p>
    <w:p>
      <w:pPr>
        <w:spacing w:after="120" w:line="300"/>
        <w:jc w:val="both"/>
      </w:pPr>
      <w:r>
        <w:t xml:space="preserve">The eleven artefacts span the ADM from Phase A (Architecture Vision) through Phase G (Implementation Governance). Together they constitute the practical artefact set that any architect produces on a substantive engagement. Some are produced once and rarely revised (Statement of Architecture Work); some evolve continuously throughout the engagement (Architecture Decision Records, Architecture Requirements Specification). Some are summary artefacts intended for executive consumption (Architecture Vision); some are detailed working artefacts intended for delivery teams (Architecture Definition Document).</w:t>
      </w:r>
    </w:p>
    <w:p>
      <w:pPr>
        <w:pStyle w:val="Heading2"/>
        <w:spacing w:after="160" w:before="280"/>
      </w:pPr>
      <w:r>
        <w:rPr>
          <w:b/>
          <w:bCs/>
          <w:color w:val="2E75B6"/>
        </w:rPr>
        <w:t xml:space="preserve">1.1 The Eleven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The Eleven Standard TOGAF Deliverable Templates: </w:t>
            </w:r>
            <w:r>
              <w:t xml:space="preserve">(1) Architecture Vision; (2) Statement of Architecture Work; (3) Architecture Definition Document (per BDAT domain); (4) Architecture Requirements Specification; (5) Gap Analysis Table; (6) Stakeholder Map / Matrix; (7) Architecture Principles Catalogue; (8) Architecture Decision Record (ADR); (9) Architecture Roadmap; (10) Capability Heat Map; (11) Architecture Contract. Eleven artefacts; the practical core of TOGAF deliverable production.</w:t>
            </w:r>
          </w:p>
        </w:tc>
      </w:tr>
    </w:tbl>
    <w:p>
      <w:pPr>
        <w:pStyle w:val="Heading2"/>
        <w:spacing w:after="160" w:before="280"/>
      </w:pPr>
      <w:r>
        <w:rPr>
          <w:b/>
          <w:bCs/>
          <w:color w:val="2E75B6"/>
        </w:rPr>
        <w:t xml:space="preserve">1.2 The Eleven by Category</w:t>
      </w:r>
    </w:p>
    <w:p>
      <w:pPr>
        <w:spacing w:after="120" w:line="300"/>
        <w:jc w:val="both"/>
      </w:pPr>
      <w:r>
        <w:t xml:space="preserve">The eleven group naturally into five categories by purpose:</w:t>
      </w:r>
    </w:p>
    <w:p>
      <w:pPr>
        <w:pStyle w:val="ListParagraph"/>
        <w:numPr>
          <w:ilvl w:val="0"/>
          <w:numId w:val="2"/>
        </w:numPr>
        <w:spacing w:after="80" w:line="280"/>
      </w:pPr>
      <w:r>
        <w:t xml:space="preserve">Initiation artefacts — Architecture Vision and Statement of Architecture Work establish the engagement.</w:t>
      </w:r>
    </w:p>
    <w:p>
      <w:pPr>
        <w:pStyle w:val="ListParagraph"/>
        <w:numPr>
          <w:ilvl w:val="0"/>
          <w:numId w:val="2"/>
        </w:numPr>
        <w:spacing w:after="80" w:line="280"/>
      </w:pPr>
      <w:r>
        <w:t xml:space="preserve">Substantive design artefacts — Architecture Definition Document and Architecture Requirements Specification capture the architecture itself.</w:t>
      </w:r>
    </w:p>
    <w:p>
      <w:pPr>
        <w:pStyle w:val="ListParagraph"/>
        <w:numPr>
          <w:ilvl w:val="0"/>
          <w:numId w:val="2"/>
        </w:numPr>
        <w:spacing w:after="80" w:line="280"/>
      </w:pPr>
      <w:r>
        <w:t xml:space="preserve">Analysis artefacts — Gap Analysis Table, Stakeholder Map, Capability Heat Map surface the structured analysis underlying the design.</w:t>
      </w:r>
    </w:p>
    <w:p>
      <w:pPr>
        <w:pStyle w:val="ListParagraph"/>
        <w:numPr>
          <w:ilvl w:val="0"/>
          <w:numId w:val="2"/>
        </w:numPr>
        <w:spacing w:after="80" w:line="280"/>
      </w:pPr>
      <w:r>
        <w:t xml:space="preserve">Governance artefacts — Architecture Principles Catalogue, Architecture Decision Record, Architecture Contract provide the standing context and the per-decision and per-engagement governance.</w:t>
      </w:r>
    </w:p>
    <w:p>
      <w:pPr>
        <w:pStyle w:val="ListParagraph"/>
        <w:numPr>
          <w:ilvl w:val="0"/>
          <w:numId w:val="2"/>
        </w:numPr>
        <w:spacing w:after="80" w:line="280"/>
      </w:pPr>
      <w:r>
        <w:t xml:space="preserve">Planning artefact — Architecture Roadmap sequences the work through Transition Architectures.</w:t>
      </w:r>
    </w:p>
    <w:p>
      <w:pPr>
        <w:spacing w:after="120" w:line="300"/>
        <w:jc w:val="both"/>
      </w:pPr>
      <w:r>
        <w:t xml:space="preserve">Each category has its own characteristic timing, audience, and review cadence; the five together produce the engagement's complete practical artefact set.</w:t>
      </w:r>
    </w:p>
    <w:p>
      <w:pPr>
        <w:pStyle w:val="Heading2"/>
        <w:spacing w:after="160" w:before="280"/>
      </w:pPr>
      <w:r>
        <w:rPr>
          <w:b/>
          <w:bCs/>
          <w:color w:val="2E75B6"/>
        </w:rPr>
        <w:t xml:space="preserve">1.3 The Eleven Mapped to ADM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700"/>
        <w:gridCol w:w="4260"/>
      </w:tblGrid>
      <w:tr>
        <w:trPr>
          <w:tblHeader/>
        </w:trPr>
        <w:tc>
          <w:tcPr>
            <w:tcW w:type="dxa" w:w="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t>
            </w:r>
          </w:p>
        </w:tc>
        <w:tc>
          <w:tcPr>
            <w:tcW w:type="dxa" w:w="30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Artefact</w:t>
            </w:r>
          </w:p>
        </w:tc>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Primary Phase</w:t>
            </w:r>
          </w:p>
        </w:tc>
        <w:tc>
          <w:tcPr>
            <w:tcW w:type="dxa" w:w="42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Evolution</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Vision</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w:t>
            </w:r>
          </w:p>
        </w:tc>
        <w:tc>
          <w:tcPr>
            <w:tcW w:type="dxa" w:w="4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Created in A; refined slightly in B/C/D</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2</w:t>
            </w:r>
          </w:p>
        </w:tc>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Statement of Architecture Work</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 (output)</w:t>
            </w:r>
          </w:p>
        </w:tc>
        <w:tc>
          <w:tcPr>
            <w:tcW w:type="dxa" w:w="4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Signed in A; reviewed at major checkpoints</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3</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Definition Document</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 / C / D</w:t>
            </w:r>
          </w:p>
        </w:tc>
        <w:tc>
          <w:tcPr>
            <w:tcW w:type="dxa" w:w="4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One per domain; lives through engagement</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4</w:t>
            </w:r>
          </w:p>
        </w:tc>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Requirements Specification</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Cross-phase</w:t>
            </w:r>
          </w:p>
        </w:tc>
        <w:tc>
          <w:tcPr>
            <w:tcW w:type="dxa" w:w="4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Continuously refined from A through F</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5</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Gap Analysis Table</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 / C / D</w:t>
            </w:r>
          </w:p>
        </w:tc>
        <w:tc>
          <w:tcPr>
            <w:tcW w:type="dxa" w:w="4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One per domain; produced near phase end</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6</w:t>
            </w:r>
          </w:p>
        </w:tc>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Stakeholder Map / Matrix</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 (initial); maintained throughout</w:t>
            </w:r>
          </w:p>
        </w:tc>
        <w:tc>
          <w:tcPr>
            <w:tcW w:type="dxa" w:w="4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Refined as new stakeholders surface</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7</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Principles Catalogue</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Preliminary (initial); maintained</w:t>
            </w:r>
          </w:p>
        </w:tc>
        <w:tc>
          <w:tcPr>
            <w:tcW w:type="dxa" w:w="4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Stable; updated only through Phase H</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8</w:t>
            </w:r>
          </w:p>
        </w:tc>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Decision Record (ADR)</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Throughout</w:t>
            </w:r>
          </w:p>
        </w:tc>
        <w:tc>
          <w:tcPr>
            <w:tcW w:type="dxa" w:w="4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One per significant decision; archived not deleted</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9</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Roadmap</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w:t>
            </w:r>
          </w:p>
        </w:tc>
        <w:tc>
          <w:tcPr>
            <w:tcW w:type="dxa" w:w="4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Evolves through F; stable into G</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10</w:t>
            </w:r>
          </w:p>
        </w:tc>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Capability Heat Map</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 (initial); strategic input</w:t>
            </w:r>
          </w:p>
        </w:tc>
        <w:tc>
          <w:tcPr>
            <w:tcW w:type="dxa" w:w="4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Annually refreshed at portfolio level</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11</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Contract</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w:t>
            </w:r>
          </w:p>
        </w:tc>
        <w:tc>
          <w:tcPr>
            <w:tcW w:type="dxa" w:w="4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Per delivery project under governance</w:t>
            </w:r>
          </w:p>
        </w:tc>
      </w:tr>
    </w:tbl>
    <w:p>
      <w:r>
        <w:br w:type="page"/>
      </w:r>
    </w:p>
    <w:p>
      <w:pPr>
        <w:pStyle w:val="Heading1"/>
        <w:spacing w:after="200" w:before="360"/>
      </w:pPr>
      <w:r>
        <w:rPr>
          <w:b/>
          <w:bCs/>
          <w:color w:val="1F4E78"/>
        </w:rPr>
        <w:t xml:space="preserve">2. Architecture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Architecture Vision: </w:t>
            </w:r>
            <w:r>
              <w:t xml:space="preserve">The Phase A output that captures the engagement's high-level target architecture, the value it delivers, and the stakeholders served. Concise (typically 5-15 pages); executive-readable; produced once at engagement initiation and refined slightly through later phases. The principal artefact for securing executive buy-in to proceed with the engagement.</w:t>
            </w:r>
          </w:p>
        </w:tc>
      </w:tr>
    </w:tbl>
    <w:p>
      <w:pPr>
        <w:pStyle w:val="Heading2"/>
        <w:spacing w:after="160" w:before="280"/>
      </w:pPr>
      <w:r>
        <w:rPr>
          <w:b/>
          <w:bCs/>
          <w:color w:val="2E75B6"/>
        </w:rPr>
        <w:t xml:space="preserve">2.1 What It Captures</w:t>
      </w:r>
    </w:p>
    <w:p>
      <w:pPr>
        <w:spacing w:after="120" w:line="300"/>
        <w:jc w:val="both"/>
      </w:pPr>
      <w:r>
        <w:t xml:space="preserve">The Architecture Vision is the engagement's elevator pitch in document form. It exists to answer one question for executive readers: "why are we doing this engagement, what will it produce, and is it worth doing?"</w:t>
      </w:r>
    </w:p>
    <w:p>
      <w:pPr>
        <w:pStyle w:val="Heading2"/>
        <w:spacing w:after="160" w:before="280"/>
      </w:pPr>
      <w:r>
        <w:rPr>
          <w:b/>
          <w:bCs/>
          <w:color w:val="2E75B6"/>
        </w:rPr>
        <w:t xml:space="preserve">2.2 Standard Sections</w:t>
      </w:r>
    </w:p>
    <w:p>
      <w:pPr>
        <w:pStyle w:val="ListParagraph"/>
        <w:numPr>
          <w:ilvl w:val="0"/>
          <w:numId w:val="3"/>
        </w:numPr>
        <w:spacing w:after="80" w:line="280"/>
      </w:pPr>
      <w:r>
        <w:t xml:space="preserve">Executive summary — one to two paragraphs capturing the engagement's purpose, scope, and value.</w:t>
      </w:r>
    </w:p>
    <w:p>
      <w:pPr>
        <w:pStyle w:val="ListParagraph"/>
        <w:numPr>
          <w:ilvl w:val="0"/>
          <w:numId w:val="3"/>
        </w:numPr>
        <w:spacing w:after="80" w:line="280"/>
      </w:pPr>
      <w:r>
        <w:t xml:space="preserve">Problem statement — what business problem is being addressed (drawn from the Business Scenario, Module 15).</w:t>
      </w:r>
    </w:p>
    <w:p>
      <w:pPr>
        <w:pStyle w:val="ListParagraph"/>
        <w:numPr>
          <w:ilvl w:val="0"/>
          <w:numId w:val="3"/>
        </w:numPr>
        <w:spacing w:after="80" w:line="280"/>
      </w:pPr>
      <w:r>
        <w:t xml:space="preserve">Stakeholders and their concerns — the people whose interests the engagement serves (linked to the Stakeholder Map, Section 7).</w:t>
      </w:r>
    </w:p>
    <w:p>
      <w:pPr>
        <w:pStyle w:val="ListParagraph"/>
        <w:numPr>
          <w:ilvl w:val="0"/>
          <w:numId w:val="3"/>
        </w:numPr>
        <w:spacing w:after="80" w:line="280"/>
      </w:pPr>
      <w:r>
        <w:t xml:space="preserve">Business drivers and goals — the strategic context driving the engagement (typically references BMM elements from Module 18).</w:t>
      </w:r>
    </w:p>
    <w:p>
      <w:pPr>
        <w:pStyle w:val="ListParagraph"/>
        <w:numPr>
          <w:ilvl w:val="0"/>
          <w:numId w:val="3"/>
        </w:numPr>
        <w:spacing w:after="80" w:line="280"/>
      </w:pPr>
      <w:r>
        <w:t xml:space="preserve">High-level target architecture — a sketch of the target state, typically as a Layered ArchiMate viewpoint (Module 17) or a high-level diagram. Just enough detail to communicate the shape, not the implementation.</w:t>
      </w:r>
    </w:p>
    <w:p>
      <w:pPr>
        <w:pStyle w:val="ListParagraph"/>
        <w:numPr>
          <w:ilvl w:val="0"/>
          <w:numId w:val="3"/>
        </w:numPr>
        <w:spacing w:after="80" w:line="280"/>
      </w:pPr>
      <w:r>
        <w:t xml:space="preserve">Value proposition — quantified business value (cost reduction, revenue uplift, risk reduction, capability uplift) with rough order of magnitude.</w:t>
      </w:r>
    </w:p>
    <w:p>
      <w:pPr>
        <w:pStyle w:val="ListParagraph"/>
        <w:numPr>
          <w:ilvl w:val="0"/>
          <w:numId w:val="3"/>
        </w:numPr>
        <w:spacing w:after="80" w:line="280"/>
      </w:pPr>
      <w:r>
        <w:t xml:space="preserve">Initial scope and boundaries — what is in scope, what is out of scope, what is deferred.</w:t>
      </w:r>
    </w:p>
    <w:p>
      <w:pPr>
        <w:pStyle w:val="ListParagraph"/>
        <w:numPr>
          <w:ilvl w:val="0"/>
          <w:numId w:val="3"/>
        </w:numPr>
        <w:spacing w:after="80" w:line="280"/>
      </w:pPr>
      <w:r>
        <w:t xml:space="preserve">Key risks and assumptions — the major uncertainties acknowledged.</w:t>
      </w:r>
    </w:p>
    <w:p>
      <w:pPr>
        <w:pStyle w:val="ListParagraph"/>
        <w:numPr>
          <w:ilvl w:val="0"/>
          <w:numId w:val="3"/>
        </w:numPr>
        <w:spacing w:after="80" w:line="280"/>
      </w:pPr>
      <w:r>
        <w:t xml:space="preserve">Recommendation — explicit "proceed / proceed with conditions / do not proceed" recommendation to the executive sponsor.</w:t>
      </w:r>
    </w:p>
    <w:p>
      <w:pPr>
        <w:pStyle w:val="Heading2"/>
        <w:spacing w:after="160" w:before="280"/>
      </w:pPr>
      <w:r>
        <w:rPr>
          <w:b/>
          <w:bCs/>
          <w:color w:val="2E75B6"/>
        </w:rPr>
        <w:t xml:space="preserve">2.3 What Good Looks Like</w:t>
      </w:r>
    </w:p>
    <w:p>
      <w:pPr>
        <w:pStyle w:val="ListParagraph"/>
        <w:numPr>
          <w:ilvl w:val="0"/>
          <w:numId w:val="2"/>
        </w:numPr>
        <w:spacing w:after="80" w:line="280"/>
      </w:pPr>
      <w:r>
        <w:t xml:space="preserve">Concise — typically 5-15 pages. An Architecture Vision longer than 30 pages signals that scope or detail levels are wrong.</w:t>
      </w:r>
    </w:p>
    <w:p>
      <w:pPr>
        <w:pStyle w:val="ListParagraph"/>
        <w:numPr>
          <w:ilvl w:val="0"/>
          <w:numId w:val="2"/>
        </w:numPr>
        <w:spacing w:after="80" w:line="280"/>
      </w:pPr>
      <w:r>
        <w:t xml:space="preserve">Executive-readable — written in business language, with technical detail relegated to appendices or other artefacts.</w:t>
      </w:r>
    </w:p>
    <w:p>
      <w:pPr>
        <w:pStyle w:val="ListParagraph"/>
        <w:numPr>
          <w:ilvl w:val="0"/>
          <w:numId w:val="2"/>
        </w:numPr>
        <w:spacing w:after="80" w:line="280"/>
      </w:pPr>
      <w:r>
        <w:t xml:space="preserve">Specific — names the Capabilities affected, the metrics that will improve, the timelines envisioned.</w:t>
      </w:r>
    </w:p>
    <w:p>
      <w:pPr>
        <w:pStyle w:val="ListParagraph"/>
        <w:numPr>
          <w:ilvl w:val="0"/>
          <w:numId w:val="2"/>
        </w:numPr>
        <w:spacing w:after="80" w:line="280"/>
      </w:pPr>
      <w:r>
        <w:t xml:space="preserve">Honest about uncertainty — acknowledges what is not yet known and how it will be resolved.</w:t>
      </w:r>
    </w:p>
    <w:p>
      <w:pPr>
        <w:pStyle w:val="ListParagraph"/>
        <w:numPr>
          <w:ilvl w:val="0"/>
          <w:numId w:val="2"/>
        </w:numPr>
        <w:spacing w:after="80" w:line="280"/>
      </w:pPr>
      <w:r>
        <w:t xml:space="preserve">Actionable — produces a clear executive decision: proceed or not.</w:t>
      </w:r>
    </w:p>
    <w:p>
      <w:r>
        <w:br w:type="page"/>
      </w:r>
    </w:p>
    <w:p>
      <w:pPr>
        <w:pStyle w:val="Heading1"/>
        <w:spacing w:after="200" w:before="360"/>
      </w:pPr>
      <w:r>
        <w:rPr>
          <w:b/>
          <w:bCs/>
          <w:color w:val="1F4E78"/>
        </w:rPr>
        <w:t xml:space="preserve">3. Statement of Architecture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Statement of Architecture Work (SoAW): </w:t>
            </w:r>
            <w:r>
              <w:t xml:space="preserve">The Phase A output that contracts the engagement: scope, deliverables, schedule, resources, sponsor, governance. Equivalent to a project charter, focused on the architecture engagement specifically. Signed by the Architecture Sponsor (Module 14) and the Chief Architect (or equivalent); becomes the reference for what the engagement is committed to deliver.</w:t>
            </w:r>
          </w:p>
        </w:tc>
      </w:tr>
    </w:tbl>
    <w:p>
      <w:pPr>
        <w:pStyle w:val="Heading2"/>
        <w:spacing w:after="160" w:before="280"/>
      </w:pPr>
      <w:r>
        <w:rPr>
          <w:b/>
          <w:bCs/>
          <w:color w:val="2E75B6"/>
        </w:rPr>
        <w:t xml:space="preserve">3.1 What It Captures</w:t>
      </w:r>
    </w:p>
    <w:p>
      <w:pPr>
        <w:spacing w:after="120" w:line="300"/>
        <w:jc w:val="both"/>
      </w:pPr>
      <w:r>
        <w:t xml:space="preserve">Where the Architecture Vision sells the engagement ("why this matters and what it produces"), the Statement of Architecture Work commits to the engagement ("who will do what, by when, with what resources"). The SoAW is operational — it is what the engagement is held to.</w:t>
      </w:r>
    </w:p>
    <w:p>
      <w:pPr>
        <w:pStyle w:val="Heading2"/>
        <w:spacing w:after="160" w:before="280"/>
      </w:pPr>
      <w:r>
        <w:rPr>
          <w:b/>
          <w:bCs/>
          <w:color w:val="2E75B6"/>
        </w:rPr>
        <w:t xml:space="preserve">3.2 Standard Sections</w:t>
      </w:r>
    </w:p>
    <w:p>
      <w:pPr>
        <w:pStyle w:val="ListParagraph"/>
        <w:numPr>
          <w:ilvl w:val="0"/>
          <w:numId w:val="3"/>
        </w:numPr>
        <w:spacing w:after="80" w:line="280"/>
      </w:pPr>
      <w:r>
        <w:t xml:space="preserve">Engagement scope — Capabilities and domains covered; explicit out-of-scope statements.</w:t>
      </w:r>
    </w:p>
    <w:p>
      <w:pPr>
        <w:pStyle w:val="ListParagraph"/>
        <w:numPr>
          <w:ilvl w:val="0"/>
          <w:numId w:val="3"/>
        </w:numPr>
        <w:spacing w:after="80" w:line="280"/>
      </w:pPr>
      <w:r>
        <w:t xml:space="preserve">Engagement objectives — what the engagement will deliver, expressed as measurable outcomes.</w:t>
      </w:r>
    </w:p>
    <w:p>
      <w:pPr>
        <w:pStyle w:val="ListParagraph"/>
        <w:numPr>
          <w:ilvl w:val="0"/>
          <w:numId w:val="3"/>
        </w:numPr>
        <w:spacing w:after="80" w:line="280"/>
      </w:pPr>
      <w:r>
        <w:t xml:space="preserve">Deliverables — the named artefacts (typically a subset of the eleven covered in this module) the engagement will produce.</w:t>
      </w:r>
    </w:p>
    <w:p>
      <w:pPr>
        <w:pStyle w:val="ListParagraph"/>
        <w:numPr>
          <w:ilvl w:val="0"/>
          <w:numId w:val="3"/>
        </w:numPr>
        <w:spacing w:after="80" w:line="280"/>
      </w:pPr>
      <w:r>
        <w:t xml:space="preserve">Schedule — the major milestones and target dates, typically one per ADM phase.</w:t>
      </w:r>
    </w:p>
    <w:p>
      <w:pPr>
        <w:pStyle w:val="ListParagraph"/>
        <w:numPr>
          <w:ilvl w:val="0"/>
          <w:numId w:val="3"/>
        </w:numPr>
        <w:spacing w:after="80" w:line="280"/>
      </w:pPr>
      <w:r>
        <w:t xml:space="preserve">Resources — the named architects assigned, the budget allocated, any specialist support required (security architect, data architect, etc.).</w:t>
      </w:r>
    </w:p>
    <w:p>
      <w:pPr>
        <w:pStyle w:val="ListParagraph"/>
        <w:numPr>
          <w:ilvl w:val="0"/>
          <w:numId w:val="3"/>
        </w:numPr>
        <w:spacing w:after="80" w:line="280"/>
      </w:pPr>
      <w:r>
        <w:t xml:space="preserve">Approach — the iteration patterns used (Module 21), the governance cadence, the stakeholder engagement plan.</w:t>
      </w:r>
    </w:p>
    <w:p>
      <w:pPr>
        <w:pStyle w:val="ListParagraph"/>
        <w:numPr>
          <w:ilvl w:val="0"/>
          <w:numId w:val="3"/>
        </w:numPr>
        <w:spacing w:after="80" w:line="280"/>
      </w:pPr>
      <w:r>
        <w:t xml:space="preserve">Sponsor and governance — who sponsors the engagement, who chairs the Architecture Board reviewing it, who approves dispensations.</w:t>
      </w:r>
    </w:p>
    <w:p>
      <w:pPr>
        <w:pStyle w:val="ListParagraph"/>
        <w:numPr>
          <w:ilvl w:val="0"/>
          <w:numId w:val="3"/>
        </w:numPr>
        <w:spacing w:after="80" w:line="280"/>
      </w:pPr>
      <w:r>
        <w:t xml:space="preserve">Acceptance criteria — what will be checked to confirm the engagement has delivered as committed.</w:t>
      </w:r>
    </w:p>
    <w:p>
      <w:pPr>
        <w:pStyle w:val="ListParagraph"/>
        <w:numPr>
          <w:ilvl w:val="0"/>
          <w:numId w:val="3"/>
        </w:numPr>
        <w:spacing w:after="80" w:line="280"/>
      </w:pPr>
      <w:r>
        <w:t xml:space="preserve">Sign-off — explicit signatures from the Sponsor, Chief Architect, and any other principal stakeholders.</w:t>
      </w:r>
    </w:p>
    <w:p>
      <w:pPr>
        <w:pStyle w:val="Heading2"/>
        <w:spacing w:after="160" w:before="280"/>
      </w:pPr>
      <w:r>
        <w:rPr>
          <w:b/>
          <w:bCs/>
          <w:color w:val="2E75B6"/>
        </w:rPr>
        <w:t xml:space="preserve">3.3 What Good Looks Like</w:t>
      </w:r>
    </w:p>
    <w:p>
      <w:pPr>
        <w:pStyle w:val="ListParagraph"/>
        <w:numPr>
          <w:ilvl w:val="0"/>
          <w:numId w:val="2"/>
        </w:numPr>
        <w:spacing w:after="80" w:line="280"/>
      </w:pPr>
      <w:r>
        <w:t xml:space="preserve">Specific scope statements — "In: Customer Onboarding capability across digital and assisted channels. Out: Lending originations (separate engagement). Deferred: Wealth onboarding (next year)".</w:t>
      </w:r>
    </w:p>
    <w:p>
      <w:pPr>
        <w:pStyle w:val="ListParagraph"/>
        <w:numPr>
          <w:ilvl w:val="0"/>
          <w:numId w:val="2"/>
        </w:numPr>
        <w:spacing w:after="80" w:line="280"/>
      </w:pPr>
      <w:r>
        <w:t xml:space="preserve">Named deliverables with completion criteria — "Architecture Definition Document for Application Architecture, signed off by Application Architecture Manager, by Q2 2027".</w:t>
      </w:r>
    </w:p>
    <w:p>
      <w:pPr>
        <w:pStyle w:val="ListParagraph"/>
        <w:numPr>
          <w:ilvl w:val="0"/>
          <w:numId w:val="2"/>
        </w:numPr>
        <w:spacing w:after="80" w:line="280"/>
      </w:pPr>
      <w:r>
        <w:t xml:space="preserve">Realistic schedule — most engagements significantly underestimate Phase B-D effort; a SoAW that allots 30% of total effort to Phases B/C/D combined is typically under-scoped.</w:t>
      </w:r>
    </w:p>
    <w:p>
      <w:pPr>
        <w:pStyle w:val="ListParagraph"/>
        <w:numPr>
          <w:ilvl w:val="0"/>
          <w:numId w:val="2"/>
        </w:numPr>
        <w:spacing w:after="80" w:line="280"/>
      </w:pPr>
      <w:r>
        <w:t xml:space="preserve">Explicit dependencies and assumptions — what the engagement depends on from other teams or programmes.</w:t>
      </w:r>
    </w:p>
    <w:p>
      <w:r>
        <w:br w:type="page"/>
      </w:r>
    </w:p>
    <w:p>
      <w:pPr>
        <w:pStyle w:val="Heading1"/>
        <w:spacing w:after="200" w:before="360"/>
      </w:pPr>
      <w:r>
        <w:rPr>
          <w:b/>
          <w:bCs/>
          <w:color w:val="1F4E78"/>
        </w:rPr>
        <w:t xml:space="preserve">4. Architecture Definition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Architecture Definition Document (ADD): </w:t>
            </w:r>
            <w:r>
              <w:t xml:space="preserve">The substantive design artefact for one or more BDAT domains. Captures the baseline architecture, target architecture, gap analysis, and architectural decisions for the domain. Typically one ADD per domain (Business ADD from Phase B, Data ADD and Application ADD from Phase C, Technology ADD from Phase D), though some engagements produce a single combined ADD covering all four. The most detailed of the deliverables.</w:t>
            </w:r>
          </w:p>
        </w:tc>
      </w:tr>
    </w:tbl>
    <w:p>
      <w:pPr>
        <w:pStyle w:val="Heading2"/>
        <w:spacing w:after="160" w:before="280"/>
      </w:pPr>
      <w:r>
        <w:rPr>
          <w:b/>
          <w:bCs/>
          <w:color w:val="2E75B6"/>
        </w:rPr>
        <w:t xml:space="preserve">4.1 What It Captures</w:t>
      </w:r>
    </w:p>
    <w:p>
      <w:pPr>
        <w:spacing w:after="120" w:line="300"/>
        <w:jc w:val="both"/>
      </w:pPr>
      <w:r>
        <w:t xml:space="preserve">The ADD is where the substance of the architecture lives. It is the artefact that describes the architecture itself rather than the surrounding governance, planning, or stakeholder context. ADDs are read by delivery teams who are building against the architecture, by reviewers conducting compliance checks, and by future architects who will evolve the architecture in subsequent cycles.</w:t>
      </w:r>
    </w:p>
    <w:p>
      <w:pPr>
        <w:pStyle w:val="Heading2"/>
        <w:spacing w:after="160" w:before="280"/>
      </w:pPr>
      <w:r>
        <w:rPr>
          <w:b/>
          <w:bCs/>
          <w:color w:val="2E75B6"/>
        </w:rPr>
        <w:t xml:space="preserve">4.2 Standard Sections per Domain</w:t>
      </w:r>
    </w:p>
    <w:p>
      <w:pPr>
        <w:pStyle w:val="ListParagraph"/>
        <w:numPr>
          <w:ilvl w:val="0"/>
          <w:numId w:val="3"/>
        </w:numPr>
        <w:spacing w:after="80" w:line="280"/>
      </w:pPr>
      <w:r>
        <w:t xml:space="preserve">Scope and context — which Capabilities the domain architecture addresses; the boundary with adjacent domains.</w:t>
      </w:r>
    </w:p>
    <w:p>
      <w:pPr>
        <w:pStyle w:val="ListParagraph"/>
        <w:numPr>
          <w:ilvl w:val="0"/>
          <w:numId w:val="3"/>
        </w:numPr>
        <w:spacing w:after="80" w:line="280"/>
      </w:pPr>
      <w:r>
        <w:t xml:space="preserve">Architecture Principles applied — references to Principles from the catalogue (Section 8) that constrain this domain's architecture.</w:t>
      </w:r>
    </w:p>
    <w:p>
      <w:pPr>
        <w:pStyle w:val="ListParagraph"/>
        <w:numPr>
          <w:ilvl w:val="0"/>
          <w:numId w:val="3"/>
        </w:numPr>
        <w:spacing w:after="80" w:line="280"/>
      </w:pPr>
      <w:r>
        <w:t xml:space="preserve">Baseline architecture — the current state, captured through Catalogues, Matrices, and Diagrams (Module 9). For Business ADD: capability map, value streams, process inventories. For Application ADD: application portfolio, integrations. For Data ADD: data entities, lineage, classification. For Technology ADD: infrastructure, platforms, networks, the TIME classifications.</w:t>
      </w:r>
    </w:p>
    <w:p>
      <w:pPr>
        <w:pStyle w:val="ListParagraph"/>
        <w:numPr>
          <w:ilvl w:val="0"/>
          <w:numId w:val="3"/>
        </w:numPr>
        <w:spacing w:after="80" w:line="280"/>
      </w:pPr>
      <w:r>
        <w:t xml:space="preserve">Target architecture — the future state in the same artefact types as the baseline. Captures the architectural decisions, the new capabilities, the retirements, the additions.</w:t>
      </w:r>
    </w:p>
    <w:p>
      <w:pPr>
        <w:pStyle w:val="ListParagraph"/>
        <w:numPr>
          <w:ilvl w:val="0"/>
          <w:numId w:val="3"/>
        </w:numPr>
        <w:spacing w:after="80" w:line="280"/>
      </w:pPr>
      <w:r>
        <w:t xml:space="preserve">Architecture Building Blocks — the ABBs that the target architecture comprises (Module 9). Each ABB has its own definition: required functions, interfaces, constraints.</w:t>
      </w:r>
    </w:p>
    <w:p>
      <w:pPr>
        <w:pStyle w:val="ListParagraph"/>
        <w:numPr>
          <w:ilvl w:val="0"/>
          <w:numId w:val="3"/>
        </w:numPr>
        <w:spacing w:after="80" w:line="280"/>
      </w:pPr>
      <w:r>
        <w:t xml:space="preserve">Gap analysis — links to the Gap Analysis Table (Section 6) for this domain.</w:t>
      </w:r>
    </w:p>
    <w:p>
      <w:pPr>
        <w:pStyle w:val="ListParagraph"/>
        <w:numPr>
          <w:ilvl w:val="0"/>
          <w:numId w:val="3"/>
        </w:numPr>
        <w:spacing w:after="80" w:line="280"/>
      </w:pPr>
      <w:r>
        <w:t xml:space="preserve">Architectural Decision Records — links to the relevant ADRs (Section 9) capturing the substantive decisions.</w:t>
      </w:r>
    </w:p>
    <w:p>
      <w:pPr>
        <w:pStyle w:val="ListParagraph"/>
        <w:numPr>
          <w:ilvl w:val="0"/>
          <w:numId w:val="3"/>
        </w:numPr>
        <w:spacing w:after="80" w:line="280"/>
      </w:pPr>
      <w:r>
        <w:t xml:space="preserve">Risks and dependencies — domain-specific risks; dependencies on other domains and on external work.</w:t>
      </w:r>
    </w:p>
    <w:p>
      <w:pPr>
        <w:pStyle w:val="Heading2"/>
        <w:spacing w:after="160" w:before="280"/>
      </w:pPr>
      <w:r>
        <w:rPr>
          <w:b/>
          <w:bCs/>
          <w:color w:val="2E75B6"/>
        </w:rPr>
        <w:t xml:space="preserve">4.3 ADD per Domain — Distinguishing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7060"/>
      </w:tblGrid>
      <w:tr>
        <w:trPr>
          <w:tblHeader/>
        </w:trPr>
        <w:tc>
          <w:tcPr>
            <w:tcW w:type="dxa" w:w="1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Domain</w:t>
            </w:r>
          </w:p>
        </w:tc>
        <w:tc>
          <w:tcPr>
            <w:tcW w:type="dxa" w:w="8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Phase</w:t>
            </w:r>
          </w:p>
        </w:tc>
        <w:tc>
          <w:tcPr>
            <w:tcW w:type="dxa" w:w="70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Distinctive Content</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Business</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w:t>
            </w:r>
          </w:p>
        </w:tc>
        <w:tc>
          <w:tcPr>
            <w:tcW w:type="dxa" w:w="70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Capability map; value streams; business processes; organisational considerations; business services</w:t>
            </w:r>
          </w:p>
        </w:tc>
      </w:tr>
      <w:tr>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Data</w:t>
            </w:r>
          </w:p>
        </w:tc>
        <w:tc>
          <w:tcPr>
            <w:tcW w:type="dxa" w:w="8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C-Data</w:t>
            </w:r>
          </w:p>
        </w:tc>
        <w:tc>
          <w:tcPr>
            <w:tcW w:type="dxa" w:w="70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Information map (Module 22); data entities; lineage; classification; MDM approach</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Application</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C-App</w:t>
            </w:r>
          </w:p>
        </w:tc>
        <w:tc>
          <w:tcPr>
            <w:tcW w:type="dxa" w:w="70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Application portfolio; 6Rs disposition (Modules 6/20); integrations; APIs</w:t>
            </w:r>
          </w:p>
        </w:tc>
      </w:tr>
      <w:tr>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Technology</w:t>
            </w:r>
          </w:p>
        </w:tc>
        <w:tc>
          <w:tcPr>
            <w:tcW w:type="dxa" w:w="8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w:t>
            </w:r>
          </w:p>
        </w:tc>
        <w:tc>
          <w:tcPr>
            <w:tcW w:type="dxa" w:w="70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Infrastructure; platforms; landing zone (Module 20); TIME classifications; networks; security technology</w:t>
            </w:r>
          </w:p>
        </w:tc>
      </w:tr>
    </w:tbl>
    <w:p>
      <w:r>
        <w:br w:type="page"/>
      </w:r>
    </w:p>
    <w:p>
      <w:pPr>
        <w:pStyle w:val="Heading1"/>
        <w:spacing w:after="200" w:before="360"/>
      </w:pPr>
      <w:r>
        <w:rPr>
          <w:b/>
          <w:bCs/>
          <w:color w:val="1F4E78"/>
        </w:rPr>
        <w:t xml:space="preserve">5. Architecture Requirements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Architecture Requirements Specification (ARS): </w:t>
            </w:r>
            <w:r>
              <w:t xml:space="preserve">The artefact that captures all architecturally-significant requirements — both functional and non-functional — that the architecture must satisfy. Cross-phase: refined continuously from Phase A (initial requirements captured in the Vision) through Phase F (final requirements feeding into delivery). Connects business needs to architectural decisions; the principal artefact for traceability between business intent and architectural commitment.</w:t>
            </w:r>
          </w:p>
        </w:tc>
      </w:tr>
    </w:tbl>
    <w:p>
      <w:pPr>
        <w:pStyle w:val="Heading2"/>
        <w:spacing w:after="160" w:before="280"/>
      </w:pPr>
      <w:r>
        <w:rPr>
          <w:b/>
          <w:bCs/>
          <w:color w:val="2E75B6"/>
        </w:rPr>
        <w:t xml:space="preserve">5.1 What It Captures</w:t>
      </w:r>
    </w:p>
    <w:p>
      <w:pPr>
        <w:spacing w:after="120" w:line="300"/>
        <w:jc w:val="both"/>
      </w:pPr>
      <w:r>
        <w:t xml:space="preserve">Every architecture engagement surfaces requirements as it progresses — some captured at the very start (regulatory obligations, stakeholder priorities), others emerging in middle phases (specific integration patterns required by chosen technology), still others surfacing in late phases (operational constraints discovered during planning). The ARS is the cumulative repository of all these requirements, refined continuously rather than produced once.</w:t>
      </w:r>
    </w:p>
    <w:p>
      <w:pPr>
        <w:pStyle w:val="Heading2"/>
        <w:spacing w:after="160" w:before="280"/>
      </w:pPr>
      <w:r>
        <w:rPr>
          <w:b/>
          <w:bCs/>
          <w:color w:val="2E75B6"/>
        </w:rPr>
        <w:t xml:space="preserve">5.2 Standard Content</w:t>
      </w:r>
    </w:p>
    <w:p>
      <w:pPr>
        <w:pStyle w:val="ListParagraph"/>
        <w:numPr>
          <w:ilvl w:val="0"/>
          <w:numId w:val="3"/>
        </w:numPr>
        <w:spacing w:after="80" w:line="280"/>
      </w:pPr>
      <w:r>
        <w:t xml:space="preserve">Functional requirements — what the architecture must enable the business to do. Each linked to one or more Capabilities and to specific Business Scenario components (Module 15).</w:t>
      </w:r>
    </w:p>
    <w:p>
      <w:pPr>
        <w:pStyle w:val="ListParagraph"/>
        <w:numPr>
          <w:ilvl w:val="0"/>
          <w:numId w:val="3"/>
        </w:numPr>
        <w:spacing w:after="80" w:line="280"/>
      </w:pPr>
      <w:r>
        <w:t xml:space="preserve">Non-functional requirements — performance, availability, scalability, security, sustainability requirements. Section-organised by quality attribute.</w:t>
      </w:r>
    </w:p>
    <w:p>
      <w:pPr>
        <w:pStyle w:val="ListParagraph"/>
        <w:numPr>
          <w:ilvl w:val="0"/>
          <w:numId w:val="3"/>
        </w:numPr>
        <w:spacing w:after="80" w:line="280"/>
      </w:pPr>
      <w:r>
        <w:t xml:space="preserve">Constraints — regulatory, legal, technical, financial constraints that the architecture must respect.</w:t>
      </w:r>
    </w:p>
    <w:p>
      <w:pPr>
        <w:pStyle w:val="ListParagraph"/>
        <w:numPr>
          <w:ilvl w:val="0"/>
          <w:numId w:val="3"/>
        </w:numPr>
        <w:spacing w:after="80" w:line="280"/>
      </w:pPr>
      <w:r>
        <w:t xml:space="preserve">Assumptions — explicit assumptions on which the architecture depends, with their potential impact if violated.</w:t>
      </w:r>
    </w:p>
    <w:p>
      <w:pPr>
        <w:pStyle w:val="ListParagraph"/>
        <w:numPr>
          <w:ilvl w:val="0"/>
          <w:numId w:val="3"/>
        </w:numPr>
        <w:spacing w:after="80" w:line="280"/>
      </w:pPr>
      <w:r>
        <w:t xml:space="preserve">Dependencies — requirements imposed on the architecture by other engagements, programmes, or external parties.</w:t>
      </w:r>
    </w:p>
    <w:p>
      <w:pPr>
        <w:pStyle w:val="ListParagraph"/>
        <w:numPr>
          <w:ilvl w:val="0"/>
          <w:numId w:val="3"/>
        </w:numPr>
        <w:spacing w:after="80" w:line="280"/>
      </w:pPr>
      <w:r>
        <w:t xml:space="preserve">Traceability matrix — for each requirement, which Architecture Building Blocks satisfy it, which decisions address it, which gaps it drives. The traceability matrix is what allows the ARS to be a living document rather than a list.</w:t>
      </w:r>
    </w:p>
    <w:p>
      <w:pPr>
        <w:pStyle w:val="Heading2"/>
        <w:spacing w:after="160" w:before="280"/>
      </w:pPr>
      <w:r>
        <w:rPr>
          <w:b/>
          <w:bCs/>
          <w:color w:val="2E75B6"/>
        </w:rPr>
        <w:t xml:space="preserve">5.3 What Good Looks Like</w:t>
      </w:r>
    </w:p>
    <w:p>
      <w:pPr>
        <w:pStyle w:val="ListParagraph"/>
        <w:numPr>
          <w:ilvl w:val="0"/>
          <w:numId w:val="2"/>
        </w:numPr>
        <w:spacing w:after="80" w:line="280"/>
      </w:pPr>
      <w:r>
        <w:t xml:space="preserve">Each requirement uniquely identified (e.g., REQ-NF-001, REQ-F-042) and stable over time — IDs do not get reused.</w:t>
      </w:r>
    </w:p>
    <w:p>
      <w:pPr>
        <w:pStyle w:val="ListParagraph"/>
        <w:numPr>
          <w:ilvl w:val="0"/>
          <w:numId w:val="2"/>
        </w:numPr>
        <w:spacing w:after="80" w:line="280"/>
      </w:pPr>
      <w:r>
        <w:t xml:space="preserve">Each requirement testable — written in language that can be checked rather than aspiration that cannot.</w:t>
      </w:r>
    </w:p>
    <w:p>
      <w:pPr>
        <w:pStyle w:val="ListParagraph"/>
        <w:numPr>
          <w:ilvl w:val="0"/>
          <w:numId w:val="2"/>
        </w:numPr>
        <w:spacing w:after="80" w:line="280"/>
      </w:pPr>
      <w:r>
        <w:t xml:space="preserve">Traceability maintained — every requirement linked forward to the architectural elements addressing it; every architectural element linked back to the requirement(s) motivating it.</w:t>
      </w:r>
    </w:p>
    <w:p>
      <w:pPr>
        <w:pStyle w:val="ListParagraph"/>
        <w:numPr>
          <w:ilvl w:val="0"/>
          <w:numId w:val="2"/>
        </w:numPr>
        <w:spacing w:after="80" w:line="280"/>
      </w:pPr>
      <w:r>
        <w:t xml:space="preserve">Living document — updated continuously as new requirements surface and existing ones are refined; not a one-time artefact.</w:t>
      </w:r>
    </w:p>
    <w:p>
      <w:r>
        <w:br w:type="page"/>
      </w:r>
    </w:p>
    <w:p>
      <w:pPr>
        <w:pStyle w:val="Heading1"/>
        <w:spacing w:after="200" w:before="360"/>
      </w:pPr>
      <w:r>
        <w:rPr>
          <w:b/>
          <w:bCs/>
          <w:color w:val="1F4E78"/>
        </w:rPr>
        <w:t xml:space="preserve">6. Gap Analysis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Gap Analysis Table: </w:t>
            </w:r>
            <w:r>
              <w:t xml:space="preserve">The structured comparison of baseline architecture against target architecture, organised by Eliminate / Retain / New (Module 15). Typically one Gap Analysis per BDAT domain, produced near the end of the corresponding phase (B for Business, C for Data and Application, D for Technology). Drives the Work Package identification in Phase E.</w:t>
            </w:r>
          </w:p>
        </w:tc>
      </w:tr>
    </w:tbl>
    <w:p>
      <w:pPr>
        <w:pStyle w:val="Heading2"/>
        <w:spacing w:after="160" w:before="280"/>
      </w:pPr>
      <w:r>
        <w:rPr>
          <w:b/>
          <w:bCs/>
          <w:color w:val="2E75B6"/>
        </w:rPr>
        <w:t xml:space="preserve">6.1 What It Captures</w:t>
      </w:r>
    </w:p>
    <w:p>
      <w:pPr>
        <w:spacing w:after="120" w:line="300"/>
        <w:jc w:val="both"/>
      </w:pPr>
      <w:r>
        <w:t xml:space="preserve">Module 15 covered Gap Analysis as a technique. The Gap Analysis Table is its concrete artefact form: rows for each baseline element, columns for each target element, cells indicating Eliminate / Retain / New, plus aggregate columns and rows showing what is being added (target with no baseline counterpart) and what is being removed (baseline with no target counterpart).</w:t>
      </w:r>
    </w:p>
    <w:p>
      <w:pPr>
        <w:pStyle w:val="Heading2"/>
        <w:spacing w:after="160" w:before="280"/>
      </w:pPr>
      <w:r>
        <w:rPr>
          <w:b/>
          <w:bCs/>
          <w:color w:val="2E75B6"/>
        </w:rPr>
        <w:t xml:space="preserve">6.2 Standard Structure</w:t>
      </w:r>
    </w:p>
    <w:p>
      <w:pPr>
        <w:spacing w:after="120" w:line="300"/>
        <w:jc w:val="both"/>
      </w:pPr>
      <w:r>
        <w:t xml:space="preserve">A typical Gap Analysis Table for one domain contains:</w:t>
      </w:r>
    </w:p>
    <w:p>
      <w:pPr>
        <w:pStyle w:val="ListParagraph"/>
        <w:numPr>
          <w:ilvl w:val="0"/>
          <w:numId w:val="2"/>
        </w:numPr>
        <w:spacing w:after="80" w:line="280"/>
      </w:pPr>
      <w:r>
        <w:t xml:space="preserve">One row per baseline element.</w:t>
      </w:r>
    </w:p>
    <w:p>
      <w:pPr>
        <w:pStyle w:val="ListParagraph"/>
        <w:numPr>
          <w:ilvl w:val="0"/>
          <w:numId w:val="2"/>
        </w:numPr>
        <w:spacing w:after="80" w:line="280"/>
      </w:pPr>
      <w:r>
        <w:t xml:space="preserve">One column per target element.</w:t>
      </w:r>
    </w:p>
    <w:p>
      <w:pPr>
        <w:pStyle w:val="ListParagraph"/>
        <w:numPr>
          <w:ilvl w:val="0"/>
          <w:numId w:val="2"/>
        </w:numPr>
        <w:spacing w:after="80" w:line="280"/>
      </w:pPr>
      <w:r>
        <w:t xml:space="preserve">Cells populated with the relationship: blank if no relationship, "Retain" if the row equals the column (potentially modified), "Eliminate" indicators on rows with no corresponding target column, "New" indicators on columns with no corresponding baseline row.</w:t>
      </w:r>
    </w:p>
    <w:p>
      <w:pPr>
        <w:pStyle w:val="ListParagraph"/>
        <w:numPr>
          <w:ilvl w:val="0"/>
          <w:numId w:val="2"/>
        </w:numPr>
        <w:spacing w:after="80" w:line="280"/>
      </w:pPr>
      <w:r>
        <w:t xml:space="preserve">A summary section: total elements Retained, Eliminated, New; aggregate cost, effort, and risk implications.</w:t>
      </w:r>
    </w:p>
    <w:p>
      <w:pPr>
        <w:pStyle w:val="ListParagraph"/>
        <w:numPr>
          <w:ilvl w:val="0"/>
          <w:numId w:val="2"/>
        </w:numPr>
        <w:spacing w:after="80" w:line="280"/>
      </w:pPr>
      <w:r>
        <w:t xml:space="preserve">PPT lens annotations — for each gap, the People, Process, and Technology dimensions of the change required (Module 15).</w:t>
      </w:r>
    </w:p>
    <w:p>
      <w:pPr>
        <w:pStyle w:val="Heading2"/>
        <w:spacing w:after="160" w:before="280"/>
      </w:pPr>
      <w:r>
        <w:rPr>
          <w:b/>
          <w:bCs/>
          <w:color w:val="2E75B6"/>
        </w:rPr>
        <w:t xml:space="preserve">6.3 What Good Looks Like</w:t>
      </w:r>
    </w:p>
    <w:p>
      <w:pPr>
        <w:pStyle w:val="ListParagraph"/>
        <w:numPr>
          <w:ilvl w:val="0"/>
          <w:numId w:val="2"/>
        </w:numPr>
        <w:spacing w:after="80" w:line="280"/>
      </w:pPr>
      <w:r>
        <w:t xml:space="preserve">Comprehensive — every baseline element appears as a row, every target element as a column. Missing elements indicate analysis gaps.</w:t>
      </w:r>
    </w:p>
    <w:p>
      <w:pPr>
        <w:pStyle w:val="ListParagraph"/>
        <w:numPr>
          <w:ilvl w:val="0"/>
          <w:numId w:val="2"/>
        </w:numPr>
        <w:spacing w:after="80" w:line="280"/>
      </w:pPr>
      <w:r>
        <w:t xml:space="preserve">Specific — each Eliminate, Retain, or New is named, not aggregated. "Eliminate Sybase" not "eliminate legacy databases".</w:t>
      </w:r>
    </w:p>
    <w:p>
      <w:pPr>
        <w:pStyle w:val="ListParagraph"/>
        <w:numPr>
          <w:ilvl w:val="0"/>
          <w:numId w:val="2"/>
        </w:numPr>
        <w:spacing w:after="80" w:line="280"/>
      </w:pPr>
      <w:r>
        <w:t xml:space="preserve">PPT-aware — each gap addressed across People / Process / Technology, not Technology only.</w:t>
      </w:r>
    </w:p>
    <w:p>
      <w:pPr>
        <w:pStyle w:val="ListParagraph"/>
        <w:numPr>
          <w:ilvl w:val="0"/>
          <w:numId w:val="2"/>
        </w:numPr>
        <w:spacing w:after="80" w:line="280"/>
      </w:pPr>
      <w:r>
        <w:t xml:space="preserve">Drives downstream artefacts — Work Packages in the Roadmap (Section 10) trace directly to gaps in this table.</w:t>
      </w:r>
    </w:p>
    <w:p>
      <w:r>
        <w:br w:type="page"/>
      </w:r>
    </w:p>
    <w:p>
      <w:pPr>
        <w:pStyle w:val="Heading1"/>
        <w:spacing w:after="200" w:before="360"/>
      </w:pPr>
      <w:r>
        <w:rPr>
          <w:b/>
          <w:bCs/>
          <w:color w:val="1F4E78"/>
        </w:rPr>
        <w:t xml:space="preserve">7. Stakeholder Map /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Stakeholder Map / Matrix: </w:t>
            </w:r>
            <w:r>
              <w:t xml:space="preserve">The structured catalogue of stakeholders affected by or interested in the engagement, with their classification on the Power/Interest grid (Module 15) and their assigned engagement strategy. Produced initially in Phase A; maintained throughout the engagement as new stakeholders surface and existing ones change power or interest level.</w:t>
            </w:r>
          </w:p>
        </w:tc>
      </w:tr>
    </w:tbl>
    <w:p>
      <w:pPr>
        <w:pStyle w:val="Heading2"/>
        <w:spacing w:after="160" w:before="280"/>
      </w:pPr>
      <w:r>
        <w:rPr>
          <w:b/>
          <w:bCs/>
          <w:color w:val="2E75B6"/>
        </w:rPr>
        <w:t xml:space="preserve">7.1 What It Captures</w:t>
      </w:r>
    </w:p>
    <w:p>
      <w:pPr>
        <w:spacing w:after="120" w:line="300"/>
        <w:jc w:val="both"/>
      </w:pPr>
      <w:r>
        <w:t xml:space="preserve">Stakeholder management is one of the most consequential techniques in any architecture engagement (Module 15). The Stakeholder Map is its concrete artefact form: who matters, how much they matter, what they care about, and how the engagement engages with each.</w:t>
      </w:r>
    </w:p>
    <w:p>
      <w:pPr>
        <w:pStyle w:val="Heading2"/>
        <w:spacing w:after="160" w:before="280"/>
      </w:pPr>
      <w:r>
        <w:rPr>
          <w:b/>
          <w:bCs/>
          <w:color w:val="2E75B6"/>
        </w:rPr>
        <w:t xml:space="preserve">7.2 Standard Content per Stakeholder</w:t>
      </w:r>
    </w:p>
    <w:p>
      <w:pPr>
        <w:pStyle w:val="ListParagraph"/>
        <w:numPr>
          <w:ilvl w:val="0"/>
          <w:numId w:val="3"/>
        </w:numPr>
        <w:spacing w:after="80" w:line="280"/>
      </w:pPr>
      <w:r>
        <w:t xml:space="preserve">Name and role — the specific individual (where appropriate) or role-holder (where the role rotates).</w:t>
      </w:r>
    </w:p>
    <w:p>
      <w:pPr>
        <w:pStyle w:val="ListParagraph"/>
        <w:numPr>
          <w:ilvl w:val="0"/>
          <w:numId w:val="3"/>
        </w:numPr>
        <w:spacing w:after="80" w:line="280"/>
      </w:pPr>
      <w:r>
        <w:t xml:space="preserve">Power level — High / Medium / Low against the engagement's success.</w:t>
      </w:r>
    </w:p>
    <w:p>
      <w:pPr>
        <w:pStyle w:val="ListParagraph"/>
        <w:numPr>
          <w:ilvl w:val="0"/>
          <w:numId w:val="3"/>
        </w:numPr>
        <w:spacing w:after="80" w:line="280"/>
      </w:pPr>
      <w:r>
        <w:t xml:space="preserve">Interest level — High / Medium / Low in the engagement's outcomes.</w:t>
      </w:r>
    </w:p>
    <w:p>
      <w:pPr>
        <w:pStyle w:val="ListParagraph"/>
        <w:numPr>
          <w:ilvl w:val="0"/>
          <w:numId w:val="3"/>
        </w:numPr>
        <w:spacing w:after="80" w:line="280"/>
      </w:pPr>
      <w:r>
        <w:t xml:space="preserve">Quadrant — derived from Power × Interest: Manage Closely / Keep Satisfied / Keep Informed / Monitor.</w:t>
      </w:r>
    </w:p>
    <w:p>
      <w:pPr>
        <w:pStyle w:val="ListParagraph"/>
        <w:numPr>
          <w:ilvl w:val="0"/>
          <w:numId w:val="3"/>
        </w:numPr>
        <w:spacing w:after="80" w:line="280"/>
      </w:pPr>
      <w:r>
        <w:t xml:space="preserve">Concerns — what the stakeholder cares about; what they are afraid of; what they want.</w:t>
      </w:r>
    </w:p>
    <w:p>
      <w:pPr>
        <w:pStyle w:val="ListParagraph"/>
        <w:numPr>
          <w:ilvl w:val="0"/>
          <w:numId w:val="3"/>
        </w:numPr>
        <w:spacing w:after="80" w:line="280"/>
      </w:pPr>
      <w:r>
        <w:t xml:space="preserve">Engagement strategy — how the engagement will engage with this stakeholder (frequency, format, depth, named owner of the relationship).</w:t>
      </w:r>
    </w:p>
    <w:p>
      <w:pPr>
        <w:pStyle w:val="ListParagraph"/>
        <w:numPr>
          <w:ilvl w:val="0"/>
          <w:numId w:val="3"/>
        </w:numPr>
        <w:spacing w:after="80" w:line="280"/>
      </w:pPr>
      <w:r>
        <w:t xml:space="preserve">Status — the current state of the relationship: supportive, neutral, opposed; trend over time.</w:t>
      </w:r>
    </w:p>
    <w:p>
      <w:pPr>
        <w:pStyle w:val="Heading2"/>
        <w:spacing w:after="160" w:before="280"/>
      </w:pPr>
      <w:r>
        <w:rPr>
          <w:b/>
          <w:bCs/>
          <w:color w:val="2E75B6"/>
        </w:rPr>
        <w:t xml:space="preserve">7.3 What Good Looks Like</w:t>
      </w:r>
    </w:p>
    <w:p>
      <w:pPr>
        <w:pStyle w:val="ListParagraph"/>
        <w:numPr>
          <w:ilvl w:val="0"/>
          <w:numId w:val="2"/>
        </w:numPr>
        <w:spacing w:after="80" w:line="280"/>
      </w:pPr>
      <w:r>
        <w:t xml:space="preserve">Comprehensive — covers all four quadrants, not just "Manage Closely". Stakeholders in "Keep Satisfied" and "Keep Informed" are explicit, not implicit.</w:t>
      </w:r>
    </w:p>
    <w:p>
      <w:pPr>
        <w:pStyle w:val="ListParagraph"/>
        <w:numPr>
          <w:ilvl w:val="0"/>
          <w:numId w:val="2"/>
        </w:numPr>
        <w:spacing w:after="80" w:line="280"/>
      </w:pPr>
      <w:r>
        <w:t xml:space="preserve">Maintained — refreshed at major engagement milestones; new stakeholders added when they emerge; existing stakeholders' status updated as the relationship evolves.</w:t>
      </w:r>
    </w:p>
    <w:p>
      <w:pPr>
        <w:pStyle w:val="ListParagraph"/>
        <w:numPr>
          <w:ilvl w:val="0"/>
          <w:numId w:val="2"/>
        </w:numPr>
        <w:spacing w:after="80" w:line="280"/>
      </w:pPr>
      <w:r>
        <w:t xml:space="preserve">Actionable — engagement strategy is specific ("monthly 1:1 with the Sponsor", "quarterly briefing pack to the Audit Committee", "continuous PR review participation").</w:t>
      </w:r>
    </w:p>
    <w:p>
      <w:pPr>
        <w:pStyle w:val="ListParagraph"/>
        <w:numPr>
          <w:ilvl w:val="0"/>
          <w:numId w:val="2"/>
        </w:numPr>
        <w:spacing w:after="80" w:line="280"/>
      </w:pPr>
      <w:r>
        <w:t xml:space="preserve">Owned — each stakeholder relationship has a named owner from the engagement team.</w:t>
      </w:r>
    </w:p>
    <w:p>
      <w:r>
        <w:br w:type="page"/>
      </w:r>
    </w:p>
    <w:p>
      <w:pPr>
        <w:pStyle w:val="Heading1"/>
        <w:spacing w:after="200" w:before="360"/>
      </w:pPr>
      <w:r>
        <w:rPr>
          <w:b/>
          <w:bCs/>
          <w:color w:val="1F4E78"/>
        </w:rPr>
        <w:t xml:space="preserve">8. Architecture Principles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Architecture Principles Catalogue: </w:t>
            </w:r>
            <w:r>
              <w:t xml:space="preserve">The collected catalogue of the enterprise's Architecture Principles, each in the standard four-part format (Name, Statement, Rationale, Implications) covered in Module 15. Established in the Preliminary Phase; maintained as a stable, slowly-evolving artefact through Phase H. Typically organised into the four BDAT categories. Referenced by every engagement's Architecture Definition Document.</w:t>
            </w:r>
          </w:p>
        </w:tc>
      </w:tr>
    </w:tbl>
    <w:p>
      <w:pPr>
        <w:pStyle w:val="Heading2"/>
        <w:spacing w:after="160" w:before="280"/>
      </w:pPr>
      <w:r>
        <w:rPr>
          <w:b/>
          <w:bCs/>
          <w:color w:val="2E75B6"/>
        </w:rPr>
        <w:t xml:space="preserve">8.1 What It Captures</w:t>
      </w:r>
    </w:p>
    <w:p>
      <w:pPr>
        <w:spacing w:after="120" w:line="300"/>
        <w:jc w:val="both"/>
      </w:pPr>
      <w:r>
        <w:t xml:space="preserve">Architecture Principles (Module 15) are the durable rules that constrain architectural decisions across every engagement. The Principles Catalogue is the artefact that captures them in one place, version-controlled, signed off, and discoverable. Without a catalogue, principles exist only in scattered documents and conversations; with one, they become the enterprise-wide reference that engagements consume.</w:t>
      </w:r>
    </w:p>
    <w:p>
      <w:pPr>
        <w:pStyle w:val="Heading2"/>
        <w:spacing w:after="160" w:before="280"/>
      </w:pPr>
      <w:r>
        <w:rPr>
          <w:b/>
          <w:bCs/>
          <w:color w:val="2E75B6"/>
        </w:rPr>
        <w:t xml:space="preserve">8.2 Standard Structure</w:t>
      </w:r>
    </w:p>
    <w:p>
      <w:pPr>
        <w:spacing w:after="120" w:line="300"/>
        <w:jc w:val="both"/>
      </w:pPr>
      <w:r>
        <w:t xml:space="preserve">Typical organisation:</w:t>
      </w:r>
    </w:p>
    <w:p>
      <w:pPr>
        <w:pStyle w:val="ListParagraph"/>
        <w:numPr>
          <w:ilvl w:val="0"/>
          <w:numId w:val="3"/>
        </w:numPr>
        <w:spacing w:after="80" w:line="280"/>
      </w:pPr>
      <w:r>
        <w:t xml:space="preserve">Introduction — purpose of the catalogue, governance, version history.</w:t>
      </w:r>
    </w:p>
    <w:p>
      <w:pPr>
        <w:pStyle w:val="ListParagraph"/>
        <w:numPr>
          <w:ilvl w:val="0"/>
          <w:numId w:val="3"/>
        </w:numPr>
        <w:spacing w:after="80" w:line="280"/>
      </w:pPr>
      <w:r>
        <w:t xml:space="preserve">Business Principles — section per principle in standard four-part format.</w:t>
      </w:r>
    </w:p>
    <w:p>
      <w:pPr>
        <w:pStyle w:val="ListParagraph"/>
        <w:numPr>
          <w:ilvl w:val="0"/>
          <w:numId w:val="3"/>
        </w:numPr>
        <w:spacing w:after="80" w:line="280"/>
      </w:pPr>
      <w:r>
        <w:t xml:space="preserve">Data Principles — section per principle in standard four-part format.</w:t>
      </w:r>
    </w:p>
    <w:p>
      <w:pPr>
        <w:pStyle w:val="ListParagraph"/>
        <w:numPr>
          <w:ilvl w:val="0"/>
          <w:numId w:val="3"/>
        </w:numPr>
        <w:spacing w:after="80" w:line="280"/>
      </w:pPr>
      <w:r>
        <w:t xml:space="preserve">Application Principles — section per principle in standard four-part format.</w:t>
      </w:r>
    </w:p>
    <w:p>
      <w:pPr>
        <w:pStyle w:val="ListParagraph"/>
        <w:numPr>
          <w:ilvl w:val="0"/>
          <w:numId w:val="3"/>
        </w:numPr>
        <w:spacing w:after="80" w:line="280"/>
      </w:pPr>
      <w:r>
        <w:t xml:space="preserve">Technology Principles — section per principle in standard four-part format.</w:t>
      </w:r>
    </w:p>
    <w:p>
      <w:pPr>
        <w:pStyle w:val="ListParagraph"/>
        <w:numPr>
          <w:ilvl w:val="0"/>
          <w:numId w:val="3"/>
        </w:numPr>
        <w:spacing w:after="80" w:line="280"/>
      </w:pPr>
      <w:r>
        <w:t xml:space="preserve">Cross-cutting Principles — security, sustainability, AI ethics principles that span domains.</w:t>
      </w:r>
    </w:p>
    <w:p>
      <w:pPr>
        <w:pStyle w:val="ListParagraph"/>
        <w:numPr>
          <w:ilvl w:val="0"/>
          <w:numId w:val="3"/>
        </w:numPr>
        <w:spacing w:after="80" w:line="280"/>
      </w:pPr>
      <w:r>
        <w:t xml:space="preserve">Glossary — definitions of the terms used in the principles.</w:t>
      </w:r>
    </w:p>
    <w:p>
      <w:pPr>
        <w:pStyle w:val="Heading2"/>
        <w:spacing w:after="160" w:before="280"/>
      </w:pPr>
      <w:r>
        <w:rPr>
          <w:b/>
          <w:bCs/>
          <w:color w:val="2E75B6"/>
        </w:rPr>
        <w:t xml:space="preserve">8.3 What Good Looks Like</w:t>
      </w:r>
    </w:p>
    <w:p>
      <w:pPr>
        <w:pStyle w:val="ListParagraph"/>
        <w:numPr>
          <w:ilvl w:val="0"/>
          <w:numId w:val="2"/>
        </w:numPr>
        <w:spacing w:after="80" w:line="280"/>
      </w:pPr>
      <w:r>
        <w:t xml:space="preserve">Each principle in standard four-part format with all four parts populated.</w:t>
      </w:r>
    </w:p>
    <w:p>
      <w:pPr>
        <w:pStyle w:val="ListParagraph"/>
        <w:numPr>
          <w:ilvl w:val="0"/>
          <w:numId w:val="2"/>
        </w:numPr>
        <w:spacing w:after="80" w:line="280"/>
      </w:pPr>
      <w:r>
        <w:t xml:space="preserve">Each principle passes the five quality criteria from Module 15 (Understandable, Robust, Complete, Consistent, Stable).</w:t>
      </w:r>
    </w:p>
    <w:p>
      <w:pPr>
        <w:pStyle w:val="ListParagraph"/>
        <w:numPr>
          <w:ilvl w:val="0"/>
          <w:numId w:val="2"/>
        </w:numPr>
        <w:spacing w:after="80" w:line="280"/>
      </w:pPr>
      <w:r>
        <w:t xml:space="preserve">Principles are stable — major revision is rare (typically every 3-5 years).</w:t>
      </w:r>
    </w:p>
    <w:p>
      <w:pPr>
        <w:pStyle w:val="ListParagraph"/>
        <w:numPr>
          <w:ilvl w:val="0"/>
          <w:numId w:val="2"/>
        </w:numPr>
        <w:spacing w:after="80" w:line="280"/>
      </w:pPr>
      <w:r>
        <w:t xml:space="preserve">Catalogue is discoverable — referenced from every engagement's outputs; version-controlled; available to all architects.</w:t>
      </w:r>
    </w:p>
    <w:p>
      <w:pPr>
        <w:pStyle w:val="ListParagraph"/>
        <w:numPr>
          <w:ilvl w:val="0"/>
          <w:numId w:val="2"/>
        </w:numPr>
        <w:spacing w:after="80" w:line="280"/>
      </w:pPr>
      <w:r>
        <w:t xml:space="preserve">Principles are operationally cited — Compliance Reviews reference them by name; ADRs cite them as rationale for decisions.</w:t>
      </w:r>
    </w:p>
    <w:p>
      <w:r>
        <w:br w:type="page"/>
      </w:r>
    </w:p>
    <w:p>
      <w:pPr>
        <w:pStyle w:val="Heading1"/>
        <w:spacing w:after="200" w:before="360"/>
      </w:pPr>
      <w:r>
        <w:rPr>
          <w:b/>
          <w:bCs/>
          <w:color w:val="1F4E78"/>
        </w:rPr>
        <w:t xml:space="preserve">9. Architecture Decision Record (ADR)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Architecture Decision Record (ADR): </w:t>
            </w:r>
            <w:r>
              <w:t xml:space="preserve">A short document capturing one architectural decision: context, decision, consequences. Originally articulated by Michael Nygard (2011); covered in Modules 12 and 21. Stored in version control alongside code; produced one per significant decision; archived not deleted (superseded ADRs remain in the record). The principal artefact for capturing architectural rationale at the decision granularity.</w:t>
            </w:r>
          </w:p>
        </w:tc>
      </w:tr>
    </w:tbl>
    <w:p>
      <w:pPr>
        <w:pStyle w:val="Heading2"/>
        <w:spacing w:after="160" w:before="280"/>
      </w:pPr>
      <w:r>
        <w:rPr>
          <w:b/>
          <w:bCs/>
          <w:color w:val="2E75B6"/>
        </w:rPr>
        <w:t xml:space="preserve">9.1 What It Captures</w:t>
      </w:r>
    </w:p>
    <w:p>
      <w:pPr>
        <w:spacing w:after="120" w:line="300"/>
        <w:jc w:val="both"/>
      </w:pPr>
      <w:r>
        <w:t xml:space="preserve">Where the Architecture Definition Document captures the architecture as a whole, ADRs capture the individual decisions that shaped it. Each ADR addresses one decision — "why did we choose PostgreSQL over Oracle?" — with enough context to be understood years later by engineers and architects who weren't present for the original decision.</w:t>
      </w:r>
    </w:p>
    <w:p>
      <w:pPr>
        <w:pStyle w:val="Heading2"/>
        <w:spacing w:after="160" w:before="280"/>
      </w:pPr>
      <w:r>
        <w:rPr>
          <w:b/>
          <w:bCs/>
          <w:color w:val="2E75B6"/>
        </w:rPr>
        <w:t xml:space="preserve">9.2 Standard ADR Structure</w:t>
      </w:r>
    </w:p>
    <w:p>
      <w:pPr>
        <w:spacing w:after="120" w:line="300"/>
        <w:jc w:val="both"/>
      </w:pPr>
      <w:r>
        <w:t xml:space="preserve">The widely-adopted MADR (Markdown Architectural Decision Records) template provides:</w:t>
      </w:r>
    </w:p>
    <w:p>
      <w:pPr>
        <w:pStyle w:val="ListParagraph"/>
        <w:numPr>
          <w:ilvl w:val="0"/>
          <w:numId w:val="3"/>
        </w:numPr>
        <w:spacing w:after="80" w:line="280"/>
      </w:pPr>
      <w:r>
        <w:t xml:space="preserve">Title — "ADR-NNNN: [Decision title]"</w:t>
      </w:r>
    </w:p>
    <w:p>
      <w:pPr>
        <w:pStyle w:val="ListParagraph"/>
        <w:numPr>
          <w:ilvl w:val="0"/>
          <w:numId w:val="3"/>
        </w:numPr>
        <w:spacing w:after="80" w:line="280"/>
      </w:pPr>
      <w:r>
        <w:t xml:space="preserve">Status — Proposed / Accepted / Deprecated / Superseded by ADR-NNNN</w:t>
      </w:r>
    </w:p>
    <w:p>
      <w:pPr>
        <w:pStyle w:val="ListParagraph"/>
        <w:numPr>
          <w:ilvl w:val="0"/>
          <w:numId w:val="3"/>
        </w:numPr>
        <w:spacing w:after="80" w:line="280"/>
      </w:pPr>
      <w:r>
        <w:t xml:space="preserve">Context — the problem; the constraints; the considered factors that motivated the decision.</w:t>
      </w:r>
    </w:p>
    <w:p>
      <w:pPr>
        <w:pStyle w:val="ListParagraph"/>
        <w:numPr>
          <w:ilvl w:val="0"/>
          <w:numId w:val="3"/>
        </w:numPr>
        <w:spacing w:after="80" w:line="280"/>
      </w:pPr>
      <w:r>
        <w:t xml:space="preserve">Decision Drivers — the principles, requirements, or other inputs that drove the choice.</w:t>
      </w:r>
    </w:p>
    <w:p>
      <w:pPr>
        <w:pStyle w:val="ListParagraph"/>
        <w:numPr>
          <w:ilvl w:val="0"/>
          <w:numId w:val="3"/>
        </w:numPr>
        <w:spacing w:after="80" w:line="280"/>
      </w:pPr>
      <w:r>
        <w:t xml:space="preserve">Considered Options — the options evaluated, including the chosen one.</w:t>
      </w:r>
    </w:p>
    <w:p>
      <w:pPr>
        <w:pStyle w:val="ListParagraph"/>
        <w:numPr>
          <w:ilvl w:val="0"/>
          <w:numId w:val="3"/>
        </w:numPr>
        <w:spacing w:after="80" w:line="280"/>
      </w:pPr>
      <w:r>
        <w:t xml:space="preserve">Decision Outcome — the chosen option and a brief justification.</w:t>
      </w:r>
    </w:p>
    <w:p>
      <w:pPr>
        <w:pStyle w:val="ListParagraph"/>
        <w:numPr>
          <w:ilvl w:val="0"/>
          <w:numId w:val="3"/>
        </w:numPr>
        <w:spacing w:after="80" w:line="280"/>
      </w:pPr>
      <w:r>
        <w:t xml:space="preserve">Consequences — positive and negative consequences of the decision; what becomes possible, what becomes harder.</w:t>
      </w:r>
    </w:p>
    <w:p>
      <w:pPr>
        <w:pStyle w:val="ListParagraph"/>
        <w:numPr>
          <w:ilvl w:val="0"/>
          <w:numId w:val="3"/>
        </w:numPr>
        <w:spacing w:after="80" w:line="280"/>
      </w:pPr>
      <w:r>
        <w:t xml:space="preserve">Pros and Cons of the Options — for each considered option, the principal pros and cons.</w:t>
      </w:r>
    </w:p>
    <w:p>
      <w:pPr>
        <w:pStyle w:val="Heading2"/>
        <w:spacing w:after="160" w:before="280"/>
      </w:pPr>
      <w:r>
        <w:rPr>
          <w:b/>
          <w:bCs/>
          <w:color w:val="2E75B6"/>
        </w:rPr>
        <w:t xml:space="preserve">9.3 What Good Looks Like</w:t>
      </w:r>
    </w:p>
    <w:p>
      <w:pPr>
        <w:pStyle w:val="ListParagraph"/>
        <w:numPr>
          <w:ilvl w:val="0"/>
          <w:numId w:val="2"/>
        </w:numPr>
        <w:spacing w:after="80" w:line="280"/>
      </w:pPr>
      <w:r>
        <w:t xml:space="preserve">Short — typically 1-2 pages. ADRs longer than 5 pages are usually trying to be Architecture Definition Documents and should be split.</w:t>
      </w:r>
    </w:p>
    <w:p>
      <w:pPr>
        <w:pStyle w:val="ListParagraph"/>
        <w:numPr>
          <w:ilvl w:val="0"/>
          <w:numId w:val="2"/>
        </w:numPr>
        <w:spacing w:after="80" w:line="280"/>
      </w:pPr>
      <w:r>
        <w:t xml:space="preserve">One decision per ADR — "Adopt PostgreSQL as strategic relational database" is one decision; "Adopt PostgreSQL and migrate from Oracle and adopt RDS as managed service" is three decisions and should be three ADRs.</w:t>
      </w:r>
    </w:p>
    <w:p>
      <w:pPr>
        <w:pStyle w:val="ListParagraph"/>
        <w:numPr>
          <w:ilvl w:val="0"/>
          <w:numId w:val="2"/>
        </w:numPr>
        <w:spacing w:after="80" w:line="280"/>
      </w:pPr>
      <w:r>
        <w:t xml:space="preserve">Self-contained — readable years later by someone who wasn't there; assumes only general architecture context.</w:t>
      </w:r>
    </w:p>
    <w:p>
      <w:pPr>
        <w:pStyle w:val="ListParagraph"/>
        <w:numPr>
          <w:ilvl w:val="0"/>
          <w:numId w:val="2"/>
        </w:numPr>
        <w:spacing w:after="80" w:line="280"/>
      </w:pPr>
      <w:r>
        <w:t xml:space="preserve">Honest about consequences — names both positive and negative consequences; does not pretend the decision is purely beneficial.</w:t>
      </w:r>
    </w:p>
    <w:p>
      <w:pPr>
        <w:pStyle w:val="ListParagraph"/>
        <w:numPr>
          <w:ilvl w:val="0"/>
          <w:numId w:val="2"/>
        </w:numPr>
        <w:spacing w:after="80" w:line="280"/>
      </w:pPr>
      <w:r>
        <w:t xml:space="preserve">Archived not deleted — superseded ADRs remain in the record marked "Superseded by ADR-NNNN" with a link forward.</w:t>
      </w:r>
    </w:p>
    <w:p>
      <w:r>
        <w:br w:type="page"/>
      </w:r>
    </w:p>
    <w:p>
      <w:pPr>
        <w:pStyle w:val="Heading1"/>
        <w:spacing w:after="200" w:before="360"/>
      </w:pPr>
      <w:r>
        <w:rPr>
          <w:b/>
          <w:bCs/>
          <w:color w:val="1F4E78"/>
        </w:rPr>
        <w:t xml:space="preserve">10. Architecture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Architecture Roadmap: </w:t>
            </w:r>
            <w:r>
              <w:t xml:space="preserve">The Phase E output (Module 7) showing the sequence of Transition Architectures, Capability Increments, and Work Packages that will move the enterprise from baseline to target. Distinct from the Migration Plan: the Roadmap shows architecture and capability uplift; the Migration Plan shows project-level delivery. Stable through Phase F; reference for Phase G implementation.</w:t>
            </w:r>
          </w:p>
        </w:tc>
      </w:tr>
    </w:tbl>
    <w:p>
      <w:pPr>
        <w:pStyle w:val="Heading2"/>
        <w:spacing w:after="160" w:before="280"/>
      </w:pPr>
      <w:r>
        <w:rPr>
          <w:b/>
          <w:bCs/>
          <w:color w:val="2E75B6"/>
        </w:rPr>
        <w:t xml:space="preserve">10.1 What It Captures</w:t>
      </w:r>
    </w:p>
    <w:p>
      <w:pPr>
        <w:spacing w:after="120" w:line="300"/>
        <w:jc w:val="both"/>
      </w:pPr>
      <w:r>
        <w:t xml:space="preserve">Module 7 covered the Roadmap as a Phase E concept. As an artefact, the Roadmap is the enterprise's structured view of what architecture will be delivered, in what order, with what intermediate states, over what time horizon. It is consumed by executives (who want to know what is being committed to), by delivery programmes (who deliver against it), and by the architecture function itself (who track progress against it).</w:t>
      </w:r>
    </w:p>
    <w:p>
      <w:pPr>
        <w:pStyle w:val="Heading2"/>
        <w:spacing w:after="160" w:before="280"/>
      </w:pPr>
      <w:r>
        <w:rPr>
          <w:b/>
          <w:bCs/>
          <w:color w:val="2E75B6"/>
        </w:rPr>
        <w:t xml:space="preserve">10.2 Standard Roadmap Content</w:t>
      </w:r>
    </w:p>
    <w:p>
      <w:pPr>
        <w:pStyle w:val="ListParagraph"/>
        <w:numPr>
          <w:ilvl w:val="0"/>
          <w:numId w:val="3"/>
        </w:numPr>
        <w:spacing w:after="80" w:line="280"/>
      </w:pPr>
      <w:r>
        <w:t xml:space="preserve">Baseline architecture summary — where we start.</w:t>
      </w:r>
    </w:p>
    <w:p>
      <w:pPr>
        <w:pStyle w:val="ListParagraph"/>
        <w:numPr>
          <w:ilvl w:val="0"/>
          <w:numId w:val="3"/>
        </w:numPr>
        <w:spacing w:after="80" w:line="280"/>
      </w:pPr>
      <w:r>
        <w:t xml:space="preserve">Target architecture summary — where we end.</w:t>
      </w:r>
    </w:p>
    <w:p>
      <w:pPr>
        <w:pStyle w:val="ListParagraph"/>
        <w:numPr>
          <w:ilvl w:val="0"/>
          <w:numId w:val="3"/>
        </w:numPr>
        <w:spacing w:after="80" w:line="280"/>
      </w:pPr>
      <w:r>
        <w:t xml:space="preserve">Transition Architectures — the named intermediate states (TA1, TA2, TA3, etc.) that decompose the baseline-to-target journey into achievable steps.</w:t>
      </w:r>
    </w:p>
    <w:p>
      <w:pPr>
        <w:pStyle w:val="ListParagraph"/>
        <w:numPr>
          <w:ilvl w:val="0"/>
          <w:numId w:val="3"/>
        </w:numPr>
        <w:spacing w:after="80" w:line="280"/>
      </w:pPr>
      <w:r>
        <w:t xml:space="preserve">Capability Increments — the discrete, measurable, time-boxed capability uplifts delivered by each Transition Architecture (Module 7 / Module 18).</w:t>
      </w:r>
    </w:p>
    <w:p>
      <w:pPr>
        <w:pStyle w:val="ListParagraph"/>
        <w:numPr>
          <w:ilvl w:val="0"/>
          <w:numId w:val="3"/>
        </w:numPr>
        <w:spacing w:after="80" w:line="280"/>
      </w:pPr>
      <w:r>
        <w:t xml:space="preserve">Work Packages — the units of delivery work that produce each Transition Architecture. Each Work Package has scope, expected duration, dependencies, and expected outcomes.</w:t>
      </w:r>
    </w:p>
    <w:p>
      <w:pPr>
        <w:pStyle w:val="ListParagraph"/>
        <w:numPr>
          <w:ilvl w:val="0"/>
          <w:numId w:val="3"/>
        </w:numPr>
        <w:spacing w:after="80" w:line="280"/>
      </w:pPr>
      <w:r>
        <w:t xml:space="preserve">Sequencing — which Work Packages must precede which others; what runs in parallel.</w:t>
      </w:r>
    </w:p>
    <w:p>
      <w:pPr>
        <w:pStyle w:val="ListParagraph"/>
        <w:numPr>
          <w:ilvl w:val="0"/>
          <w:numId w:val="3"/>
        </w:numPr>
        <w:spacing w:after="80" w:line="280"/>
      </w:pPr>
      <w:r>
        <w:t xml:space="preserve">Major milestones — review points, decision gates, capability go-live dates.</w:t>
      </w:r>
    </w:p>
    <w:p>
      <w:pPr>
        <w:pStyle w:val="ListParagraph"/>
        <w:numPr>
          <w:ilvl w:val="0"/>
          <w:numId w:val="3"/>
        </w:numPr>
        <w:spacing w:after="80" w:line="280"/>
      </w:pPr>
      <w:r>
        <w:t xml:space="preserve">Funding and resource envelope — high-level resource and budget allocation per phase of the roadmap.</w:t>
      </w:r>
    </w:p>
    <w:p>
      <w:pPr>
        <w:pStyle w:val="Heading2"/>
        <w:spacing w:after="160" w:before="280"/>
      </w:pPr>
      <w:r>
        <w:rPr>
          <w:b/>
          <w:bCs/>
          <w:color w:val="2E75B6"/>
        </w:rPr>
        <w:t xml:space="preserve">10.3 Roadmap Visual Forms</w:t>
      </w:r>
    </w:p>
    <w:p>
      <w:pPr>
        <w:spacing w:after="120" w:line="300"/>
        <w:jc w:val="both"/>
      </w:pPr>
      <w:r>
        <w:t xml:space="preserve">The Roadmap is typically rendered visually rather than as pure prose. Common visual forms:</w:t>
      </w:r>
    </w:p>
    <w:p>
      <w:pPr>
        <w:pStyle w:val="ListParagraph"/>
        <w:numPr>
          <w:ilvl w:val="0"/>
          <w:numId w:val="2"/>
        </w:numPr>
        <w:spacing w:after="80" w:line="280"/>
      </w:pPr>
      <w:r>
        <w:t xml:space="preserve">Swimlane diagram — capabilities or domains as rows; time as columns; Work Packages as boxes positioned by start and duration.</w:t>
      </w:r>
    </w:p>
    <w:p>
      <w:pPr>
        <w:pStyle w:val="ListParagraph"/>
        <w:numPr>
          <w:ilvl w:val="0"/>
          <w:numId w:val="2"/>
        </w:numPr>
        <w:spacing w:after="80" w:line="280"/>
      </w:pPr>
      <w:r>
        <w:t xml:space="preserve">Capability Increment timeline — each capability shown with its current maturity, target maturity, and the Increments delivering the uplift over time.</w:t>
      </w:r>
    </w:p>
    <w:p>
      <w:pPr>
        <w:pStyle w:val="ListParagraph"/>
        <w:numPr>
          <w:ilvl w:val="0"/>
          <w:numId w:val="2"/>
        </w:numPr>
        <w:spacing w:after="80" w:line="280"/>
      </w:pPr>
      <w:r>
        <w:t xml:space="preserve">ArchiMate Migration Viewpoint — Plateaus, Gaps, Work Packages, Implementation Events as a structured graph (Module 17).</w:t>
      </w:r>
    </w:p>
    <w:p>
      <w:pPr>
        <w:pStyle w:val="Heading2"/>
        <w:spacing w:after="160" w:before="280"/>
      </w:pPr>
      <w:r>
        <w:rPr>
          <w:b/>
          <w:bCs/>
          <w:color w:val="2E75B6"/>
        </w:rPr>
        <w:t xml:space="preserve">10.4 What Good Looks Like</w:t>
      </w:r>
    </w:p>
    <w:p>
      <w:pPr>
        <w:pStyle w:val="ListParagraph"/>
        <w:numPr>
          <w:ilvl w:val="0"/>
          <w:numId w:val="2"/>
        </w:numPr>
        <w:spacing w:after="80" w:line="280"/>
      </w:pPr>
      <w:r>
        <w:t xml:space="preserve">Realistic timelines — most roadmaps are over-optimistic; padding for uncertainty is essential.</w:t>
      </w:r>
    </w:p>
    <w:p>
      <w:pPr>
        <w:pStyle w:val="ListParagraph"/>
        <w:numPr>
          <w:ilvl w:val="0"/>
          <w:numId w:val="2"/>
        </w:numPr>
        <w:spacing w:after="80" w:line="280"/>
      </w:pPr>
      <w:r>
        <w:t xml:space="preserve">Explicit dependencies — what must be done before what; which dependencies are firm versus negotiable.</w:t>
      </w:r>
    </w:p>
    <w:p>
      <w:pPr>
        <w:pStyle w:val="ListParagraph"/>
        <w:numPr>
          <w:ilvl w:val="0"/>
          <w:numId w:val="2"/>
        </w:numPr>
        <w:spacing w:after="80" w:line="280"/>
      </w:pPr>
      <w:r>
        <w:t xml:space="preserve">Capability-centric — frames work in business capability terms, not technology project terms.</w:t>
      </w:r>
    </w:p>
    <w:p>
      <w:pPr>
        <w:pStyle w:val="ListParagraph"/>
        <w:numPr>
          <w:ilvl w:val="0"/>
          <w:numId w:val="2"/>
        </w:numPr>
        <w:spacing w:after="80" w:line="280"/>
      </w:pPr>
      <w:r>
        <w:t xml:space="preserve">Aligned with funding — each Roadmap entry maps to a funded engagement or programme; gaps in funding are visible.</w:t>
      </w:r>
    </w:p>
    <w:p>
      <w:pPr>
        <w:pStyle w:val="ListParagraph"/>
        <w:numPr>
          <w:ilvl w:val="0"/>
          <w:numId w:val="2"/>
        </w:numPr>
        <w:spacing w:after="80" w:line="280"/>
      </w:pPr>
      <w:r>
        <w:t xml:space="preserve">Reviewed at each PI / quarter — the Roadmap is a living artefact, not a once-and-done plan.</w:t>
      </w:r>
    </w:p>
    <w:p>
      <w:r>
        <w:br w:type="page"/>
      </w:r>
    </w:p>
    <w:p>
      <w:pPr>
        <w:pStyle w:val="Heading1"/>
        <w:spacing w:after="200" w:before="360"/>
      </w:pPr>
      <w:r>
        <w:rPr>
          <w:b/>
          <w:bCs/>
          <w:color w:val="1F4E78"/>
        </w:rPr>
        <w:t xml:space="preserve">11. Capability Heat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Capability Heat Map: </w:t>
            </w:r>
            <w:r>
              <w:t xml:space="preserve">A visual overlay on the enterprise Capability Map (Module 15) scoring each capability on Strategic Importance × Performance/Maturity (or other strategic dimensions). Cells are colour-coded (typically red / amber / green) to surface investment priorities at a glance. Maintained at strategic / portfolio level; refreshed annually or as strategy evolves; consumed by executive committees for capability-based investment decisions.</w:t>
            </w:r>
          </w:p>
        </w:tc>
      </w:tr>
    </w:tbl>
    <w:p>
      <w:pPr>
        <w:pStyle w:val="Heading2"/>
        <w:spacing w:after="160" w:before="280"/>
      </w:pPr>
      <w:r>
        <w:rPr>
          <w:b/>
          <w:bCs/>
          <w:color w:val="2E75B6"/>
        </w:rPr>
        <w:t xml:space="preserve">11.1 What It Captures</w:t>
      </w:r>
    </w:p>
    <w:p>
      <w:pPr>
        <w:spacing w:after="120" w:line="300"/>
        <w:jc w:val="both"/>
      </w:pPr>
      <w:r>
        <w:t xml:space="preserve">The Heat Map (Module 15) is the principal visual artefact for capability-based planning. It overlays scoring information on the Capability Map so that executives can see, at a glance, where the enterprise's strategic capabilities are weak and require investment, where they are strong and need protecting, and where investment is misaligned (heavy investment in low-importance areas, or under-investment in high-importance ones).</w:t>
      </w:r>
    </w:p>
    <w:p>
      <w:pPr>
        <w:pStyle w:val="Heading2"/>
        <w:spacing w:after="160" w:before="280"/>
      </w:pPr>
      <w:r>
        <w:rPr>
          <w:b/>
          <w:bCs/>
          <w:color w:val="2E75B6"/>
        </w:rPr>
        <w:t xml:space="preserve">11.2 Standard Heat Map Content</w:t>
      </w:r>
    </w:p>
    <w:p>
      <w:pPr>
        <w:pStyle w:val="ListParagraph"/>
        <w:numPr>
          <w:ilvl w:val="0"/>
          <w:numId w:val="3"/>
        </w:numPr>
        <w:spacing w:after="80" w:line="280"/>
      </w:pPr>
      <w:r>
        <w:t xml:space="preserve">The Capability Map structure — typically the Level 1 and Level 2 capabilities (Module 18) shown as a grid or hierarchy.</w:t>
      </w:r>
    </w:p>
    <w:p>
      <w:pPr>
        <w:pStyle w:val="ListParagraph"/>
        <w:numPr>
          <w:ilvl w:val="0"/>
          <w:numId w:val="3"/>
        </w:numPr>
        <w:spacing w:after="80" w:line="280"/>
      </w:pPr>
      <w:r>
        <w:t xml:space="preserve">Per-capability Strategic Importance score (typically 1-5).</w:t>
      </w:r>
    </w:p>
    <w:p>
      <w:pPr>
        <w:pStyle w:val="ListParagraph"/>
        <w:numPr>
          <w:ilvl w:val="0"/>
          <w:numId w:val="3"/>
        </w:numPr>
        <w:spacing w:after="80" w:line="280"/>
      </w:pPr>
      <w:r>
        <w:t xml:space="preserve">Per-capability Performance or Maturity score (typically 1-5).</w:t>
      </w:r>
    </w:p>
    <w:p>
      <w:pPr>
        <w:pStyle w:val="ListParagraph"/>
        <w:numPr>
          <w:ilvl w:val="0"/>
          <w:numId w:val="3"/>
        </w:numPr>
        <w:spacing w:after="80" w:line="280"/>
      </w:pPr>
      <w:r>
        <w:t xml:space="preserve">Combined visualisation — colour coding based on the Importance × Performance combination. Red: high importance + low performance (priority for investment). Amber: medium combinations. Green: high importance + high performance (protect).</w:t>
      </w:r>
    </w:p>
    <w:p>
      <w:pPr>
        <w:pStyle w:val="ListParagraph"/>
        <w:numPr>
          <w:ilvl w:val="0"/>
          <w:numId w:val="3"/>
        </w:numPr>
        <w:spacing w:after="80" w:line="280"/>
      </w:pPr>
      <w:r>
        <w:t xml:space="preserve">Optional additional dimensions — Investment level, Risk, Customer satisfaction, Regulatory exposure (each capability scored on additional dimensions for more detailed analysis).</w:t>
      </w:r>
    </w:p>
    <w:p>
      <w:pPr>
        <w:pStyle w:val="ListParagraph"/>
        <w:numPr>
          <w:ilvl w:val="0"/>
          <w:numId w:val="3"/>
        </w:numPr>
        <w:spacing w:after="80" w:line="280"/>
      </w:pPr>
      <w:r>
        <w:t xml:space="preserve">Trend indicators — how the scores have changed since the last refresh.</w:t>
      </w:r>
    </w:p>
    <w:p>
      <w:pPr>
        <w:pStyle w:val="Heading2"/>
        <w:spacing w:after="160" w:before="280"/>
      </w:pPr>
      <w:r>
        <w:rPr>
          <w:b/>
          <w:bCs/>
          <w:color w:val="2E75B6"/>
        </w:rPr>
        <w:t xml:space="preserve">11.3 What Good Looks Like</w:t>
      </w:r>
    </w:p>
    <w:p>
      <w:pPr>
        <w:pStyle w:val="ListParagraph"/>
        <w:numPr>
          <w:ilvl w:val="0"/>
          <w:numId w:val="2"/>
        </w:numPr>
        <w:spacing w:after="80" w:line="280"/>
      </w:pPr>
      <w:r>
        <w:t xml:space="preserve">Refreshed regularly — annually at minimum, ideally aligned with strategic planning cycles.</w:t>
      </w:r>
    </w:p>
    <w:p>
      <w:pPr>
        <w:pStyle w:val="ListParagraph"/>
        <w:numPr>
          <w:ilvl w:val="0"/>
          <w:numId w:val="2"/>
        </w:numPr>
        <w:spacing w:after="80" w:line="280"/>
      </w:pPr>
      <w:r>
        <w:t xml:space="preserve">Defensible scoring — scores are not arbitrary; based on measurable evidence (KPIs, customer feedback, employee surveys, regulatory findings).</w:t>
      </w:r>
    </w:p>
    <w:p>
      <w:pPr>
        <w:pStyle w:val="ListParagraph"/>
        <w:numPr>
          <w:ilvl w:val="0"/>
          <w:numId w:val="2"/>
        </w:numPr>
        <w:spacing w:after="80" w:line="280"/>
      </w:pPr>
      <w:r>
        <w:t xml:space="preserve">Used for decisions — visible at executive committees during strategic planning; informs which engagements get funded.</w:t>
      </w:r>
    </w:p>
    <w:p>
      <w:pPr>
        <w:pStyle w:val="ListParagraph"/>
        <w:numPr>
          <w:ilvl w:val="0"/>
          <w:numId w:val="2"/>
        </w:numPr>
        <w:spacing w:after="80" w:line="280"/>
      </w:pPr>
      <w:r>
        <w:t xml:space="preserve">Linked to architecture engagements — engagements directly address red capabilities; the Heat Map shows progress over time as engagements deliver.</w:t>
      </w:r>
    </w:p>
    <w:p>
      <w:pPr>
        <w:pStyle w:val="ListParagraph"/>
        <w:numPr>
          <w:ilvl w:val="0"/>
          <w:numId w:val="2"/>
        </w:numPr>
        <w:spacing w:after="80" w:line="280"/>
      </w:pPr>
      <w:r>
        <w:t xml:space="preserve">Honest — does not soften scores to avoid uncomfortable conversations; the value of the Heat Map is precisely in surfacing uncomfortable truths.</w:t>
      </w:r>
    </w:p>
    <w:p>
      <w:r>
        <w:br w:type="page"/>
      </w:r>
    </w:p>
    <w:p>
      <w:pPr>
        <w:pStyle w:val="Heading1"/>
        <w:spacing w:after="200" w:before="360"/>
      </w:pPr>
      <w:r>
        <w:rPr>
          <w:b/>
          <w:bCs/>
          <w:color w:val="1F4E78"/>
        </w:rPr>
        <w:t xml:space="preserve">12. Architecture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Architecture Contract: </w:t>
            </w:r>
            <w:r>
              <w:t xml:space="preserve">The Phase G artefact that contracts a delivery project to deliver in compliance with the architecture. Covered in Module 8. Specifies the architectural commitments the project accepts, the compliance reviews it will undergo, the dispensation process for deviations, and the consequences of non-compliance. One Contract per delivery project under architecture governance.</w:t>
            </w:r>
          </w:p>
        </w:tc>
      </w:tr>
    </w:tbl>
    <w:p>
      <w:pPr>
        <w:pStyle w:val="Heading2"/>
        <w:spacing w:after="160" w:before="280"/>
      </w:pPr>
      <w:r>
        <w:rPr>
          <w:b/>
          <w:bCs/>
          <w:color w:val="2E75B6"/>
        </w:rPr>
        <w:t xml:space="preserve">12.1 What It Captures</w:t>
      </w:r>
    </w:p>
    <w:p>
      <w:pPr>
        <w:spacing w:after="120" w:line="300"/>
        <w:jc w:val="both"/>
      </w:pPr>
      <w:r>
        <w:t xml:space="preserve">Phase G's central operational question is: "how does the architecture function ensure that delivery projects build in compliance with the architecture?" The Architecture Contract is the answer in artefact form. It is the formal agreement between the architecture function and the delivery project that establishes what compliance means for that project.</w:t>
      </w:r>
    </w:p>
    <w:p>
      <w:pPr>
        <w:pStyle w:val="Heading2"/>
        <w:spacing w:after="160" w:before="280"/>
      </w:pPr>
      <w:r>
        <w:rPr>
          <w:b/>
          <w:bCs/>
          <w:color w:val="2E75B6"/>
        </w:rPr>
        <w:t xml:space="preserve">12.2 Standard Sections</w:t>
      </w:r>
    </w:p>
    <w:p>
      <w:pPr>
        <w:pStyle w:val="ListParagraph"/>
        <w:numPr>
          <w:ilvl w:val="0"/>
          <w:numId w:val="3"/>
        </w:numPr>
        <w:spacing w:after="80" w:line="280"/>
      </w:pPr>
      <w:r>
        <w:t xml:space="preserve">Project identification — the delivery project under contract; its scope; its sponsor.</w:t>
      </w:r>
    </w:p>
    <w:p>
      <w:pPr>
        <w:pStyle w:val="ListParagraph"/>
        <w:numPr>
          <w:ilvl w:val="0"/>
          <w:numId w:val="3"/>
        </w:numPr>
        <w:spacing w:after="80" w:line="280"/>
      </w:pPr>
      <w:r>
        <w:t xml:space="preserve">Architectural commitments — the specific architectural elements (ABBs, Principles, standards from the SIB, ADRs) that the project commits to comply with.</w:t>
      </w:r>
    </w:p>
    <w:p>
      <w:pPr>
        <w:pStyle w:val="ListParagraph"/>
        <w:numPr>
          <w:ilvl w:val="0"/>
          <w:numId w:val="3"/>
        </w:numPr>
        <w:spacing w:after="80" w:line="280"/>
      </w:pPr>
      <w:r>
        <w:t xml:space="preserve">Compliance review schedule — when Architecture Compliance Reviews will be held; what they will assess; what compliance levels will be evaluated (Module 8's six levels).</w:t>
      </w:r>
    </w:p>
    <w:p>
      <w:pPr>
        <w:pStyle w:val="ListParagraph"/>
        <w:numPr>
          <w:ilvl w:val="0"/>
          <w:numId w:val="3"/>
        </w:numPr>
        <w:spacing w:after="80" w:line="280"/>
      </w:pPr>
      <w:r>
        <w:t xml:space="preserve">Dispensation process — how the project requests dispensations from architectural commitments; who approves; what time-bounded conditions apply.</w:t>
      </w:r>
    </w:p>
    <w:p>
      <w:pPr>
        <w:pStyle w:val="ListParagraph"/>
        <w:numPr>
          <w:ilvl w:val="0"/>
          <w:numId w:val="3"/>
        </w:numPr>
        <w:spacing w:after="80" w:line="280"/>
      </w:pPr>
      <w:r>
        <w:t xml:space="preserve">Reporting obligations — what architectural reporting the project provides during delivery; cadence and format.</w:t>
      </w:r>
    </w:p>
    <w:p>
      <w:pPr>
        <w:pStyle w:val="ListParagraph"/>
        <w:numPr>
          <w:ilvl w:val="0"/>
          <w:numId w:val="3"/>
        </w:numPr>
        <w:spacing w:after="80" w:line="280"/>
      </w:pPr>
      <w:r>
        <w:t xml:space="preserve">Escalation — what happens when compliance reviews surface significant non-compliance; escalation path; remediation expectations.</w:t>
      </w:r>
    </w:p>
    <w:p>
      <w:pPr>
        <w:pStyle w:val="ListParagraph"/>
        <w:numPr>
          <w:ilvl w:val="0"/>
          <w:numId w:val="3"/>
        </w:numPr>
        <w:spacing w:after="80" w:line="280"/>
      </w:pPr>
      <w:r>
        <w:t xml:space="preserve">Sign-off — explicit signatures from the Project Manager, the Project Sponsor, the Chief Architect (or delegated reviewer).</w:t>
      </w:r>
    </w:p>
    <w:p>
      <w:pPr>
        <w:pStyle w:val="Heading2"/>
        <w:spacing w:after="160" w:before="280"/>
      </w:pPr>
      <w:r>
        <w:rPr>
          <w:b/>
          <w:bCs/>
          <w:color w:val="2E75B6"/>
        </w:rPr>
        <w:t xml:space="preserve">12.3 What Good Looks Like</w:t>
      </w:r>
    </w:p>
    <w:p>
      <w:pPr>
        <w:pStyle w:val="ListParagraph"/>
        <w:numPr>
          <w:ilvl w:val="0"/>
          <w:numId w:val="2"/>
        </w:numPr>
        <w:spacing w:after="80" w:line="280"/>
      </w:pPr>
      <w:r>
        <w:t xml:space="preserve">Specific — names the ABBs, Principles, and standards that apply to this project rather than "comply with the architecture".</w:t>
      </w:r>
    </w:p>
    <w:p>
      <w:pPr>
        <w:pStyle w:val="ListParagraph"/>
        <w:numPr>
          <w:ilvl w:val="0"/>
          <w:numId w:val="2"/>
        </w:numPr>
        <w:spacing w:after="80" w:line="280"/>
      </w:pPr>
      <w:r>
        <w:t xml:space="preserve">Proportionate — the Compliance Review intensity matches the project's architectural significance. Major projects have multiple review points; small projects have light-touch review.</w:t>
      </w:r>
    </w:p>
    <w:p>
      <w:pPr>
        <w:pStyle w:val="ListParagraph"/>
        <w:numPr>
          <w:ilvl w:val="0"/>
          <w:numId w:val="2"/>
        </w:numPr>
        <w:spacing w:after="80" w:line="280"/>
      </w:pPr>
      <w:r>
        <w:t xml:space="preserve">Realistic about dispensations — a project that needs zero dispensations is either too cautious or its scope is too narrow; a project that needs many dispensations probably has the wrong target architecture or the wrong scope.</w:t>
      </w:r>
    </w:p>
    <w:p>
      <w:pPr>
        <w:pStyle w:val="ListParagraph"/>
        <w:numPr>
          <w:ilvl w:val="0"/>
          <w:numId w:val="2"/>
        </w:numPr>
        <w:spacing w:after="80" w:line="280"/>
      </w:pPr>
      <w:r>
        <w:t xml:space="preserve">Operational — referenced during delivery; not signed and forgotten.</w:t>
      </w:r>
    </w:p>
    <w:p>
      <w:r>
        <w:br w:type="page"/>
      </w:r>
    </w:p>
    <w:p>
      <w:pPr>
        <w:pStyle w:val="Heading1"/>
        <w:spacing w:after="200" w:before="360"/>
      </w:pPr>
      <w:r>
        <w:rPr>
          <w:b/>
          <w:bCs/>
          <w:color w:val="1F4E78"/>
        </w:rPr>
        <w:t xml:space="preserve">13. Quick Reference — Which Artefact Answers Which Question</w:t>
      </w:r>
    </w:p>
    <w:p>
      <w:pPr>
        <w:spacing w:after="120" w:line="300"/>
        <w:jc w:val="both"/>
      </w:pPr>
      <w:r>
        <w:t xml:space="preserve">In real engagements, the question is usually not "what artefact do I produce next?" but "what artefact answers the question I am being asked?" This section provides the quick-reference mapping from common questions to the artefacts that answer them.</w:t>
      </w:r>
    </w:p>
    <w:p>
      <w:pPr>
        <w:pStyle w:val="Heading2"/>
        <w:spacing w:after="160" w:before="280"/>
      </w:pPr>
      <w:r>
        <w:rPr>
          <w:b/>
          <w:bCs/>
          <w:color w:val="2E75B6"/>
        </w:rPr>
        <w:t xml:space="preserve">13.1 Question-to-Artefact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Question</w:t>
            </w:r>
          </w:p>
        </w:tc>
        <w:tc>
          <w:tcPr>
            <w:tcW w:type="dxa" w:w="48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Primary Artefact</w:t>
            </w:r>
          </w:p>
        </w:tc>
      </w:tr>
      <w:tr>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What is this engagement for?</w:t>
            </w:r>
          </w:p>
        </w:tc>
        <w:tc>
          <w:tcPr>
            <w:tcW w:type="dxa" w:w="4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Vision (executive); Statement of Architecture Work (operational)</w:t>
            </w:r>
          </w:p>
        </w:tc>
      </w:tr>
      <w:tr>
        <w:tc>
          <w:tcPr>
            <w:tcW w:type="dxa" w:w="4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What architecture work will this engagement deliver?</w:t>
            </w:r>
          </w:p>
        </w:tc>
        <w:tc>
          <w:tcPr>
            <w:tcW w:type="dxa" w:w="4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Statement of Architecture Work</w:t>
            </w:r>
          </w:p>
        </w:tc>
      </w:tr>
      <w:tr>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What does the target architecture look like in detail?</w:t>
            </w:r>
          </w:p>
        </w:tc>
        <w:tc>
          <w:tcPr>
            <w:tcW w:type="dxa" w:w="4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Definition Document (per domain)</w:t>
            </w:r>
          </w:p>
        </w:tc>
      </w:tr>
      <w:tr>
        <w:tc>
          <w:tcPr>
            <w:tcW w:type="dxa" w:w="4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What requirements must the architecture satisfy?</w:t>
            </w:r>
          </w:p>
        </w:tc>
        <w:tc>
          <w:tcPr>
            <w:tcW w:type="dxa" w:w="4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Requirements Specification</w:t>
            </w:r>
          </w:p>
        </w:tc>
      </w:tr>
      <w:tr>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What must change between baseline and target?</w:t>
            </w:r>
          </w:p>
        </w:tc>
        <w:tc>
          <w:tcPr>
            <w:tcW w:type="dxa" w:w="4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Gap Analysis Table (per domain)</w:t>
            </w:r>
          </w:p>
        </w:tc>
      </w:tr>
      <w:tr>
        <w:tc>
          <w:tcPr>
            <w:tcW w:type="dxa" w:w="4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Who matters in this engagement and how do we engage with them?</w:t>
            </w:r>
          </w:p>
        </w:tc>
        <w:tc>
          <w:tcPr>
            <w:tcW w:type="dxa" w:w="4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Stakeholder Map / Matrix</w:t>
            </w:r>
          </w:p>
        </w:tc>
      </w:tr>
      <w:tr>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What rules constrain our architectural decisions?</w:t>
            </w:r>
          </w:p>
        </w:tc>
        <w:tc>
          <w:tcPr>
            <w:tcW w:type="dxa" w:w="4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Principles Catalogue</w:t>
            </w:r>
          </w:p>
        </w:tc>
      </w:tr>
      <w:tr>
        <w:tc>
          <w:tcPr>
            <w:tcW w:type="dxa" w:w="4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Why did we make this specific architectural decision?</w:t>
            </w:r>
          </w:p>
        </w:tc>
        <w:tc>
          <w:tcPr>
            <w:tcW w:type="dxa" w:w="4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Decision Record (the relevant ADR)</w:t>
            </w:r>
          </w:p>
        </w:tc>
      </w:tr>
      <w:tr>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When will what be delivered?</w:t>
            </w:r>
          </w:p>
        </w:tc>
        <w:tc>
          <w:tcPr>
            <w:tcW w:type="dxa" w:w="4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Roadmap</w:t>
            </w:r>
          </w:p>
        </w:tc>
      </w:tr>
      <w:tr>
        <w:tc>
          <w:tcPr>
            <w:tcW w:type="dxa" w:w="4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Where should we invest? Where are we strong / weak?</w:t>
            </w:r>
          </w:p>
        </w:tc>
        <w:tc>
          <w:tcPr>
            <w:tcW w:type="dxa" w:w="4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Capability Heat Map</w:t>
            </w:r>
          </w:p>
        </w:tc>
      </w:tr>
      <w:tr>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What is this delivery project committing to deliver in compliance?</w:t>
            </w:r>
          </w:p>
        </w:tc>
        <w:tc>
          <w:tcPr>
            <w:tcW w:type="dxa" w:w="4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Contract</w:t>
            </w:r>
          </w:p>
        </w:tc>
      </w:tr>
      <w:tr>
        <w:tc>
          <w:tcPr>
            <w:tcW w:type="dxa" w:w="4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What is the strategic context in plain executive terms?</w:t>
            </w:r>
          </w:p>
        </w:tc>
        <w:tc>
          <w:tcPr>
            <w:tcW w:type="dxa" w:w="4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Vision</w:t>
            </w:r>
          </w:p>
        </w:tc>
      </w:tr>
      <w:tr>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What was the rationale for choosing this technology / pattern?</w:t>
            </w:r>
          </w:p>
        </w:tc>
        <w:tc>
          <w:tcPr>
            <w:tcW w:type="dxa" w:w="4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ADR for that specific decision</w:t>
            </w:r>
          </w:p>
        </w:tc>
      </w:tr>
      <w:tr>
        <w:tc>
          <w:tcPr>
            <w:tcW w:type="dxa" w:w="4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What is the schedule of architecture work and milestones?</w:t>
            </w:r>
          </w:p>
        </w:tc>
        <w:tc>
          <w:tcPr>
            <w:tcW w:type="dxa" w:w="4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Statement of Architecture Work + Architecture Roadmap</w:t>
            </w:r>
          </w:p>
        </w:tc>
      </w:tr>
      <w:tr>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How will we govern compliance during delivery?</w:t>
            </w:r>
          </w:p>
        </w:tc>
        <w:tc>
          <w:tcPr>
            <w:tcW w:type="dxa" w:w="4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Contract + reference to the relevant ADRs and Principles</w:t>
            </w:r>
          </w:p>
        </w:tc>
      </w:tr>
    </w:tbl>
    <w:p>
      <w:pPr>
        <w:pStyle w:val="Heading2"/>
        <w:spacing w:after="160" w:before="280"/>
      </w:pPr>
      <w:r>
        <w:rPr>
          <w:b/>
          <w:bCs/>
          <w:color w:val="2E75B6"/>
        </w:rPr>
        <w:t xml:space="preserve">13.2 Common Cross-References</w:t>
      </w:r>
    </w:p>
    <w:p>
      <w:pPr>
        <w:spacing w:after="120" w:line="300"/>
        <w:jc w:val="both"/>
      </w:pPr>
      <w:r>
        <w:t xml:space="preserve">The artefacts cross-reference each other extensively. Common patterns:</w:t>
      </w:r>
    </w:p>
    <w:p>
      <w:pPr>
        <w:pStyle w:val="ListParagraph"/>
        <w:numPr>
          <w:ilvl w:val="0"/>
          <w:numId w:val="2"/>
        </w:numPr>
        <w:spacing w:after="80" w:line="280"/>
      </w:pPr>
      <w:r>
        <w:t xml:space="preserve">Architecture Vision references the Stakeholder Map for stakeholders, the Architecture Principles Catalogue for the principles applied, and the Capability Heat Map for the strategic context.</w:t>
      </w:r>
    </w:p>
    <w:p>
      <w:pPr>
        <w:pStyle w:val="ListParagraph"/>
        <w:numPr>
          <w:ilvl w:val="0"/>
          <w:numId w:val="2"/>
        </w:numPr>
        <w:spacing w:after="80" w:line="280"/>
      </w:pPr>
      <w:r>
        <w:t xml:space="preserve">Statement of Architecture Work references the Architecture Vision (for context) and commits to the deliverables (which are the other artefacts in this list).</w:t>
      </w:r>
    </w:p>
    <w:p>
      <w:pPr>
        <w:pStyle w:val="ListParagraph"/>
        <w:numPr>
          <w:ilvl w:val="0"/>
          <w:numId w:val="2"/>
        </w:numPr>
        <w:spacing w:after="80" w:line="280"/>
      </w:pPr>
      <w:r>
        <w:t xml:space="preserve">Architecture Definition Document references the Architecture Requirements Specification (for requirements addressed), the Architecture Principles Catalogue (for principles applied), the relevant ADRs (for decisions made), and the Gap Analysis Table (for the changes required).</w:t>
      </w:r>
    </w:p>
    <w:p>
      <w:pPr>
        <w:pStyle w:val="ListParagraph"/>
        <w:numPr>
          <w:ilvl w:val="0"/>
          <w:numId w:val="2"/>
        </w:numPr>
        <w:spacing w:after="80" w:line="280"/>
      </w:pPr>
      <w:r>
        <w:t xml:space="preserve">Architecture Roadmap references the Capability Heat Map (for capability-based prioritisation), the Gap Analysis Tables (for the work the gaps imply), and the Architecture Definition Documents (for the architectural context).</w:t>
      </w:r>
    </w:p>
    <w:p>
      <w:pPr>
        <w:pStyle w:val="ListParagraph"/>
        <w:numPr>
          <w:ilvl w:val="0"/>
          <w:numId w:val="2"/>
        </w:numPr>
        <w:spacing w:after="80" w:line="280"/>
      </w:pPr>
      <w:r>
        <w:t xml:space="preserve">Architecture Contract references the Architecture Definition Document (for the architectural commitments), the Architecture Principles Catalogue (for the principles to comply with), and the relevant ADRs.</w:t>
      </w:r>
    </w:p>
    <w:p>
      <w:pPr>
        <w:spacing w:after="120" w:line="300"/>
        <w:jc w:val="both"/>
      </w:pPr>
      <w:r>
        <w:t xml:space="preserve">The cross-referencing is what makes the artefact set coherent. No artefact stands alone; together they constitute the engagement's complete documentation.</w:t>
      </w:r>
    </w:p>
    <w:p>
      <w:r>
        <w:br w:type="page"/>
      </w:r>
    </w:p>
    <w:p>
      <w:pPr>
        <w:pStyle w:val="Heading1"/>
        <w:spacing w:after="200" w:before="360"/>
      </w:pPr>
      <w:r>
        <w:rPr>
          <w:b/>
          <w:bCs/>
          <w:color w:val="1F4E78"/>
        </w:rPr>
        <w:t xml:space="preserve">14. ADM Phase to Primary Artefacts Mapping</w:t>
      </w:r>
    </w:p>
    <w:p>
      <w:pPr>
        <w:spacing w:after="120" w:line="300"/>
        <w:jc w:val="both"/>
      </w:pPr>
      <w:r>
        <w:t xml:space="preserve">The other useful cross-cutting view is by ADM phase: which artefacts are produced at each phase, which are refined, which are consulted. This is the practical timing reference for an engagement's artefact production schedule.</w:t>
      </w:r>
    </w:p>
    <w:p>
      <w:pPr>
        <w:pStyle w:val="Heading2"/>
        <w:spacing w:after="160" w:before="280"/>
      </w:pPr>
      <w:r>
        <w:rPr>
          <w:b/>
          <w:bCs/>
          <w:color w:val="2E75B6"/>
        </w:rPr>
        <w:t xml:space="preserve">14.1 The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ADM Phase</w:t>
            </w:r>
          </w:p>
        </w:tc>
        <w:tc>
          <w:tcPr>
            <w:tcW w:type="dxa" w:w="4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Primary Artefacts Produced</w:t>
            </w:r>
          </w:p>
        </w:tc>
        <w:tc>
          <w:tcPr>
            <w:tcW w:type="dxa" w:w="33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Artefacts Refined / Updated</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Preliminary</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Principles Catalogue (initial); tailored ADM</w:t>
            </w:r>
          </w:p>
        </w:tc>
        <w:tc>
          <w:tcPr>
            <w:tcW w:type="dxa" w:w="3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t>
            </w:r>
          </w:p>
        </w:tc>
      </w:tr>
      <w:tr>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 — Vision</w:t>
            </w:r>
          </w:p>
        </w:tc>
        <w:tc>
          <w:tcPr>
            <w:tcW w:type="dxa" w:w="4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Vision; Statement of Architecture Work; Stakeholder Map (initial)</w:t>
            </w:r>
          </w:p>
        </w:tc>
        <w:tc>
          <w:tcPr>
            <w:tcW w:type="dxa" w:w="33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Principles Catalogue (consulted)</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 — Business</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Definition Document (Business); Gap Analysis Table (Business); Capability Heat Map (initial / refresh)</w:t>
            </w:r>
          </w:p>
        </w:tc>
        <w:tc>
          <w:tcPr>
            <w:tcW w:type="dxa" w:w="3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Requirements Specification; Stakeholder Map; ADRs (Business decisions)</w:t>
            </w:r>
          </w:p>
        </w:tc>
      </w:tr>
      <w:tr>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 — Data</w:t>
            </w:r>
          </w:p>
        </w:tc>
        <w:tc>
          <w:tcPr>
            <w:tcW w:type="dxa" w:w="4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Definition Document (Data); Gap Analysis Table (Data)</w:t>
            </w:r>
          </w:p>
        </w:tc>
        <w:tc>
          <w:tcPr>
            <w:tcW w:type="dxa" w:w="33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Requirements Specification; ADRs (Data decisions)</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 — Application</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Definition Document (Application); Gap Analysis Table (Application)</w:t>
            </w:r>
          </w:p>
        </w:tc>
        <w:tc>
          <w:tcPr>
            <w:tcW w:type="dxa" w:w="3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Requirements Specification; ADRs (Application decisions)</w:t>
            </w:r>
          </w:p>
        </w:tc>
      </w:tr>
      <w:tr>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 — Technology</w:t>
            </w:r>
          </w:p>
        </w:tc>
        <w:tc>
          <w:tcPr>
            <w:tcW w:type="dxa" w:w="4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Definition Document (Technology); Gap Analysis Table (Technology)</w:t>
            </w:r>
          </w:p>
        </w:tc>
        <w:tc>
          <w:tcPr>
            <w:tcW w:type="dxa" w:w="33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Requirements Specification; ADRs (Technology decisions)</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 — Opportunities</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Roadmap (initial)</w:t>
            </w:r>
          </w:p>
        </w:tc>
        <w:tc>
          <w:tcPr>
            <w:tcW w:type="dxa" w:w="3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Requirements Specification (refined with prioritisation)</w:t>
            </w:r>
          </w:p>
        </w:tc>
      </w:tr>
      <w:tr>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 — Migration</w:t>
            </w:r>
          </w:p>
        </w:tc>
        <w:tc>
          <w:tcPr>
            <w:tcW w:type="dxa" w:w="4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Roadmap (refined and stable); Migration Plan</w:t>
            </w:r>
          </w:p>
        </w:tc>
        <w:tc>
          <w:tcPr>
            <w:tcW w:type="dxa" w:w="33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Requirements Specification (final)</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 — Governance</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Contract (per delivery project)</w:t>
            </w:r>
          </w:p>
        </w:tc>
        <w:tc>
          <w:tcPr>
            <w:tcW w:type="dxa" w:w="3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ADRs (per Compliance Review finding); Stakeholder Map</w:t>
            </w:r>
          </w:p>
        </w:tc>
      </w:tr>
      <w:tr>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H — Change</w:t>
            </w:r>
          </w:p>
        </w:tc>
        <w:tc>
          <w:tcPr>
            <w:tcW w:type="dxa" w:w="4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t>
            </w:r>
          </w:p>
        </w:tc>
        <w:tc>
          <w:tcPr>
            <w:tcW w:type="dxa" w:w="33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All artefacts updated as architecture evolves; new ADRs added; Heat Map refreshed; Roadmap re-baselined</w:t>
            </w:r>
          </w:p>
        </w:tc>
      </w:tr>
    </w:tbl>
    <w:p>
      <w:pPr>
        <w:pStyle w:val="Heading2"/>
        <w:spacing w:after="160" w:before="280"/>
      </w:pPr>
      <w:r>
        <w:rPr>
          <w:b/>
          <w:bCs/>
          <w:color w:val="2E75B6"/>
        </w:rPr>
        <w:t xml:space="preserve">14.2 Reading the Mapping</w:t>
      </w:r>
    </w:p>
    <w:p>
      <w:pPr>
        <w:spacing w:after="120" w:line="300"/>
        <w:jc w:val="both"/>
      </w:pPr>
      <w:r>
        <w:t xml:space="preserve">Three patterns are visible:</w:t>
      </w:r>
    </w:p>
    <w:p>
      <w:pPr>
        <w:pStyle w:val="ListParagraph"/>
        <w:numPr>
          <w:ilvl w:val="0"/>
          <w:numId w:val="3"/>
        </w:numPr>
        <w:spacing w:after="80" w:line="280"/>
      </w:pPr>
      <w:r>
        <w:t xml:space="preserve">Initiation-heavy phases (Preliminary, A) produce few artefacts but ones that frame everything that follows. The Architecture Principles Catalogue established once governs every subsequent engagement; the Architecture Vision sells the engagement that produces all the others.</w:t>
      </w:r>
    </w:p>
    <w:p>
      <w:pPr>
        <w:pStyle w:val="ListParagraph"/>
        <w:numPr>
          <w:ilvl w:val="0"/>
          <w:numId w:val="3"/>
        </w:numPr>
        <w:spacing w:after="80" w:line="280"/>
      </w:pPr>
      <w:r>
        <w:t xml:space="preserve">Substantive design phases (B, C, D) produce the bulk of the artefacts. Each phase produces its domain's Architecture Definition Document and Gap Analysis Table; all three phases continuously refine the Architecture Requirements Specification and add ADRs.</w:t>
      </w:r>
    </w:p>
    <w:p>
      <w:pPr>
        <w:pStyle w:val="ListParagraph"/>
        <w:numPr>
          <w:ilvl w:val="0"/>
          <w:numId w:val="3"/>
        </w:numPr>
        <w:spacing w:after="80" w:line="280"/>
      </w:pPr>
      <w:r>
        <w:t xml:space="preserve">Late phases (E, F, G) produce planning and governance artefacts on top of the substantive design. The Roadmap is built in E, refined in F, and consumed in G; the Architecture Contract is produced per delivery project at G; the artefacts are consumed throughout H as architecture is changed.</w:t>
      </w:r>
    </w:p>
    <w:p>
      <w:pPr>
        <w:pStyle w:val="Heading2"/>
        <w:spacing w:after="160" w:before="280"/>
      </w:pPr>
      <w:r>
        <w:rPr>
          <w:b/>
          <w:bCs/>
          <w:color w:val="2E75B6"/>
        </w:rPr>
        <w:t xml:space="preserve">14.3 What Each Phase Adds to the Artefact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How the Artefact Set Grows Through an Engagement</w:t>
            </w:r>
          </w:p>
          <w:p>
            <w:pPr>
              <w:spacing w:after="60" w:line="280"/>
              <w:jc w:val="both"/>
            </w:pPr>
            <w:r>
              <w:t xml:space="preserve">End of Preliminary: Architecture Principles Catalogue exists (initial). Tailored ADM exists.</w:t>
            </w:r>
          </w:p>
          <w:p>
            <w:pPr>
              <w:spacing w:after="60" w:line="280"/>
              <w:jc w:val="both"/>
            </w:pPr>
            <w:r>
              <w:t xml:space="preserve">End of Phase A: + Architecture Vision; + Statement of Architecture Work; + Stakeholder Map (initial).</w:t>
            </w:r>
          </w:p>
          <w:p>
            <w:pPr>
              <w:spacing w:after="60" w:line="280"/>
              <w:jc w:val="both"/>
            </w:pPr>
            <w:r>
              <w:t xml:space="preserve">End of Phase B: + Architecture Definition Document (Business); + Gap Analysis Table (Business); + Capability Heat Map (refreshed); + first ADRs.</w:t>
            </w:r>
          </w:p>
          <w:p>
            <w:pPr>
              <w:spacing w:after="60" w:line="280"/>
              <w:jc w:val="both"/>
            </w:pPr>
            <w:r>
              <w:t xml:space="preserve">End of Phase C: + ADD (Data); + ADD (Application); + Gap Analysis Tables (Data, Application); + more ADRs; ARS continuously refined.</w:t>
            </w:r>
          </w:p>
          <w:p>
            <w:pPr>
              <w:spacing w:after="60" w:line="280"/>
              <w:jc w:val="both"/>
            </w:pPr>
            <w:r>
              <w:t xml:space="preserve">End of Phase D: + ADD (Technology); + Gap Analysis Table (Technology); + more ADRs.</w:t>
            </w:r>
          </w:p>
          <w:p>
            <w:pPr>
              <w:spacing w:after="60" w:line="280"/>
              <w:jc w:val="both"/>
            </w:pPr>
            <w:r>
              <w:t xml:space="preserve">End of Phase E: + Architecture Roadmap (initial).</w:t>
            </w:r>
          </w:p>
          <w:p>
            <w:pPr>
              <w:spacing w:after="60" w:line="280"/>
              <w:jc w:val="both"/>
            </w:pPr>
            <w:r>
              <w:t xml:space="preserve">End of Phase F: Roadmap refined and stable; Migration Plan added.</w:t>
            </w:r>
          </w:p>
          <w:p>
            <w:pPr>
              <w:spacing w:after="60" w:line="280"/>
              <w:jc w:val="both"/>
            </w:pPr>
            <w:r>
              <w:t xml:space="preserve">Phase G: + Architecture Contract per delivery project; ADRs added per Compliance Review finding.</w:t>
            </w:r>
          </w:p>
          <w:p>
            <w:pPr>
              <w:spacing w:after="60" w:line="280"/>
              <w:jc w:val="both"/>
            </w:pPr>
            <w:r>
              <w:t xml:space="preserve">Phase H: all artefacts continue to evolve.</w:t>
            </w:r>
          </w:p>
          <w:p>
            <w:pPr>
              <w:spacing w:after="60" w:line="280"/>
              <w:jc w:val="both"/>
            </w:pPr>
            <w:r>
              <w:t xml:space="preserve">By end of engagement: a coherent set of approximately 11 artefacts (with ADD and Gap Analysis Table appearing per domain) plus dozens of ADRs, all cross-referenced. This is what the engagement delivers as its formal output.</w:t>
            </w:r>
          </w:p>
        </w:tc>
      </w:tr>
    </w:tbl>
    <w:p>
      <w:r>
        <w:br w:type="page"/>
      </w:r>
    </w:p>
    <w:p>
      <w:pPr>
        <w:pStyle w:val="Heading1"/>
        <w:spacing w:after="200" w:before="360"/>
      </w:pPr>
      <w:r>
        <w:rPr>
          <w:b/>
          <w:bCs/>
          <w:color w:val="1F4E78"/>
        </w:rPr>
        <w:t xml:space="preserve">15. Summary and Review</w:t>
      </w:r>
    </w:p>
    <w:p>
      <w:pPr>
        <w:pStyle w:val="Heading2"/>
        <w:spacing w:after="160" w:before="280"/>
      </w:pPr>
      <w:r>
        <w:rPr>
          <w:b/>
          <w:bCs/>
          <w:color w:val="2E75B6"/>
        </w:rPr>
        <w:t xml:space="preserve">15.1 The Big Picture</w:t>
      </w:r>
    </w:p>
    <w:p>
      <w:pPr>
        <w:spacing w:after="120" w:line="300"/>
        <w:jc w:val="both"/>
      </w:pPr>
      <w:r>
        <w:t xml:space="preserve">Module 24 has covered the eleven standard TOGAF deliverable templates as a practical reference. Architecture Vision and Statement of Architecture Work initiate the engagement at Phase A. Architecture Definition Document and Architecture Requirements Specification capture the substantive architecture and requirements respectively, with one ADD per BDAT domain. Gap Analysis Table, Stakeholder Map, and Capability Heat Map provide the structured analysis underlying the design. Architecture Principles Catalogue, Architecture Decision Record, and Architecture Contract provide the standing governance, per-decision rationale, and per-project compliance commitments. Architecture Roadmap sequences the work through Transition Architectures and Capability Increments. The eleven cross-reference each other extensively, producing a coherent artefact set that constitutes the engagement's formal output. The phase-to-artefact mapping shows what each ADM phase produces and refines.</w:t>
      </w:r>
    </w:p>
    <w:p>
      <w:pPr>
        <w:pStyle w:val="Heading2"/>
        <w:spacing w:after="160" w:before="280"/>
      </w:pPr>
      <w:r>
        <w:rPr>
          <w:b/>
          <w:bCs/>
          <w:color w:val="2E75B6"/>
        </w:rPr>
        <w:t xml:space="preserve">15.2 Quick-Reference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tblHeader/>
        </w:trPr>
        <w:tc>
          <w:tcPr>
            <w:tcW w:type="dxa" w:w="30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Artefact</w:t>
            </w:r>
          </w:p>
        </w:tc>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Phase</w:t>
            </w:r>
          </w:p>
        </w:tc>
        <w:tc>
          <w:tcPr>
            <w:tcW w:type="dxa" w:w="46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Purpose</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Vision</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w:t>
            </w:r>
          </w:p>
        </w:tc>
        <w:tc>
          <w:tcPr>
            <w:tcW w:type="dxa" w:w="4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Executive elevator pitch; secure go/no-go decision</w:t>
            </w:r>
          </w:p>
        </w:tc>
      </w:tr>
      <w:tr>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Statement of Architecture Work</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w:t>
            </w:r>
          </w:p>
        </w:tc>
        <w:tc>
          <w:tcPr>
            <w:tcW w:type="dxa" w:w="4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Engagement contract — scope, deliverables, schedule, resources</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Definition Document</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 / C / D (per domain)</w:t>
            </w:r>
          </w:p>
        </w:tc>
        <w:tc>
          <w:tcPr>
            <w:tcW w:type="dxa" w:w="4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Substantive architecture: baseline, target, ABBs, decisions</w:t>
            </w:r>
          </w:p>
        </w:tc>
      </w:tr>
      <w:tr>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Requirements Specification</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Cross-phase</w:t>
            </w:r>
          </w:p>
        </w:tc>
        <w:tc>
          <w:tcPr>
            <w:tcW w:type="dxa" w:w="4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All architectural requirements + traceability matrix</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Gap Analysis Table</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 / C / D (per domain)</w:t>
            </w:r>
          </w:p>
        </w:tc>
        <w:tc>
          <w:tcPr>
            <w:tcW w:type="dxa" w:w="4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Eliminate / Retain / New per element + PPT lens</w:t>
            </w:r>
          </w:p>
        </w:tc>
      </w:tr>
      <w:tr>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Stakeholder Map / Matrix</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 initial; maintained</w:t>
            </w:r>
          </w:p>
        </w:tc>
        <w:tc>
          <w:tcPr>
            <w:tcW w:type="dxa" w:w="4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Power/Interest classification + engagement strategy per stakeholder</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Principles Catalogue</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Preliminary; maintained</w:t>
            </w:r>
          </w:p>
        </w:tc>
        <w:tc>
          <w:tcPr>
            <w:tcW w:type="dxa" w:w="4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Durable rules in 4-part format, four BDAT categories</w:t>
            </w:r>
          </w:p>
        </w:tc>
      </w:tr>
      <w:tr>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Decision Record (ADR)</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Throughout</w:t>
            </w:r>
          </w:p>
        </w:tc>
        <w:tc>
          <w:tcPr>
            <w:tcW w:type="dxa" w:w="4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One decision per ADR — context, decision, consequences</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Roadmap</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 (initial); F (stable)</w:t>
            </w:r>
          </w:p>
        </w:tc>
        <w:tc>
          <w:tcPr>
            <w:tcW w:type="dxa" w:w="4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Transition Architectures + Capability Increments + Work Packages over time</w:t>
            </w:r>
          </w:p>
        </w:tc>
      </w:tr>
      <w:tr>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Capability Heat Map</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 initial; annual refresh</w:t>
            </w:r>
          </w:p>
        </w:tc>
        <w:tc>
          <w:tcPr>
            <w:tcW w:type="dxa" w:w="4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Strategic Importance × Performance per capability — investment priorities</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Contract</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w:t>
            </w:r>
          </w:p>
        </w:tc>
        <w:tc>
          <w:tcPr>
            <w:tcW w:type="dxa" w:w="4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Per delivery project: commitments + reviews + dispensation process</w:t>
            </w:r>
          </w:p>
        </w:tc>
      </w:tr>
    </w:tbl>
    <w:p>
      <w:pPr>
        <w:pStyle w:val="Heading2"/>
        <w:spacing w:after="160" w:before="280"/>
      </w:pPr>
      <w:r>
        <w:rPr>
          <w:b/>
          <w:bCs/>
          <w:color w:val="2E75B6"/>
        </w:rPr>
        <w:t xml:space="preserve">15.3 Self-Test Questions</w:t>
      </w:r>
    </w:p>
    <w:p>
      <w:pPr>
        <w:pStyle w:val="ListParagraph"/>
        <w:numPr>
          <w:ilvl w:val="0"/>
          <w:numId w:val="3"/>
        </w:numPr>
        <w:spacing w:after="80" w:line="280"/>
      </w:pPr>
      <w:r>
        <w:t xml:space="preserve">Name the eleven standard TOGAF deliverable templates.</w:t>
      </w:r>
    </w:p>
    <w:p>
      <w:pPr>
        <w:pStyle w:val="ListParagraph"/>
        <w:numPr>
          <w:ilvl w:val="0"/>
          <w:numId w:val="3"/>
        </w:numPr>
        <w:spacing w:after="80" w:line="280"/>
      </w:pPr>
      <w:r>
        <w:t xml:space="preserve">Distinguish the Architecture Vision from the Statement of Architecture Work — what does each capture that the other does not?</w:t>
      </w:r>
    </w:p>
    <w:p>
      <w:pPr>
        <w:pStyle w:val="ListParagraph"/>
        <w:numPr>
          <w:ilvl w:val="0"/>
          <w:numId w:val="3"/>
        </w:numPr>
        <w:spacing w:after="80" w:line="280"/>
      </w:pPr>
      <w:r>
        <w:t xml:space="preserve">How many Architecture Definition Documents does a typical engagement produce, and why?</w:t>
      </w:r>
    </w:p>
    <w:p>
      <w:pPr>
        <w:pStyle w:val="ListParagraph"/>
        <w:numPr>
          <w:ilvl w:val="0"/>
          <w:numId w:val="3"/>
        </w:numPr>
        <w:spacing w:after="80" w:line="280"/>
      </w:pPr>
      <w:r>
        <w:t xml:space="preserve">Why is the Architecture Requirements Specification described as cross-phase?</w:t>
      </w:r>
    </w:p>
    <w:p>
      <w:pPr>
        <w:pStyle w:val="ListParagraph"/>
        <w:numPr>
          <w:ilvl w:val="0"/>
          <w:numId w:val="3"/>
        </w:numPr>
        <w:spacing w:after="80" w:line="280"/>
      </w:pPr>
      <w:r>
        <w:t xml:space="preserve">Name the three operations represented in a Gap Analysis Table.</w:t>
      </w:r>
    </w:p>
    <w:p>
      <w:pPr>
        <w:pStyle w:val="ListParagraph"/>
        <w:numPr>
          <w:ilvl w:val="0"/>
          <w:numId w:val="3"/>
        </w:numPr>
        <w:spacing w:after="80" w:line="280"/>
      </w:pPr>
      <w:r>
        <w:t xml:space="preserve">What does the Stakeholder Map / Matrix add beyond a simple list of stakeholders?</w:t>
      </w:r>
    </w:p>
    <w:p>
      <w:pPr>
        <w:pStyle w:val="ListParagraph"/>
        <w:numPr>
          <w:ilvl w:val="0"/>
          <w:numId w:val="3"/>
        </w:numPr>
        <w:spacing w:after="80" w:line="280"/>
      </w:pPr>
      <w:r>
        <w:t xml:space="preserve">What is the standard format for a principle in the Architecture Principles Catalogue?</w:t>
      </w:r>
    </w:p>
    <w:p>
      <w:pPr>
        <w:pStyle w:val="ListParagraph"/>
        <w:numPr>
          <w:ilvl w:val="0"/>
          <w:numId w:val="3"/>
        </w:numPr>
        <w:spacing w:after="80" w:line="280"/>
      </w:pPr>
      <w:r>
        <w:t xml:space="preserve">What is an ADR, and what is the principle of one decision per ADR?</w:t>
      </w:r>
    </w:p>
    <w:p>
      <w:pPr>
        <w:pStyle w:val="ListParagraph"/>
        <w:numPr>
          <w:ilvl w:val="0"/>
          <w:numId w:val="3"/>
        </w:numPr>
        <w:spacing w:after="80" w:line="280"/>
      </w:pPr>
      <w:r>
        <w:t xml:space="preserve">Distinguish the Architecture Roadmap from the Migration Plan.</w:t>
      </w:r>
    </w:p>
    <w:p>
      <w:pPr>
        <w:pStyle w:val="ListParagraph"/>
        <w:numPr>
          <w:ilvl w:val="0"/>
          <w:numId w:val="3"/>
        </w:numPr>
        <w:spacing w:after="80" w:line="280"/>
      </w:pPr>
      <w:r>
        <w:t xml:space="preserve">What does the Capability Heat Map combine, and what does its colour coding indicate?</w:t>
      </w:r>
    </w:p>
    <w:p>
      <w:pPr>
        <w:pStyle w:val="ListParagraph"/>
        <w:numPr>
          <w:ilvl w:val="0"/>
          <w:numId w:val="3"/>
        </w:numPr>
        <w:spacing w:after="80" w:line="280"/>
      </w:pPr>
      <w:r>
        <w:t xml:space="preserve">What is the Architecture Contract, and at which ADM phase is it produced?</w:t>
      </w:r>
    </w:p>
    <w:p>
      <w:pPr>
        <w:pStyle w:val="ListParagraph"/>
        <w:numPr>
          <w:ilvl w:val="0"/>
          <w:numId w:val="3"/>
        </w:numPr>
        <w:spacing w:after="80" w:line="280"/>
      </w:pPr>
      <w:r>
        <w:t xml:space="preserve">Match each of these questions to its primary artefact: 'Why did we choose Postgres?' / 'When will the new platform go live?' / 'What rules govern this engagement?' / 'Where should we invest?'</w:t>
      </w:r>
    </w:p>
    <w:p>
      <w:pPr>
        <w:pStyle w:val="Heading2"/>
        <w:spacing w:after="160" w:before="280"/>
      </w:pPr>
      <w:r>
        <w:rPr>
          <w:b/>
          <w:bCs/>
          <w:color w:val="2E75B6"/>
        </w:rPr>
        <w:t xml:space="preserve">15.4 Closing Note</w:t>
      </w:r>
    </w:p>
    <w:p>
      <w:pPr>
        <w:spacing w:after="120" w:line="300"/>
        <w:jc w:val="both"/>
      </w:pPr>
      <w:r>
        <w:t xml:space="preserve">Module 24 has provided the practical artefact reference. The next and final modules turn to certification preparation: the structure of the TOGAF exams (Foundation Level 1 and Practitioner Level 2), what is tested in each, study strategies, and exam practice. The eleven artefacts in this module represent the artefact-side knowledge the exams test; deeper conceptual understanding has been built throughout the previous twenty-three modules. Make sure you can name the eleven artefacts; identify what each captures; map each to the ADM phase that produces it; and answer common questions about which artefact addresses which concern. With this in hand, both the exam content on artefacts and the practical work of producing them become straightforward.</w:t>
      </w:r>
    </w:p>
    <w:p>
      <w:pPr>
        <w:spacing w:after="120"/>
      </w:pPr>
      <w:r>
        <w:t xml:space="preserve"/>
      </w:r>
    </w:p>
    <w:p>
      <w:pPr>
        <w:spacing w:before="400"/>
        <w:jc w:val="center"/>
      </w:pPr>
      <w:r>
        <w:rPr>
          <w:i/>
          <w:iCs/>
          <w:color w:val="808080"/>
        </w:rPr>
        <w:t xml:space="preserve">— End of Module 24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TOGAF Module 24: Practical Artifacts &amp; Templates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TOGAF Module 24 Study Guide</dc:title>
  <dc:creator>Claude</dc:creator>
  <dc:description>Comprehensive study guide for the eleven standard TOGAF deliverable templates</dc:description>
  <cp:lastModifiedBy>Un-named</cp:lastModifiedBy>
  <cp:revision>1</cp:revision>
  <dcterms:created xsi:type="dcterms:W3CDTF">2026-05-03T01:18:42.673Z</dcterms:created>
  <dcterms:modified xsi:type="dcterms:W3CDTF">2026-05-03T01:18:42.690Z</dcterms:modified>
</cp:coreProperties>
</file>

<file path=docProps/custom.xml><?xml version="1.0" encoding="utf-8"?>
<Properties xmlns="http://schemas.openxmlformats.org/officeDocument/2006/custom-properties" xmlns:vt="http://schemas.openxmlformats.org/officeDocument/2006/docPropsVTypes"/>
</file>