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25: TOGAF Limitations &amp; When NOT to Use It</w:t>
      </w:r>
    </w:p>
    <w:p>
      <w:pPr>
        <w:spacing w:after="200"/>
        <w:jc w:val="center"/>
      </w:pPr>
      <w:r>
        <w:rPr>
          <w:color w:val="595959"/>
          <w:sz w:val="28"/>
          <w:szCs w:val="28"/>
        </w:rPr>
        <w:t xml:space="preserve">The Mature Practitioner's View of When TOGAF Helps and When It Doesn't</w:t>
      </w:r>
    </w:p>
    <w:p>
      <w:pPr>
        <w:spacing w:after="200"/>
        <w:jc w:val="center"/>
      </w:pPr>
      <w:r>
        <w:rPr>
          <w:color w:val="808080"/>
          <w:sz w:val="22"/>
          <w:szCs w:val="22"/>
        </w:rPr>
        <w:t xml:space="preserve">Criticisms · Selective TOGAF · Lightweight Alternatives · Pragmatic Manifesto</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25</w:t>
      </w:r>
    </w:p>
    <w:p>
      <w:pPr>
        <w:spacing w:after="120" w:line="300"/>
        <w:jc w:val="both"/>
      </w:pPr>
      <w:r>
        <w:t xml:space="preserve">Modules 1 through 24 covered TOGAF systematically — what it is, how it works, what it produces, and how to use it. Module 25 takes a different stance: it covers when TOGAF is NOT the right answer. This is the module that distinguishes the mature practitioner from the certification holder. Anyone who has memorised the ADM phases can claim TOGAF expertise; only practitioners who can also recognise when full TOGAF is overkill, where it is weak, and how to use selective parts of it deliver consistently good architecture across the full spectrum of contexts in which architecture work happens.</w:t>
      </w:r>
    </w:p>
    <w:p>
      <w:pPr>
        <w:spacing w:after="120" w:line="300"/>
        <w:jc w:val="both"/>
      </w:pPr>
      <w:r>
        <w:t xml:space="preserve">The framing of this module is deliberately balanced. TOGAF is genuinely valuable in many contexts — large regulated enterprises, multi-year transformation programmes, situations where executive mandate requires a recognised standard. It is also genuinely poorly-fitting in many others — small enterprises, single-product teams, pure-Agile contexts, emergencies, proof-of-concept work. A practitioner who applies full TOGAF to every engagement produces friction in the contexts where it doesn't fit; a practitioner who rejects TOGAF entirely loses access to its substantial valid content. The mature approach is to recognise the contexts and apply TOGAF — selectively where appropriate, fully where appropriate, not at all where appropriate.</w:t>
      </w:r>
    </w:p>
    <w:p>
      <w:pPr>
        <w:spacing w:after="120" w:line="300"/>
        <w:jc w:val="both"/>
      </w:pPr>
      <w:r>
        <w:t xml:space="preserve">Seven points anchor this module. First, the six common criticisms of TOGAF that recur across practitioner literature. Second, the contexts in which full TOGAF should not be used. Third, the named patterns of selective TOGAF (Phase A only, Architecture Board only, Principles only, ADRs only). Fourth, the principal lightweight alternatives that practitioners reach for instead. Fifth, the Pragmatic Architecture Manifesto's principles for right-sizing architectural work. Sixth, the senior-architect mental models — particularly that TOGAF is a map, not the territory. Seventh, the contexts in which full TOGAF genuinely is the right answer.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This module is unusual in being explicitly critical of the framework the rest of the study guide has been teaching. Read it as the necessary balance: TOGAF works best in the contexts it was designed for, and applying it outside those contexts produces friction. The exam tests recognition of named alternatives and named patterns; the practical work tests judgment about when to use which. After this module, your TOGAF practice should become more selective and more effective — using TOGAF where it adds value, using lighter alternatives where it would not.</w:t>
            </w:r>
          </w:p>
        </w:tc>
      </w:tr>
    </w:tbl>
    <w:p>
      <w:r>
        <w:br w:type="page"/>
      </w:r>
    </w:p>
    <w:p>
      <w:pPr>
        <w:pStyle w:val="Heading1"/>
        <w:spacing w:after="200" w:before="360"/>
      </w:pPr>
      <w:r>
        <w:rPr>
          <w:b/>
          <w:bCs/>
          <w:color w:val="1F4E78"/>
        </w:rPr>
        <w:t xml:space="preserve">1. Six Common Criticisms of TOGAF</w:t>
      </w:r>
    </w:p>
    <w:p>
      <w:pPr>
        <w:spacing w:after="120" w:line="300"/>
        <w:jc w:val="both"/>
      </w:pPr>
      <w:r>
        <w:t xml:space="preserve">TOGAF has been the subject of substantial criticism throughout its existence. Six themes recur across the practitioner literature, conference presentations, and industry surveys. Each criticism captures a real limitation; each also has a counterpoint. Knowing both sides is what allows practitioners to engage credibly with the criticisms rather than dismissing them or accepting them uncritically.</w:t>
      </w:r>
    </w:p>
    <w:p>
      <w:pPr>
        <w:pStyle w:val="Heading2"/>
        <w:spacing w:after="160" w:before="280"/>
      </w:pPr>
      <w:r>
        <w:rPr>
          <w:b/>
          <w:bCs/>
          <w:color w:val="2E75B6"/>
        </w:rPr>
        <w:t xml:space="preserve">1.1 The Six Criticisms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Six Common Criticisms of TOGAF: </w:t>
            </w:r>
            <w:r>
              <w:t xml:space="preserve">(1) Heavyweight — too much process and ceremony for many engagements; (2) Process-heavy — focuses on phases and artefacts rather than outcomes; (3) Vague techniques — many methods described abstractly without concrete how-to guidance; (4) Steep learning curve — substantial up-front investment to use even basic parts; (5) Slow technology adaptation — major versions span 5+ years while technology moves faster; (6) Weak for small change — designed for transformation, not for incremental work that constitutes most architecture activity.</w:t>
            </w:r>
          </w:p>
        </w:tc>
      </w:tr>
    </w:tbl>
    <w:p>
      <w:pPr>
        <w:pStyle w:val="Heading2"/>
        <w:spacing w:after="160" w:before="280"/>
      </w:pPr>
      <w:r>
        <w:rPr>
          <w:b/>
          <w:bCs/>
          <w:color w:val="2E75B6"/>
        </w:rPr>
        <w:t xml:space="preserve">1.2 Criticism 1: Heavyweight</w:t>
      </w:r>
    </w:p>
    <w:p>
      <w:pPr>
        <w:pStyle w:val="Heading3"/>
        <w:spacing w:after="120" w:before="220"/>
      </w:pPr>
      <w:r>
        <w:rPr>
          <w:b/>
          <w:bCs/>
          <w:color w:val="404040"/>
        </w:rPr>
        <w:t xml:space="preserve">The Criticism</w:t>
      </w:r>
    </w:p>
    <w:p>
      <w:pPr>
        <w:spacing w:after="120" w:line="300"/>
        <w:jc w:val="both"/>
      </w:pPr>
      <w:r>
        <w:t xml:space="preserve">Full TOGAF is a substantial framework — eight ADM phases plus Preliminary, dozens of artefact types, multiple Series Guides, multiple iteration patterns. Applying all of it to any engagement produces months of preparation before delivery starts. For most actual architecture engagements (which are smaller and tighter than the framework's design context), the weight crushes the work.</w:t>
      </w:r>
    </w:p>
    <w:p>
      <w:pPr>
        <w:pStyle w:val="Heading3"/>
        <w:spacing w:after="120" w:before="220"/>
      </w:pPr>
      <w:r>
        <w:rPr>
          <w:b/>
          <w:bCs/>
          <w:color w:val="404040"/>
        </w:rPr>
        <w:t xml:space="preserve">The Counterpoint</w:t>
      </w:r>
    </w:p>
    <w:p>
      <w:pPr>
        <w:spacing w:after="120" w:line="300"/>
        <w:jc w:val="both"/>
      </w:pPr>
      <w:r>
        <w:t xml:space="preserve">TOGAF is explicitly tailored — the Preliminary Phase exists to tailor the ADM and select which artefacts apply (Module 5). The full framework is not meant to be applied uniformly; it is meant to be tailored down. Practitioners who experience TOGAF as heavyweight have often skipped the tailoring step and applied the framework as-published.</w:t>
      </w:r>
    </w:p>
    <w:p>
      <w:pPr>
        <w:pStyle w:val="Heading3"/>
        <w:spacing w:after="120" w:before="220"/>
      </w:pPr>
      <w:r>
        <w:rPr>
          <w:b/>
          <w:bCs/>
          <w:color w:val="404040"/>
        </w:rPr>
        <w:t xml:space="preserve">The Honest Assessment</w:t>
      </w:r>
    </w:p>
    <w:p>
      <w:pPr>
        <w:spacing w:after="120" w:line="300"/>
        <w:jc w:val="both"/>
      </w:pPr>
      <w:r>
        <w:t xml:space="preserve">Both sides have merit. TOGAF as published is heavyweight; TOGAF tailored well is not. The problem is that effective tailoring requires substantial expertise — a practitioner new to TOGAF has trouble distinguishing essential from tailorable, and tends to default to applying everything. Until the practitioner has worked through several engagements, the experienced practitioner's tailored version looks like "not real TOGAF" to the newcomer. The heavyweight criticism is real but addressable; the addressing requires expertise.</w:t>
      </w:r>
    </w:p>
    <w:p>
      <w:pPr>
        <w:pStyle w:val="Heading2"/>
        <w:spacing w:after="160" w:before="280"/>
      </w:pPr>
      <w:r>
        <w:rPr>
          <w:b/>
          <w:bCs/>
          <w:color w:val="2E75B6"/>
        </w:rPr>
        <w:t xml:space="preserve">1.3 Criticism 2: Process-Heavy</w:t>
      </w:r>
    </w:p>
    <w:p>
      <w:pPr>
        <w:pStyle w:val="Heading3"/>
        <w:spacing w:after="120" w:before="220"/>
      </w:pPr>
      <w:r>
        <w:rPr>
          <w:b/>
          <w:bCs/>
          <w:color w:val="404040"/>
        </w:rPr>
        <w:t xml:space="preserve">The Criticism</w:t>
      </w:r>
    </w:p>
    <w:p>
      <w:pPr>
        <w:spacing w:after="120" w:line="300"/>
        <w:jc w:val="both"/>
      </w:pPr>
      <w:r>
        <w:t xml:space="preserve">TOGAF spends extensive content on phases, gates, artefacts, governance bodies, and review processes. The ratio of process content to substantive technical guidance is high. A practitioner reading TOGAF in full encounters ten times more content on "how the phases connect" than on "how to choose between an event-driven and a service-oriented integration pattern". The framework optimises for process completeness rather than substantive guidance.</w:t>
      </w:r>
    </w:p>
    <w:p>
      <w:pPr>
        <w:pStyle w:val="Heading3"/>
        <w:spacing w:after="120" w:before="220"/>
      </w:pPr>
      <w:r>
        <w:rPr>
          <w:b/>
          <w:bCs/>
          <w:color w:val="404040"/>
        </w:rPr>
        <w:t xml:space="preserve">The Counterpoint</w:t>
      </w:r>
    </w:p>
    <w:p>
      <w:pPr>
        <w:spacing w:after="120" w:line="300"/>
        <w:jc w:val="both"/>
      </w:pPr>
      <w:r>
        <w:t xml:space="preserve">TOGAF deliberately separates method from substance — the method is in the ADM and Series Guides; the substance is in the (tailored) reference architectures, the Architecture Repository, and the architect's professional knowledge. The framework does not pretend to teach architecture itself; it provides the structure within which architecture is done. Technical depth lives elsewhere — in BIZBOK, SABSA, the Cloud-native ecosystem, vendor reference architectures.</w:t>
      </w:r>
    </w:p>
    <w:p>
      <w:pPr>
        <w:pStyle w:val="Heading3"/>
        <w:spacing w:after="120" w:before="220"/>
      </w:pPr>
      <w:r>
        <w:rPr>
          <w:b/>
          <w:bCs/>
          <w:color w:val="404040"/>
        </w:rPr>
        <w:t xml:space="preserve">The Honest Assessment</w:t>
      </w:r>
    </w:p>
    <w:p>
      <w:pPr>
        <w:spacing w:after="120" w:line="300"/>
        <w:jc w:val="both"/>
      </w:pPr>
      <w:r>
        <w:t xml:space="preserve">Practitioners using TOGAF as a complete architecture education are disappointed. Practitioners using TOGAF as the structuring framework on top of substantial separate technical knowledge get value. The framework's silence on technical substance is intentional but often unstated; practitioners coming from technology backgrounds find the silence confusing because they expect a framework to provide what it deliberately does not.</w:t>
      </w:r>
    </w:p>
    <w:p>
      <w:pPr>
        <w:pStyle w:val="Heading2"/>
        <w:spacing w:after="160" w:before="280"/>
      </w:pPr>
      <w:r>
        <w:rPr>
          <w:b/>
          <w:bCs/>
          <w:color w:val="2E75B6"/>
        </w:rPr>
        <w:t xml:space="preserve">1.4 Criticism 3: Vague Techniques</w:t>
      </w:r>
    </w:p>
    <w:p>
      <w:pPr>
        <w:pStyle w:val="Heading3"/>
        <w:spacing w:after="120" w:before="220"/>
      </w:pPr>
      <w:r>
        <w:rPr>
          <w:b/>
          <w:bCs/>
          <w:color w:val="404040"/>
        </w:rPr>
        <w:t xml:space="preserve">The Criticism</w:t>
      </w:r>
    </w:p>
    <w:p>
      <w:pPr>
        <w:spacing w:after="120" w:line="300"/>
        <w:jc w:val="both"/>
      </w:pPr>
      <w:r>
        <w:t xml:space="preserve">Many techniques described in TOGAF are gestured at rather than fully specified. "Conduct gap analysis" tells you to do gap analysis but does not provide step-by-step instructions for doing it well. "Identify Architecture Building Blocks" describes what ABBs are but not how to actually identify them in messy reality. The reader is left to fill in the operational detail.</w:t>
      </w:r>
    </w:p>
    <w:p>
      <w:pPr>
        <w:pStyle w:val="Heading3"/>
        <w:spacing w:after="120" w:before="220"/>
      </w:pPr>
      <w:r>
        <w:rPr>
          <w:b/>
          <w:bCs/>
          <w:color w:val="404040"/>
        </w:rPr>
        <w:t xml:space="preserve">The Counterpoint</w:t>
      </w:r>
    </w:p>
    <w:p>
      <w:pPr>
        <w:spacing w:after="120" w:line="300"/>
        <w:jc w:val="both"/>
      </w:pPr>
      <w:r>
        <w:t xml:space="preserve">TOGAF leaves operational detail to practitioners because what works varies by context. A specific gap analysis recipe that worked for a banking enterprise will fail in a manufacturing context; specific ABB identification heuristics that worked for greenfield will fail in legacy modernisation. The framework's vagueness preserves flexibility; over-specification would force inappropriate uniformity.</w:t>
      </w:r>
    </w:p>
    <w:p>
      <w:pPr>
        <w:pStyle w:val="Heading3"/>
        <w:spacing w:after="120" w:before="220"/>
      </w:pPr>
      <w:r>
        <w:rPr>
          <w:b/>
          <w:bCs/>
          <w:color w:val="404040"/>
        </w:rPr>
        <w:t xml:space="preserve">The Honest Assessment</w:t>
      </w:r>
    </w:p>
    <w:p>
      <w:pPr>
        <w:spacing w:after="120" w:line="300"/>
        <w:jc w:val="both"/>
      </w:pPr>
      <w:r>
        <w:t xml:space="preserve">Newcomers experience the vagueness as unhelpful; experienced practitioners experience the same vagueness as space within which their judgement operates. The framework is structured for the experienced practitioner; the entry barrier reflects this.</w:t>
      </w:r>
    </w:p>
    <w:p>
      <w:pPr>
        <w:pStyle w:val="Heading2"/>
        <w:spacing w:after="160" w:before="280"/>
      </w:pPr>
      <w:r>
        <w:rPr>
          <w:b/>
          <w:bCs/>
          <w:color w:val="2E75B6"/>
        </w:rPr>
        <w:t xml:space="preserve">1.5 Criticism 4: Steep Learning Curve</w:t>
      </w:r>
    </w:p>
    <w:p>
      <w:pPr>
        <w:pStyle w:val="Heading3"/>
        <w:spacing w:after="120" w:before="220"/>
      </w:pPr>
      <w:r>
        <w:rPr>
          <w:b/>
          <w:bCs/>
          <w:color w:val="404040"/>
        </w:rPr>
        <w:t xml:space="preserve">The Criticism</w:t>
      </w:r>
    </w:p>
    <w:p>
      <w:pPr>
        <w:spacing w:after="120" w:line="300"/>
        <w:jc w:val="both"/>
      </w:pPr>
      <w:r>
        <w:t xml:space="preserve">TOGAF requires substantial up-front investment to use. Foundation certification typically takes 40-80 hours of study; Practitioner takes another 40-80; using TOGAF in actual engagements competently takes 6-12 months of mentored experience beyond that. By comparison, a developer can be productive in a new programming language in days; a project manager can apply Agile in weeks. TOGAF demands months.</w:t>
      </w:r>
    </w:p>
    <w:p>
      <w:pPr>
        <w:pStyle w:val="Heading3"/>
        <w:spacing w:after="120" w:before="220"/>
      </w:pPr>
      <w:r>
        <w:rPr>
          <w:b/>
          <w:bCs/>
          <w:color w:val="404040"/>
        </w:rPr>
        <w:t xml:space="preserve">The Counterpoint</w:t>
      </w:r>
    </w:p>
    <w:p>
      <w:pPr>
        <w:spacing w:after="120" w:line="300"/>
        <w:jc w:val="both"/>
      </w:pPr>
      <w:r>
        <w:t xml:space="preserve">Enterprise architecture is genuinely complex; any framework that addresses it competently has substantial learning content. The alternatives (BIZBOK, SABSA, Zachman, FEAF, individual cloud certifications) all require comparable investment. The criticism is really that architecture itself is hard to learn, and the frameworks reflect this rather than causing it.</w:t>
      </w:r>
    </w:p>
    <w:p>
      <w:pPr>
        <w:pStyle w:val="Heading3"/>
        <w:spacing w:after="120" w:before="220"/>
      </w:pPr>
      <w:r>
        <w:rPr>
          <w:b/>
          <w:bCs/>
          <w:color w:val="404040"/>
        </w:rPr>
        <w:t xml:space="preserve">The Honest Assessment</w:t>
      </w:r>
    </w:p>
    <w:p>
      <w:pPr>
        <w:spacing w:after="120" w:line="300"/>
        <w:jc w:val="both"/>
      </w:pPr>
      <w:r>
        <w:t xml:space="preserve">Both sides have merit. TOGAF is a substantial commitment; alternatives are too; architecture is hard; some of the cost is intrinsic to the discipline. The criticism is most valid when applied to organisations that adopt TOGAF without committing to the learning investment — they get the framework's documentation costs without its benefits.</w:t>
      </w:r>
    </w:p>
    <w:p>
      <w:pPr>
        <w:pStyle w:val="Heading2"/>
        <w:spacing w:after="160" w:before="280"/>
      </w:pPr>
      <w:r>
        <w:rPr>
          <w:b/>
          <w:bCs/>
          <w:color w:val="2E75B6"/>
        </w:rPr>
        <w:t xml:space="preserve">1.6 Criticism 5: Slow Technology Adaptation</w:t>
      </w:r>
    </w:p>
    <w:p>
      <w:pPr>
        <w:pStyle w:val="Heading3"/>
        <w:spacing w:after="120" w:before="220"/>
      </w:pPr>
      <w:r>
        <w:rPr>
          <w:b/>
          <w:bCs/>
          <w:color w:val="404040"/>
        </w:rPr>
        <w:t xml:space="preserve">The Criticism</w:t>
      </w:r>
    </w:p>
    <w:p>
      <w:pPr>
        <w:spacing w:after="120" w:line="300"/>
        <w:jc w:val="both"/>
      </w:pPr>
      <w:r>
        <w:t xml:space="preserve">Major TOGAF versions span 5+ years (TOGAF 9 in 2009, TOGAF 9.2 in 2018, TOGAF 10 in 2022). Technology moves much faster: the cloud paradigm, microservices, containers, serverless, ML, generative AI all emerged within typical TOGAF version cycles. By the time TOGAF integrates a major technology shift, the technology has often moved further. The framework lags.</w:t>
      </w:r>
    </w:p>
    <w:p>
      <w:pPr>
        <w:pStyle w:val="Heading3"/>
        <w:spacing w:after="120" w:before="220"/>
      </w:pPr>
      <w:r>
        <w:rPr>
          <w:b/>
          <w:bCs/>
          <w:color w:val="404040"/>
        </w:rPr>
        <w:t xml:space="preserve">The Counterpoint</w:t>
      </w:r>
    </w:p>
    <w:p>
      <w:pPr>
        <w:spacing w:after="120" w:line="300"/>
        <w:jc w:val="both"/>
      </w:pPr>
      <w:r>
        <w:t xml:space="preserve">TOGAF deliberately does not chase every technology trend. The framework provides durable structure for architecture practice; specific technology content lives in the Series Guides and reference architectures, which are updated more frequently. Most enterprise architectures actually need the durable structure more than they need the latest technology coverage; treating TOGAF as a technology guide misuses it.</w:t>
      </w:r>
    </w:p>
    <w:p>
      <w:pPr>
        <w:pStyle w:val="Heading3"/>
        <w:spacing w:after="120" w:before="220"/>
      </w:pPr>
      <w:r>
        <w:rPr>
          <w:b/>
          <w:bCs/>
          <w:color w:val="404040"/>
        </w:rPr>
        <w:t xml:space="preserve">The Honest Assessment</w:t>
      </w:r>
    </w:p>
    <w:p>
      <w:pPr>
        <w:spacing w:after="120" w:line="300"/>
        <w:jc w:val="both"/>
      </w:pPr>
      <w:r>
        <w:t xml:space="preserve">Both sides are right about different things. The framework's structural content (ADM, Continuum, Content Framework) genuinely is durable and benefits from slow change. The framework's technology-specific content genuinely lags and shouldn't be relied on for current technology guidance. Practitioners use TOGAF for structure and supplement with current technology-specific resources.</w:t>
      </w:r>
    </w:p>
    <w:p>
      <w:pPr>
        <w:pStyle w:val="Heading2"/>
        <w:spacing w:after="160" w:before="280"/>
      </w:pPr>
      <w:r>
        <w:rPr>
          <w:b/>
          <w:bCs/>
          <w:color w:val="2E75B6"/>
        </w:rPr>
        <w:t xml:space="preserve">1.7 Criticism 6: Weak for Small Change</w:t>
      </w:r>
    </w:p>
    <w:p>
      <w:pPr>
        <w:pStyle w:val="Heading3"/>
        <w:spacing w:after="120" w:before="220"/>
      </w:pPr>
      <w:r>
        <w:rPr>
          <w:b/>
          <w:bCs/>
          <w:color w:val="404040"/>
        </w:rPr>
        <w:t xml:space="preserve">The Criticism</w:t>
      </w:r>
    </w:p>
    <w:p>
      <w:pPr>
        <w:spacing w:after="120" w:line="300"/>
        <w:jc w:val="both"/>
      </w:pPr>
      <w:r>
        <w:t xml:space="preserve">TOGAF is designed for large transformation — multi-year programmes, substantial enterprise scope, many stakeholders. It works less well for small change: a single team's architectural decision; a tactical product modification; a one-quarter project. Applying the ADM to small change produces ceremony out of proportion to the work.</w:t>
      </w:r>
    </w:p>
    <w:p>
      <w:pPr>
        <w:pStyle w:val="Heading3"/>
        <w:spacing w:after="120" w:before="220"/>
      </w:pPr>
      <w:r>
        <w:rPr>
          <w:b/>
          <w:bCs/>
          <w:color w:val="404040"/>
        </w:rPr>
        <w:t xml:space="preserve">The Counterpoint</w:t>
      </w:r>
    </w:p>
    <w:p>
      <w:pPr>
        <w:spacing w:after="120" w:line="300"/>
        <w:jc w:val="both"/>
      </w:pPr>
      <w:r>
        <w:t xml:space="preserve">Small change is not what TOGAF was designed for; using it there is misapplication. Selective TOGAF (Section 3) provides patterns for using parts of the framework where the whole is overkill. Module 21's Just-Enough/Just-In-Time principle explicitly addresses this — TOGAF supports small architectural work, but through tailored use rather than full ADM application.</w:t>
      </w:r>
    </w:p>
    <w:p>
      <w:pPr>
        <w:pStyle w:val="Heading3"/>
        <w:spacing w:after="120" w:before="220"/>
      </w:pPr>
      <w:r>
        <w:rPr>
          <w:b/>
          <w:bCs/>
          <w:color w:val="404040"/>
        </w:rPr>
        <w:t xml:space="preserve">The Honest Assessment</w:t>
      </w:r>
    </w:p>
    <w:p>
      <w:pPr>
        <w:spacing w:after="120" w:line="300"/>
        <w:jc w:val="both"/>
      </w:pPr>
      <w:r>
        <w:t xml:space="preserve">The criticism is real for unselective use; less real for selective use. The mature practitioner uses small parts of TOGAF (a Principles Catalogue, a few ADRs, a focused Phase A) on small engagements, and saves full TOGAF for the large engagements that warrant it.</w:t>
      </w:r>
    </w:p>
    <w:p>
      <w:pPr>
        <w:pStyle w:val="Heading2"/>
        <w:spacing w:after="160" w:before="280"/>
      </w:pPr>
      <w:r>
        <w:rPr>
          <w:b/>
          <w:bCs/>
          <w:color w:val="2E75B6"/>
        </w:rPr>
        <w:t xml:space="preserve">1.8 The Six Criticisms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Criticism</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Real Where</w:t>
            </w:r>
          </w:p>
        </w:tc>
        <w:tc>
          <w:tcPr>
            <w:tcW w:type="dxa" w:w="4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Counterpoint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Heavyweight</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Applied without tailoring</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Tailoring is built in; effective use requires it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Process-heavy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Used as complete architecture education</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Method-only by design; substance lives elsewhere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Vague techniques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Newcomers expect operational recipes</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Vagueness preserves flexibility for experienced practitioners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Steep learning curve</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Adopted without learning investment</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is intrinsically hard; alternatives demand similar investment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Slow technology adaptation</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Used as technology guide</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Designed for durable structure; technology lives in Series Guides and elsewhere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Weak for small change</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Full ADM applied to small engagements</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Selective TOGAF patterns address this; mature use scales the framework to the engagement</w:t>
            </w:r>
          </w:p>
        </w:tc>
      </w:tr>
    </w:tbl>
    <w:p>
      <w:r>
        <w:br w:type="page"/>
      </w:r>
    </w:p>
    <w:p>
      <w:pPr>
        <w:pStyle w:val="Heading1"/>
        <w:spacing w:after="200" w:before="360"/>
      </w:pPr>
      <w:r>
        <w:rPr>
          <w:b/>
          <w:bCs/>
          <w:color w:val="1F4E78"/>
        </w:rPr>
        <w:t xml:space="preserve">2. When NOT to Use Full TOGAF</w:t>
      </w:r>
    </w:p>
    <w:p>
      <w:pPr>
        <w:spacing w:after="120" w:line="300"/>
        <w:jc w:val="both"/>
      </w:pPr>
      <w:r>
        <w:t xml:space="preserve">Five contexts recur where applying full TOGAF systematically produces poor outcomes. Recognising them is exam-relevant; respecting them is what distinguishes the mature practitioner from the standards purist.</w:t>
      </w:r>
    </w:p>
    <w:p>
      <w:pPr>
        <w:pStyle w:val="Heading2"/>
        <w:spacing w:after="160" w:before="280"/>
      </w:pPr>
      <w:r>
        <w:rPr>
          <w:b/>
          <w:bCs/>
          <w:color w:val="2E75B6"/>
        </w:rPr>
        <w:t xml:space="preserve">2.1 Five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When NOT to Use Full TOGAF: </w:t>
            </w:r>
            <w:r>
              <w:t xml:space="preserve">(1) Startups — too early-stage for substantial architectural framework; speed and pivot capacity dominate. (2) Single-team products — the team is the architecture; no cross-team coordination problem. (3) Pure-Agile contexts where architecture is genuinely emergent — top-down architecture conflicts with the operating model. (4) Emergencies — production incidents, regulatory crises; substantive process is dangerous. (5) Proof-of-concepts — explicitly throwaway work that would be wasted by formal architecture.</w:t>
            </w:r>
          </w:p>
        </w:tc>
      </w:tr>
    </w:tbl>
    <w:p>
      <w:pPr>
        <w:pStyle w:val="Heading2"/>
        <w:spacing w:after="160" w:before="280"/>
      </w:pPr>
      <w:r>
        <w:rPr>
          <w:b/>
          <w:bCs/>
          <w:color w:val="2E75B6"/>
        </w:rPr>
        <w:t xml:space="preserve">2.2 Context 1: Startups</w:t>
      </w:r>
    </w:p>
    <w:p>
      <w:pPr>
        <w:spacing w:after="120" w:line="300"/>
        <w:jc w:val="both"/>
      </w:pPr>
      <w:r>
        <w:t xml:space="preserve">Startups operate in regimes of high uncertainty, rapid pivoting, and small teams. The TOGAF investment (months of learning, weeks of engagement preparation, dozens of artefacts) is incompatible with startup pace. By the time a TOGAF engagement would deliver its outputs, the startup has pivoted three times and the engagement's outputs are obsolete.</w:t>
      </w:r>
    </w:p>
    <w:p>
      <w:pPr>
        <w:spacing w:after="120" w:line="300"/>
        <w:jc w:val="both"/>
      </w:pPr>
      <w:r>
        <w:t xml:space="preserve">What startups should do instead:</w:t>
      </w:r>
    </w:p>
    <w:p>
      <w:pPr>
        <w:pStyle w:val="ListParagraph"/>
        <w:numPr>
          <w:ilvl w:val="0"/>
          <w:numId w:val="2"/>
        </w:numPr>
        <w:spacing w:after="80" w:line="280"/>
      </w:pPr>
      <w:r>
        <w:t xml:space="preserve">Capture key architectural decisions in ADRs (Section 4) — the lowest-overhead architecture artefact.</w:t>
      </w:r>
    </w:p>
    <w:p>
      <w:pPr>
        <w:pStyle w:val="ListParagraph"/>
        <w:numPr>
          <w:ilvl w:val="0"/>
          <w:numId w:val="2"/>
        </w:numPr>
        <w:spacing w:after="80" w:line="280"/>
      </w:pPr>
      <w:r>
        <w:t xml:space="preserve">Maintain a minimal Principles Catalogue — three to five principles is enough at startup stage.</w:t>
      </w:r>
    </w:p>
    <w:p>
      <w:pPr>
        <w:pStyle w:val="ListParagraph"/>
        <w:numPr>
          <w:ilvl w:val="0"/>
          <w:numId w:val="2"/>
        </w:numPr>
        <w:spacing w:after="80" w:line="280"/>
      </w:pPr>
      <w:r>
        <w:t xml:space="preserve">Use the C4 model (Section 4) for visual architecture as needed.</w:t>
      </w:r>
    </w:p>
    <w:p>
      <w:pPr>
        <w:pStyle w:val="ListParagraph"/>
        <w:numPr>
          <w:ilvl w:val="0"/>
          <w:numId w:val="2"/>
        </w:numPr>
        <w:spacing w:after="80" w:line="280"/>
      </w:pPr>
      <w:r>
        <w:t xml:space="preserve">Defer formal TOGAF until the enterprise is large enough to need it (typically Series A-C transition or beyond, or 50+ engineers).</w:t>
      </w:r>
    </w:p>
    <w:p>
      <w:pPr>
        <w:pStyle w:val="Heading2"/>
        <w:spacing w:after="160" w:before="280"/>
      </w:pPr>
      <w:r>
        <w:rPr>
          <w:b/>
          <w:bCs/>
          <w:color w:val="2E75B6"/>
        </w:rPr>
        <w:t xml:space="preserve">2.3 Context 2: Single-Team Products</w:t>
      </w:r>
    </w:p>
    <w:p>
      <w:pPr>
        <w:spacing w:after="120" w:line="300"/>
        <w:jc w:val="both"/>
      </w:pPr>
      <w:r>
        <w:t xml:space="preserve">Many architecture activities exist to coordinate across teams: principles, ABBs, integration patterns, governance. A single-team product (one team owns the entire product end-to-end) has no cross-team coordination problem; the team is the architecture, and what the team agrees to is what the architecture is.</w:t>
      </w:r>
    </w:p>
    <w:p>
      <w:pPr>
        <w:spacing w:after="120" w:line="300"/>
        <w:jc w:val="both"/>
      </w:pPr>
      <w:r>
        <w:t xml:space="preserve">What single-team products should do instead:</w:t>
      </w:r>
    </w:p>
    <w:p>
      <w:pPr>
        <w:pStyle w:val="ListParagraph"/>
        <w:numPr>
          <w:ilvl w:val="0"/>
          <w:numId w:val="2"/>
        </w:numPr>
        <w:spacing w:after="80" w:line="280"/>
      </w:pPr>
      <w:r>
        <w:t xml:space="preserve">ADRs internal to the team — captures decisions for the team's future selves.</w:t>
      </w:r>
    </w:p>
    <w:p>
      <w:pPr>
        <w:pStyle w:val="ListParagraph"/>
        <w:numPr>
          <w:ilvl w:val="0"/>
          <w:numId w:val="2"/>
        </w:numPr>
        <w:spacing w:after="80" w:line="280"/>
      </w:pPr>
      <w:r>
        <w:t xml:space="preserve">C4 diagrams within the team's documentation.</w:t>
      </w:r>
    </w:p>
    <w:p>
      <w:pPr>
        <w:pStyle w:val="ListParagraph"/>
        <w:numPr>
          <w:ilvl w:val="0"/>
          <w:numId w:val="2"/>
        </w:numPr>
        <w:spacing w:after="80" w:line="280"/>
      </w:pPr>
      <w:r>
        <w:t xml:space="preserve">Architecture work distributed within the team rather than separated into a Phase B/C/D structure.</w:t>
      </w:r>
    </w:p>
    <w:p>
      <w:pPr>
        <w:pStyle w:val="ListParagraph"/>
        <w:numPr>
          <w:ilvl w:val="0"/>
          <w:numId w:val="2"/>
        </w:numPr>
        <w:spacing w:after="80" w:line="280"/>
      </w:pPr>
      <w:r>
        <w:t xml:space="preserve">Adopt TOGAF only when growing toward multi-team — typically when the team splits into 2+ or when other teams start integrating with the product.</w:t>
      </w:r>
    </w:p>
    <w:p>
      <w:pPr>
        <w:pStyle w:val="Heading2"/>
        <w:spacing w:after="160" w:before="280"/>
      </w:pPr>
      <w:r>
        <w:rPr>
          <w:b/>
          <w:bCs/>
          <w:color w:val="2E75B6"/>
        </w:rPr>
        <w:t xml:space="preserve">2.4 Context 3: Pure-Agile Contexts</w:t>
      </w:r>
    </w:p>
    <w:p>
      <w:pPr>
        <w:spacing w:after="120" w:line="300"/>
        <w:jc w:val="both"/>
      </w:pPr>
      <w:r>
        <w:t xml:space="preserve">Some delivery contexts are deliberately, ideologically, pure-Agile — architecture is to emerge entirely from delivery work; up-front architecture is rejected on principle. Module 21 covered the Intentional/Emergent balance and noted that pure-Agile is one extreme; many real engagements operate somewhere between intentional and emergent rather than at either pole.</w:t>
      </w:r>
    </w:p>
    <w:p>
      <w:pPr>
        <w:spacing w:after="120" w:line="300"/>
        <w:jc w:val="both"/>
      </w:pPr>
      <w:r>
        <w:t xml:space="preserve">Where the operating context is pure-Agile by deliberate choice (not just by accident), imposing TOGAF produces conflict rather than improvement. The architect's role in such contexts is to provide architectural input where the team requests it, capture decisions through ADRs, and contribute to communities of practice — without driving formal TOGAF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Distinguish Pure-Agile from Architectural Drift</w:t>
            </w:r>
          </w:p>
          <w:p>
            <w:pPr>
              <w:spacing w:after="60" w:line="280"/>
              <w:jc w:val="both"/>
            </w:pPr>
            <w:r>
              <w:t xml:space="preserve">True pure-Agile is a deliberate, well-functioning operating model. Many situations called "pure Agile" are actually architectural drift — teams making cross-cutting decisions independently with no integrating discipline, producing eventual incoherence.</w:t>
            </w:r>
          </w:p>
          <w:p>
            <w:pPr>
              <w:spacing w:after="60" w:line="280"/>
              <w:jc w:val="both"/>
            </w:pPr>
            <w:r>
              <w:t xml:space="preserve">The diagnostic question: if you propose a Principles Catalogue, does the organisation reject it because they have a deliberate emergence philosophy, or because they have no defined approach to cross-cutting decisions at all? The first is pure-Agile (TOGAF should not be imposed); the second is drift (TOGAF, even selectively applied, would help).</w:t>
            </w:r>
          </w:p>
          <w:p>
            <w:pPr>
              <w:spacing w:after="60" w:line="280"/>
              <w:jc w:val="both"/>
            </w:pPr>
            <w:r>
              <w:t xml:space="preserve">Mature practitioners distinguish the two and respond differently. Pure-Agile gets architecture support without TOGAF. Drift gets selective TOGAF as remediation.</w:t>
            </w:r>
          </w:p>
        </w:tc>
      </w:tr>
    </w:tbl>
    <w:p>
      <w:pPr>
        <w:pStyle w:val="Heading2"/>
        <w:spacing w:after="160" w:before="280"/>
      </w:pPr>
      <w:r>
        <w:rPr>
          <w:b/>
          <w:bCs/>
          <w:color w:val="2E75B6"/>
        </w:rPr>
        <w:t xml:space="preserve">2.5 Context 4: Emergencies</w:t>
      </w:r>
    </w:p>
    <w:p>
      <w:pPr>
        <w:spacing w:after="120" w:line="300"/>
        <w:jc w:val="both"/>
      </w:pPr>
      <w:r>
        <w:t xml:space="preserve">In an emergency — production outage, security breach, regulatory deadline missed, critical-customer-loss risk — substantive process is actively harmful. The work needs to happen now; ceremony delays the response and worsens the outcome.</w:t>
      </w:r>
    </w:p>
    <w:p>
      <w:pPr>
        <w:spacing w:after="120" w:line="300"/>
        <w:jc w:val="both"/>
      </w:pPr>
      <w:r>
        <w:t xml:space="preserve">What emergencies need:</w:t>
      </w:r>
    </w:p>
    <w:p>
      <w:pPr>
        <w:pStyle w:val="ListParagraph"/>
        <w:numPr>
          <w:ilvl w:val="0"/>
          <w:numId w:val="2"/>
        </w:numPr>
        <w:spacing w:after="80" w:line="280"/>
      </w:pPr>
      <w:r>
        <w:t xml:space="preserve">Decisive action with the best available information.</w:t>
      </w:r>
    </w:p>
    <w:p>
      <w:pPr>
        <w:pStyle w:val="ListParagraph"/>
        <w:numPr>
          <w:ilvl w:val="0"/>
          <w:numId w:val="2"/>
        </w:numPr>
        <w:spacing w:after="80" w:line="280"/>
      </w:pPr>
      <w:r>
        <w:t xml:space="preserve">Clear ownership — one named architect responsible for technical direction during the response.</w:t>
      </w:r>
    </w:p>
    <w:p>
      <w:pPr>
        <w:pStyle w:val="ListParagraph"/>
        <w:numPr>
          <w:ilvl w:val="0"/>
          <w:numId w:val="2"/>
        </w:numPr>
        <w:spacing w:after="80" w:line="280"/>
      </w:pPr>
      <w:r>
        <w:t xml:space="preserve">Rapid ADRs after the fact — capturing what was decided in the heat of the response, so the decisions are not lost when the response team disperses.</w:t>
      </w:r>
    </w:p>
    <w:p>
      <w:pPr>
        <w:pStyle w:val="ListParagraph"/>
        <w:numPr>
          <w:ilvl w:val="0"/>
          <w:numId w:val="2"/>
        </w:numPr>
        <w:spacing w:after="80" w:line="280"/>
      </w:pPr>
      <w:r>
        <w:t xml:space="preserve">Post-incident review — what should change architecturally to prevent recurrence; this is where TOGAF or selective TOGAF re-engages.</w:t>
      </w:r>
    </w:p>
    <w:p>
      <w:pPr>
        <w:pStyle w:val="Heading2"/>
        <w:spacing w:after="160" w:before="280"/>
      </w:pPr>
      <w:r>
        <w:rPr>
          <w:b/>
          <w:bCs/>
          <w:color w:val="2E75B6"/>
        </w:rPr>
        <w:t xml:space="preserve">2.6 Context 5: Proof-of-Concepts</w:t>
      </w:r>
    </w:p>
    <w:p>
      <w:pPr>
        <w:spacing w:after="120" w:line="300"/>
        <w:jc w:val="both"/>
      </w:pPr>
      <w:r>
        <w:t xml:space="preserve">Proof-of-concept work is by definition throwaway: build the minimum to test a hypothesis; if the hypothesis is confirmed, the real version gets properly built afterwards; if disconfirmed, the work gets discarded. Applying formal architecture to a PoC produces investment that is wasted when the PoC is discarded — and that constrains the PoC team's ability to take shortcuts that test the hypothesis efficiently.</w:t>
      </w:r>
    </w:p>
    <w:p>
      <w:pPr>
        <w:spacing w:after="120" w:line="300"/>
        <w:jc w:val="both"/>
      </w:pPr>
      <w:r>
        <w:t xml:space="preserve">What PoCs need:</w:t>
      </w:r>
    </w:p>
    <w:p>
      <w:pPr>
        <w:pStyle w:val="ListParagraph"/>
        <w:numPr>
          <w:ilvl w:val="0"/>
          <w:numId w:val="2"/>
        </w:numPr>
        <w:spacing w:after="80" w:line="280"/>
      </w:pPr>
      <w:r>
        <w:t xml:space="preserve">A clearly-stated hypothesis to be tested.</w:t>
      </w:r>
    </w:p>
    <w:p>
      <w:pPr>
        <w:pStyle w:val="ListParagraph"/>
        <w:numPr>
          <w:ilvl w:val="0"/>
          <w:numId w:val="2"/>
        </w:numPr>
        <w:spacing w:after="80" w:line="280"/>
      </w:pPr>
      <w:r>
        <w:t xml:space="preserve">Time-boxed delivery (typically days to weeks).</w:t>
      </w:r>
    </w:p>
    <w:p>
      <w:pPr>
        <w:pStyle w:val="ListParagraph"/>
        <w:numPr>
          <w:ilvl w:val="0"/>
          <w:numId w:val="2"/>
        </w:numPr>
        <w:spacing w:after="80" w:line="280"/>
      </w:pPr>
      <w:r>
        <w:t xml:space="preserve">An ADR-captured decision at the end ("hypothesis confirmed; build the real version" or "hypothesis disconfirmed; do not proceed").</w:t>
      </w:r>
    </w:p>
    <w:p>
      <w:pPr>
        <w:pStyle w:val="ListParagraph"/>
        <w:numPr>
          <w:ilvl w:val="0"/>
          <w:numId w:val="2"/>
        </w:numPr>
        <w:spacing w:after="80" w:line="280"/>
      </w:pPr>
      <w:r>
        <w:t xml:space="preserve">Conscious limitation — the PoC code is throwaway, and acknowledged as such, so resisting the temptation to ship it as production.</w:t>
      </w:r>
    </w:p>
    <w:p>
      <w:pPr>
        <w:pStyle w:val="ListParagraph"/>
        <w:numPr>
          <w:ilvl w:val="0"/>
          <w:numId w:val="2"/>
        </w:numPr>
        <w:spacing w:after="80" w:line="280"/>
      </w:pPr>
      <w:r>
        <w:t xml:space="preserve">If the PoC succeeds, formal architecture work for the real version can begin — distinct from the PoC.</w:t>
      </w:r>
    </w:p>
    <w:p>
      <w:pPr>
        <w:pStyle w:val="Heading2"/>
        <w:spacing w:after="160" w:before="280"/>
      </w:pPr>
      <w:r>
        <w:rPr>
          <w:b/>
          <w:bCs/>
          <w:color w:val="2E75B6"/>
        </w:rPr>
        <w:t xml:space="preserve">2.7 The Five Contexts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Context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Why TOGAF Doesn't Fit</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to Do Instead</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Startup</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High uncertainty, rapid pivoting, small team — TOGAF investment incompatible with pace</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ADRs; minimal Principles; C4; defer TOGAF until scale demands it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Single-team product</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 cross-team coordination problem; team is the architecture</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Internal ADRs and diagrams; adopt TOGAF when growing toward multi-team</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Pure-Agile context</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is deliberately emergent; top-down framework conflicts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Embedded support; ADRs; CoPs without formal TOGAF</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Emergency</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Process is harmful when speed is critical</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Decisive action; named ownership; ADRs after the fact; post-incident review</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Proof-of-concept</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Throwaway work; formal architecture investment is wasted</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Time-boxed; hypothesis-driven; ADR at conclusion; formal architecture for real version if PoC succeeds</w:t>
            </w:r>
          </w:p>
        </w:tc>
      </w:tr>
    </w:tbl>
    <w:p>
      <w:r>
        <w:br w:type="page"/>
      </w:r>
    </w:p>
    <w:p>
      <w:pPr>
        <w:pStyle w:val="Heading1"/>
        <w:spacing w:after="200" w:before="360"/>
      </w:pPr>
      <w:r>
        <w:rPr>
          <w:b/>
          <w:bCs/>
          <w:color w:val="1F4E78"/>
        </w:rPr>
        <w:t xml:space="preserve">3. Selective TOGAF Patterns</w:t>
      </w:r>
    </w:p>
    <w:p>
      <w:pPr>
        <w:spacing w:after="120" w:line="300"/>
        <w:jc w:val="both"/>
      </w:pPr>
      <w:r>
        <w:t xml:space="preserve">Between full TOGAF and no TOGAF lies a substantial middle ground: using parts of the framework that add value while skipping the parts that don't. Four named patterns recur and are exam-relevant. Recognising them gives practitioners explicit alternatives to the all-or-nothing choice.</w:t>
      </w:r>
    </w:p>
    <w:p>
      <w:pPr>
        <w:pStyle w:val="Heading2"/>
        <w:spacing w:after="160" w:before="280"/>
      </w:pPr>
      <w:r>
        <w:rPr>
          <w:b/>
          <w:bCs/>
          <w:color w:val="2E75B6"/>
        </w:rPr>
        <w:t xml:space="preserve">3.1 The Four Selective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Selective TOGAF Patterns: </w:t>
            </w:r>
            <w:r>
              <w:t xml:space="preserve">Four named patterns of selective TOGAF use: (1) Phase A only — the engagement uses Phase A's Architecture Vision and Statement of Architecture Work but doesn't formally run B/C/D; (2) Architecture Board only — the governance body and Compliance Reviews exist without the full ADM; (3) Principles only — an enterprise-wide Architecture Principles Catalogue without other TOGAF apparatus; (4) ADRs only — the practice of capturing significant decisions as ADRs without other TOGAF artefacts.</w:t>
            </w:r>
          </w:p>
        </w:tc>
      </w:tr>
    </w:tbl>
    <w:p>
      <w:pPr>
        <w:pStyle w:val="Heading2"/>
        <w:spacing w:after="160" w:before="280"/>
      </w:pPr>
      <w:r>
        <w:rPr>
          <w:b/>
          <w:bCs/>
          <w:color w:val="2E75B6"/>
        </w:rPr>
        <w:t xml:space="preserve">3.2 Pattern 1: Phase A Only</w:t>
      </w:r>
    </w:p>
    <w:p>
      <w:pPr>
        <w:spacing w:after="120" w:line="300"/>
        <w:jc w:val="both"/>
      </w:pPr>
      <w:r>
        <w:t xml:space="preserve">The engagement uses Phase A's two principal artefacts (Architecture Vision and Statement of Architecture Work) to frame and contract the work, then proceeds without formal Phase B/C/D structure. The Phase A artefacts provide the executive context and the engagement scope; the substantive design happens through normal delivery practice with ADRs capturing significant decisions.</w:t>
      </w:r>
    </w:p>
    <w:p>
      <w:pPr>
        <w:spacing w:after="120" w:line="300"/>
        <w:jc w:val="both"/>
      </w:pPr>
      <w:r>
        <w:t xml:space="preserve">When this works:</w:t>
      </w:r>
    </w:p>
    <w:p>
      <w:pPr>
        <w:pStyle w:val="ListParagraph"/>
        <w:numPr>
          <w:ilvl w:val="0"/>
          <w:numId w:val="2"/>
        </w:numPr>
        <w:spacing w:after="80" w:line="280"/>
      </w:pPr>
      <w:r>
        <w:t xml:space="preserve">The engagement is significant enough to warrant executive sponsorship and formal scope (justifying Phase A).</w:t>
      </w:r>
    </w:p>
    <w:p>
      <w:pPr>
        <w:pStyle w:val="ListParagraph"/>
        <w:numPr>
          <w:ilvl w:val="0"/>
          <w:numId w:val="2"/>
        </w:numPr>
        <w:spacing w:after="80" w:line="280"/>
      </w:pPr>
      <w:r>
        <w:t xml:space="preserve">The engagement is small enough or focused enough that the full Phase B/C/D structure would be overhead.</w:t>
      </w:r>
    </w:p>
    <w:p>
      <w:pPr>
        <w:pStyle w:val="ListParagraph"/>
        <w:numPr>
          <w:ilvl w:val="0"/>
          <w:numId w:val="2"/>
        </w:numPr>
        <w:spacing w:after="80" w:line="280"/>
      </w:pPr>
      <w:r>
        <w:t xml:space="preserve">The team has good architectural judgement — the design happens well even without formal Phase B/C/D ceremony.</w:t>
      </w:r>
    </w:p>
    <w:p>
      <w:pPr>
        <w:pStyle w:val="Heading2"/>
        <w:spacing w:after="160" w:before="280"/>
      </w:pPr>
      <w:r>
        <w:rPr>
          <w:b/>
          <w:bCs/>
          <w:color w:val="2E75B6"/>
        </w:rPr>
        <w:t xml:space="preserve">3.3 Pattern 2: Architecture Board Only</w:t>
      </w:r>
    </w:p>
    <w:p>
      <w:pPr>
        <w:spacing w:after="120" w:line="300"/>
        <w:jc w:val="both"/>
      </w:pPr>
      <w:r>
        <w:t xml:space="preserve">The enterprise has an Architecture Board that conducts Compliance Reviews and arbitrates architectural disputes (Module 12), but does not formally run engagements through the ADM. Projects approach the Board for review; the Board provides architectural judgement without imposing the full TOGAF structure on the projects themselves.</w:t>
      </w:r>
    </w:p>
    <w:p>
      <w:pPr>
        <w:spacing w:after="120" w:line="300"/>
        <w:jc w:val="both"/>
      </w:pPr>
      <w:r>
        <w:t xml:space="preserve">When this works:</w:t>
      </w:r>
    </w:p>
    <w:p>
      <w:pPr>
        <w:pStyle w:val="ListParagraph"/>
        <w:numPr>
          <w:ilvl w:val="0"/>
          <w:numId w:val="2"/>
        </w:numPr>
        <w:spacing w:after="80" w:line="280"/>
      </w:pPr>
      <w:r>
        <w:t xml:space="preserve">The enterprise has substantial cross-cutting architectural concerns (security, integration, technology selection) that benefit from coordinated review.</w:t>
      </w:r>
    </w:p>
    <w:p>
      <w:pPr>
        <w:pStyle w:val="ListParagraph"/>
        <w:numPr>
          <w:ilvl w:val="0"/>
          <w:numId w:val="2"/>
        </w:numPr>
        <w:spacing w:after="80" w:line="280"/>
      </w:pPr>
      <w:r>
        <w:t xml:space="preserve">Individual projects are too small or too time-constrained to run formal TOGAF engagements.</w:t>
      </w:r>
    </w:p>
    <w:p>
      <w:pPr>
        <w:pStyle w:val="ListParagraph"/>
        <w:numPr>
          <w:ilvl w:val="0"/>
          <w:numId w:val="2"/>
        </w:numPr>
        <w:spacing w:after="80" w:line="280"/>
      </w:pPr>
      <w:r>
        <w:t xml:space="preserve">The Board's authority is recognised — projects actually engage with it.</w:t>
      </w:r>
    </w:p>
    <w:p>
      <w:pPr>
        <w:pStyle w:val="Heading2"/>
        <w:spacing w:after="160" w:before="280"/>
      </w:pPr>
      <w:r>
        <w:rPr>
          <w:b/>
          <w:bCs/>
          <w:color w:val="2E75B6"/>
        </w:rPr>
        <w:t xml:space="preserve">3.4 Pattern 3: Principles Only</w:t>
      </w:r>
    </w:p>
    <w:p>
      <w:pPr>
        <w:spacing w:after="120" w:line="300"/>
        <w:jc w:val="both"/>
      </w:pPr>
      <w:r>
        <w:t xml:space="preserve">The enterprise maintains an Architecture Principles Catalogue (Module 15) as its principal architectural governance instrument. Principles establish what is and is not acceptable architecturally; projects interpret and apply the principles to their specific contexts; no formal TOGAF engagements are run.</w:t>
      </w:r>
    </w:p>
    <w:p>
      <w:pPr>
        <w:spacing w:after="120" w:line="300"/>
        <w:jc w:val="both"/>
      </w:pPr>
      <w:r>
        <w:t xml:space="preserve">When this works:</w:t>
      </w:r>
    </w:p>
    <w:p>
      <w:pPr>
        <w:pStyle w:val="ListParagraph"/>
        <w:numPr>
          <w:ilvl w:val="0"/>
          <w:numId w:val="2"/>
        </w:numPr>
        <w:spacing w:after="80" w:line="280"/>
      </w:pPr>
      <w:r>
        <w:t xml:space="preserve">The enterprise has a clear set of architectural commitments that need consistent application.</w:t>
      </w:r>
    </w:p>
    <w:p>
      <w:pPr>
        <w:pStyle w:val="ListParagraph"/>
        <w:numPr>
          <w:ilvl w:val="0"/>
          <w:numId w:val="2"/>
        </w:numPr>
        <w:spacing w:after="80" w:line="280"/>
      </w:pPr>
      <w:r>
        <w:t xml:space="preserve">Project teams are competent enough to apply principles correctly to specific contexts.</w:t>
      </w:r>
    </w:p>
    <w:p>
      <w:pPr>
        <w:pStyle w:val="ListParagraph"/>
        <w:numPr>
          <w:ilvl w:val="0"/>
          <w:numId w:val="2"/>
        </w:numPr>
        <w:spacing w:after="80" w:line="280"/>
      </w:pPr>
      <w:r>
        <w:t xml:space="preserve">The cost of false architectural divergence is high enough to justify the principles but the cost of full TOGAF is too high.</w:t>
      </w:r>
    </w:p>
    <w:p>
      <w:pPr>
        <w:pStyle w:val="Heading2"/>
        <w:spacing w:after="160" w:before="280"/>
      </w:pPr>
      <w:r>
        <w:rPr>
          <w:b/>
          <w:bCs/>
          <w:color w:val="2E75B6"/>
        </w:rPr>
        <w:t xml:space="preserve">3.5 Pattern 4: ADRs Only</w:t>
      </w:r>
    </w:p>
    <w:p>
      <w:pPr>
        <w:spacing w:after="120" w:line="300"/>
        <w:jc w:val="both"/>
      </w:pPr>
      <w:r>
        <w:t xml:space="preserve">Teams capture significant architectural decisions as ADRs (Modules 12, 21, 24) without any other TOGAF apparatus. No Architecture Vision; no Statement of Architecture Work; no Architecture Definition Documents; just one ADR per decision, version-controlled alongside code.</w:t>
      </w:r>
    </w:p>
    <w:p>
      <w:pPr>
        <w:spacing w:after="120" w:line="300"/>
        <w:jc w:val="both"/>
      </w:pPr>
      <w:r>
        <w:t xml:space="preserve">When this works:</w:t>
      </w:r>
    </w:p>
    <w:p>
      <w:pPr>
        <w:pStyle w:val="ListParagraph"/>
        <w:numPr>
          <w:ilvl w:val="0"/>
          <w:numId w:val="2"/>
        </w:numPr>
        <w:spacing w:after="80" w:line="280"/>
      </w:pPr>
      <w:r>
        <w:t xml:space="preserve">The architecture is small enough that decisions are individually significant rather than emerging from substantial structure.</w:t>
      </w:r>
    </w:p>
    <w:p>
      <w:pPr>
        <w:pStyle w:val="ListParagraph"/>
        <w:numPr>
          <w:ilvl w:val="0"/>
          <w:numId w:val="2"/>
        </w:numPr>
        <w:spacing w:after="80" w:line="280"/>
      </w:pPr>
      <w:r>
        <w:t xml:space="preserve">The team or enterprise values lightweight documentation.</w:t>
      </w:r>
    </w:p>
    <w:p>
      <w:pPr>
        <w:pStyle w:val="ListParagraph"/>
        <w:numPr>
          <w:ilvl w:val="0"/>
          <w:numId w:val="2"/>
        </w:numPr>
        <w:spacing w:after="80" w:line="280"/>
      </w:pPr>
      <w:r>
        <w:t xml:space="preserve">Knowledge preservation is the primary architectural concern (not coordination across many teams or compliance with many constraints).</w:t>
      </w:r>
    </w:p>
    <w:p>
      <w:pPr>
        <w:pStyle w:val="ListParagraph"/>
        <w:numPr>
          <w:ilvl w:val="0"/>
          <w:numId w:val="2"/>
        </w:numPr>
        <w:spacing w:after="80" w:line="280"/>
      </w:pPr>
      <w:r>
        <w:t xml:space="preserve">Often combined with C4 for visual architecture (Section 4).</w:t>
      </w:r>
    </w:p>
    <w:p>
      <w:pPr>
        <w:pStyle w:val="Heading2"/>
        <w:spacing w:after="160" w:before="280"/>
      </w:pPr>
      <w:r>
        <w:rPr>
          <w:b/>
          <w:bCs/>
          <w:color w:val="2E75B6"/>
        </w:rPr>
        <w:t xml:space="preserve">3.6 The Four Selective Patterns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00"/>
        <w:gridCol w:w="25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Pattern</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Includes</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Excludes</w:t>
            </w:r>
          </w:p>
        </w:tc>
        <w:tc>
          <w:tcPr>
            <w:tcW w:type="dxa" w:w="25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Best For</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A only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Vision + SoAW + Stakeholder Map</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Formal Phase B/C/D structure</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Significant engagements that warrant executive framing without the full ADM</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Board only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Board + Compliance Reviews</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Formal ADM engagements</w:t>
            </w:r>
          </w:p>
        </w:tc>
        <w:tc>
          <w:tcPr>
            <w:tcW w:type="dxa" w:w="2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Cross-cutting governance without per-project TOGAF</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Principles only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Principles Catalogue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Everything else TOGAF</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Clear architectural commitments needed; projects interpret independently</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ADRs only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Decision records as the architecture documentation</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All other TOGAF apparatus</w:t>
            </w:r>
          </w:p>
        </w:tc>
        <w:tc>
          <w:tcPr>
            <w:tcW w:type="dxa" w:w="2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Small enterprises; pure-Agile contexts; knowledge preservation focus</w:t>
            </w:r>
          </w:p>
        </w:tc>
      </w:tr>
    </w:tbl>
    <w:p>
      <w:pPr>
        <w:pStyle w:val="Heading2"/>
        <w:spacing w:after="160" w:before="280"/>
      </w:pPr>
      <w:r>
        <w:rPr>
          <w:b/>
          <w:bCs/>
          <w:color w:val="2E75B6"/>
        </w:rPr>
        <w:t xml:space="preserve">3.7 Combining Selective Patterns</w:t>
      </w:r>
    </w:p>
    <w:p>
      <w:pPr>
        <w:spacing w:after="120" w:line="300"/>
        <w:jc w:val="both"/>
      </w:pPr>
      <w:r>
        <w:t xml:space="preserve">The four patterns are not mutually exclusive; many enterprises combine them. A common combination:</w:t>
      </w:r>
    </w:p>
    <w:p>
      <w:pPr>
        <w:pStyle w:val="ListParagraph"/>
        <w:numPr>
          <w:ilvl w:val="0"/>
          <w:numId w:val="3"/>
        </w:numPr>
        <w:spacing w:after="80" w:line="280"/>
      </w:pPr>
      <w:r>
        <w:t xml:space="preserve">Principles Catalogue maintained at enterprise level (Pattern 3).</w:t>
      </w:r>
    </w:p>
    <w:p>
      <w:pPr>
        <w:pStyle w:val="ListParagraph"/>
        <w:numPr>
          <w:ilvl w:val="0"/>
          <w:numId w:val="3"/>
        </w:numPr>
        <w:spacing w:after="80" w:line="280"/>
      </w:pPr>
      <w:r>
        <w:t xml:space="preserve">Architecture Board reviews significant architectural decisions across the enterprise (Pattern 2).</w:t>
      </w:r>
    </w:p>
    <w:p>
      <w:pPr>
        <w:pStyle w:val="ListParagraph"/>
        <w:numPr>
          <w:ilvl w:val="0"/>
          <w:numId w:val="3"/>
        </w:numPr>
        <w:spacing w:after="80" w:line="280"/>
      </w:pPr>
      <w:r>
        <w:t xml:space="preserve">Major engagements use Phase A artefacts to frame themselves (Pattern 1).</w:t>
      </w:r>
    </w:p>
    <w:p>
      <w:pPr>
        <w:pStyle w:val="ListParagraph"/>
        <w:numPr>
          <w:ilvl w:val="0"/>
          <w:numId w:val="3"/>
        </w:numPr>
        <w:spacing w:after="80" w:line="280"/>
      </w:pPr>
      <w:r>
        <w:t xml:space="preserve">All teams capture significant decisions as ADRs (Pattern 4).</w:t>
      </w:r>
    </w:p>
    <w:p>
      <w:pPr>
        <w:spacing w:after="120" w:line="300"/>
        <w:jc w:val="both"/>
      </w:pPr>
      <w:r>
        <w:t xml:space="preserve">This four-way combination gives an enterprise much of TOGAF's value (cross-cutting governance, executive engagement on major work, decision archive) without the cost of running full ADM engagements throughout. It is increasingly common in mid-sized technology-native enterprises.</w:t>
      </w:r>
    </w:p>
    <w:p>
      <w:r>
        <w:br w:type="page"/>
      </w:r>
    </w:p>
    <w:p>
      <w:pPr>
        <w:pStyle w:val="Heading1"/>
        <w:spacing w:after="200" w:before="360"/>
      </w:pPr>
      <w:r>
        <w:rPr>
          <w:b/>
          <w:bCs/>
          <w:color w:val="1F4E78"/>
        </w:rPr>
        <w:t xml:space="preserve">4. Lightweight Alternatives</w:t>
      </w:r>
    </w:p>
    <w:p>
      <w:pPr>
        <w:spacing w:after="120" w:line="300"/>
        <w:jc w:val="both"/>
      </w:pPr>
      <w:r>
        <w:t xml:space="preserve">Beyond selective TOGAF, several lightweight architectural frameworks and tools exist independently and are often used in place of (or alongside) TOGAF. Six are exam-relevant by name. Each addresses a specific architectural concern with much less ceremony than full TOGAF.</w:t>
      </w:r>
    </w:p>
    <w:p>
      <w:pPr>
        <w:pStyle w:val="Heading2"/>
        <w:spacing w:after="160" w:before="280"/>
      </w:pPr>
      <w:r>
        <w:rPr>
          <w:b/>
          <w:bCs/>
          <w:color w:val="2E75B6"/>
        </w:rPr>
        <w:t xml:space="preserve">4.1 The Six Principal Lightweight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Lightweight Architectural Alternatives: </w:t>
            </w:r>
            <w:r>
              <w:t xml:space="preserve">Six widely-used lightweight architectural frameworks and tools: (1) C4 Model (Simon Brown) — visual notation for software architecture; (2) ADRs (Michael Nygard) — decision records; (3) SAFe Architecture Runway — foundational tech ahead of business demand; (4) Team Topologies (Skelton &amp; Pais) — team-and-interaction patterns; (5) SABSA — security architecture depth; (6) DAMA-DMBOK — data management body of knowledge.</w:t>
            </w:r>
          </w:p>
        </w:tc>
      </w:tr>
    </w:tbl>
    <w:p>
      <w:pPr>
        <w:pStyle w:val="Heading2"/>
        <w:spacing w:after="160" w:before="280"/>
      </w:pPr>
      <w:r>
        <w:rPr>
          <w:b/>
          <w:bCs/>
          <w:color w:val="2E75B6"/>
        </w:rPr>
        <w:t xml:space="preserve">4.2 C4 Model</w:t>
      </w:r>
    </w:p>
    <w:p>
      <w:pPr>
        <w:spacing w:after="120" w:line="300"/>
        <w:jc w:val="both"/>
      </w:pPr>
      <w:r>
        <w:t xml:space="preserve">Covered in Module 21. A four-level visual notation for software architecture: Context, Container, Component, Code. Lightweight alternative to ArchiMate (Module 17) for software-architecture work within delivery teams. Free; tool-supported (Structurizr, PlantUML, Mermaid); easy to learn (a competent developer can learn it in an hour).</w:t>
      </w:r>
    </w:p>
    <w:p>
      <w:pPr>
        <w:spacing w:after="120" w:line="300"/>
        <w:jc w:val="both"/>
      </w:pPr>
      <w:r>
        <w:t xml:space="preserve">When to use C4 instead of full TOGAF visual notation:</w:t>
      </w:r>
    </w:p>
    <w:p>
      <w:pPr>
        <w:pStyle w:val="ListParagraph"/>
        <w:numPr>
          <w:ilvl w:val="0"/>
          <w:numId w:val="2"/>
        </w:numPr>
        <w:spacing w:after="80" w:line="280"/>
      </w:pPr>
      <w:r>
        <w:t xml:space="preserve">Software architecture documentation within a single team or system.</w:t>
      </w:r>
    </w:p>
    <w:p>
      <w:pPr>
        <w:pStyle w:val="ListParagraph"/>
        <w:numPr>
          <w:ilvl w:val="0"/>
          <w:numId w:val="2"/>
        </w:numPr>
        <w:spacing w:after="80" w:line="280"/>
      </w:pPr>
      <w:r>
        <w:t xml:space="preserve">Lightweight architecture diagrams that need to be sketched and revised, not heavily tooled.</w:t>
      </w:r>
    </w:p>
    <w:p>
      <w:pPr>
        <w:pStyle w:val="ListParagraph"/>
        <w:numPr>
          <w:ilvl w:val="0"/>
          <w:numId w:val="2"/>
        </w:numPr>
        <w:spacing w:after="80" w:line="280"/>
      </w:pPr>
      <w:r>
        <w:t xml:space="preserve">Combined with ADRs as the lightweight architecture documentation set.</w:t>
      </w:r>
    </w:p>
    <w:p>
      <w:pPr>
        <w:pStyle w:val="Heading2"/>
        <w:spacing w:after="160" w:before="280"/>
      </w:pPr>
      <w:r>
        <w:rPr>
          <w:b/>
          <w:bCs/>
          <w:color w:val="2E75B6"/>
        </w:rPr>
        <w:t xml:space="preserve">4.3 Architecture Decision Records (ADRs)</w:t>
      </w:r>
    </w:p>
    <w:p>
      <w:pPr>
        <w:spacing w:after="120" w:line="300"/>
        <w:jc w:val="both"/>
      </w:pPr>
      <w:r>
        <w:t xml:space="preserve">Covered in Modules 12, 21, 24. The lowest-overhead substantive architecture artefact: one document per significant decision, capturing context, the decision, and consequences. Originated by Michael Nygard (2011); now ubiquitous in modern architecture practice.</w:t>
      </w:r>
    </w:p>
    <w:p>
      <w:pPr>
        <w:spacing w:after="120" w:line="300"/>
        <w:jc w:val="both"/>
      </w:pPr>
      <w:r>
        <w:t xml:space="preserve">ADRs combine well with almost any other architectural approach. They are a complement to TOGAF (TOGAF engagements produce many ADRs) and an alternative to it (ADRs alone, without other TOGAF apparatus, can sustain useful architectural practice in small enterprises).</w:t>
      </w:r>
    </w:p>
    <w:p>
      <w:pPr>
        <w:pStyle w:val="Heading2"/>
        <w:spacing w:after="160" w:before="280"/>
      </w:pPr>
      <w:r>
        <w:rPr>
          <w:b/>
          <w:bCs/>
          <w:color w:val="2E75B6"/>
        </w:rPr>
        <w:t xml:space="preserve">4.4 SAFe Architecture Runway</w:t>
      </w:r>
    </w:p>
    <w:p>
      <w:pPr>
        <w:spacing w:after="120" w:line="300"/>
        <w:jc w:val="both"/>
      </w:pPr>
      <w:r>
        <w:t xml:space="preserve">Covered in Module 21. The SAFe concept of foundational technology infrastructure built ahead of business demand, with continuous architectural enabler work alongside feature delivery. The principal SAFe contribution to architecture vocabulary.</w:t>
      </w:r>
    </w:p>
    <w:p>
      <w:pPr>
        <w:spacing w:after="120" w:line="300"/>
        <w:jc w:val="both"/>
      </w:pPr>
      <w:r>
        <w:t xml:space="preserve">Runway thinking can be adopted independent of full SAFe. Even in non-SAFe contexts, the discipline of "build foundational tech ahead of business demand" produces healthier architecture than the alternative of building infrastructure reactively when each feature needs it.</w:t>
      </w:r>
    </w:p>
    <w:p>
      <w:pPr>
        <w:pStyle w:val="Heading2"/>
        <w:spacing w:after="160" w:before="280"/>
      </w:pPr>
      <w:r>
        <w:rPr>
          <w:b/>
          <w:bCs/>
          <w:color w:val="2E75B6"/>
        </w:rPr>
        <w:t xml:space="preserve">4.5 Team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Team Topologies: </w:t>
            </w:r>
            <w:r>
              <w:t xml:space="preserve">A framework articulated by Matthew Skelton and Manuel Pais (2019) describing four team types — Stream-Aligned, Platform, Enabling, Complicated-Subsystem — and three interaction modes — Collaboration, X-as-a-Service, Facilitating. Provides patterns for team structure and inter-team interactions that produce healthy software delivery flow. Widely adopted in modern technology organisations; complementary to TOGAF (organisational architecture vs information-system architecture).</w:t>
            </w:r>
          </w:p>
        </w:tc>
      </w:tr>
    </w:tbl>
    <w:p>
      <w:pPr>
        <w:pStyle w:val="Heading3"/>
        <w:spacing w:after="120" w:before="220"/>
      </w:pPr>
      <w:r>
        <w:rPr>
          <w:b/>
          <w:bCs/>
          <w:color w:val="404040"/>
        </w:rPr>
        <w:t xml:space="preserve">Why It Matters Architecturally</w:t>
      </w:r>
    </w:p>
    <w:p>
      <w:pPr>
        <w:spacing w:after="120" w:line="300"/>
        <w:jc w:val="both"/>
      </w:pPr>
      <w:r>
        <w:t xml:space="preserve">Conway's Law observes that systems mirror the communication structures of the organisations that build them. Team Topologies takes Conway's Law seriously and provides intentional patterns — design the team structure to produce the system structure you want. This is genuinely architectural work; it influences what gets built more than most technology choices do.</w:t>
      </w:r>
    </w:p>
    <w:p>
      <w:pPr>
        <w:pStyle w:val="Heading3"/>
        <w:spacing w:after="120" w:before="220"/>
      </w:pPr>
      <w:r>
        <w:rPr>
          <w:b/>
          <w:bCs/>
          <w:color w:val="404040"/>
        </w:rPr>
        <w:t xml:space="preserve">Where It Fits With TOGAF</w:t>
      </w:r>
    </w:p>
    <w:p>
      <w:pPr>
        <w:spacing w:after="120" w:line="300"/>
        <w:jc w:val="both"/>
      </w:pPr>
      <w:r>
        <w:t xml:space="preserve">TOGAF's Skills Framework (Module 14) addresses individual roles; Team Topologies addresses team-level structure. The two are complementary. Modern enterprise architecture practice typically uses both: TOGAF for the architectural artefacts and processes; Team Topologies for the organisational design that produces those artefacts.</w:t>
      </w:r>
    </w:p>
    <w:p>
      <w:pPr>
        <w:pStyle w:val="Heading2"/>
        <w:spacing w:after="160" w:before="280"/>
      </w:pPr>
      <w:r>
        <w:rPr>
          <w:b/>
          <w:bCs/>
          <w:color w:val="2E75B6"/>
        </w:rPr>
        <w:t xml:space="preserve">4.6 SABSA</w:t>
      </w:r>
    </w:p>
    <w:p>
      <w:pPr>
        <w:spacing w:after="120" w:line="300"/>
        <w:jc w:val="both"/>
      </w:pPr>
      <w:r>
        <w:t xml:space="preserve">Covered in Module 19. The Sherwood Applied Business Security Architecture — a security-architecture-specific framework with a six-layer model (Contextual, Conceptual, Logical, Physical, Component, Operational) and the Business Attribute Profile.</w:t>
      </w:r>
    </w:p>
    <w:p>
      <w:pPr>
        <w:spacing w:after="120" w:line="300"/>
        <w:jc w:val="both"/>
      </w:pPr>
      <w:r>
        <w:t xml:space="preserve">SABSA can be used as a complement to TOGAF (security depth alongside the broader TOGAF architecture method) or as an alternative for security-architecture-focused work where full TOGAF is not warranted. Many security architects hold both TOGAF and SABSA certifications.</w:t>
      </w:r>
    </w:p>
    <w:p>
      <w:pPr>
        <w:pStyle w:val="Heading2"/>
        <w:spacing w:after="160" w:before="280"/>
      </w:pPr>
      <w:r>
        <w:rPr>
          <w:b/>
          <w:bCs/>
          <w:color w:val="2E75B6"/>
        </w:rPr>
        <w:t xml:space="preserve">4.7 DAMA-DMBOK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DAMA-DMBOK (Data Management Body of Knowledge): </w:t>
            </w:r>
            <w:r>
              <w:t xml:space="preserve">The principal external reference for data management practice, maintained by DAMA International (Data Management Association). DMBOK 2 (current edition) covers eleven knowledge areas including data governance, data architecture, data modeling, data storage, data security, data integration, master and reference data management, data warehousing, business intelligence, metadata, and data quality. Widely used in data-management-heavy enterprises; complementary to TOGAF Information Architecture (Module 22).</w:t>
            </w:r>
          </w:p>
        </w:tc>
      </w:tr>
    </w:tbl>
    <w:p>
      <w:pPr>
        <w:spacing w:after="120" w:line="300"/>
        <w:jc w:val="both"/>
      </w:pPr>
      <w:r>
        <w:t xml:space="preserve">DAMA-DMBOK can be used:</w:t>
      </w:r>
    </w:p>
    <w:p>
      <w:pPr>
        <w:pStyle w:val="ListParagraph"/>
        <w:numPr>
          <w:ilvl w:val="0"/>
          <w:numId w:val="2"/>
        </w:numPr>
        <w:spacing w:after="80" w:line="280"/>
      </w:pPr>
      <w:r>
        <w:t xml:space="preserve">Alongside TOGAF — providing data-management depth that TOGAF Information Architecture treats more lightly.</w:t>
      </w:r>
    </w:p>
    <w:p>
      <w:pPr>
        <w:pStyle w:val="ListParagraph"/>
        <w:numPr>
          <w:ilvl w:val="0"/>
          <w:numId w:val="2"/>
        </w:numPr>
        <w:spacing w:after="80" w:line="280"/>
      </w:pPr>
      <w:r>
        <w:t xml:space="preserve">Instead of TOGAF — for enterprises where data is the dominant architectural concern (data-centric businesses, regulated data-heavy industries).</w:t>
      </w:r>
    </w:p>
    <w:p>
      <w:pPr>
        <w:pStyle w:val="ListParagraph"/>
        <w:numPr>
          <w:ilvl w:val="0"/>
          <w:numId w:val="2"/>
        </w:numPr>
        <w:spacing w:after="80" w:line="280"/>
      </w:pPr>
      <w:r>
        <w:t xml:space="preserve">Many data architects hold the DAMA Certified Data Management Professional (CDMP) certification alongside or instead of TOGAF Practitioner.</w:t>
      </w:r>
    </w:p>
    <w:p>
      <w:pPr>
        <w:pStyle w:val="Heading2"/>
        <w:spacing w:after="160" w:before="280"/>
      </w:pPr>
      <w:r>
        <w:rPr>
          <w:b/>
          <w:bCs/>
          <w:color w:val="2E75B6"/>
        </w:rPr>
        <w:t xml:space="preserve">4.8 The Six Lightweight Alternatives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900"/>
        <w:gridCol w:w="2560"/>
      </w:tblGrid>
      <w:tr>
        <w:trPr>
          <w:tblHeader/>
        </w:trPr>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Alternative</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Provides</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Maintained By</w:t>
            </w:r>
          </w:p>
        </w:tc>
        <w:tc>
          <w:tcPr>
            <w:tcW w:type="dxa" w:w="25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Best For</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C4 Model</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Visual notation for software architecture (4 levels)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Simon Brown</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Software architecture diagrams within teams / systems</w:t>
            </w:r>
          </w:p>
        </w:tc>
      </w:tr>
      <w:tr>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ADRs</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Decision records</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Originated by Michael Nygard; community</w:t>
            </w:r>
          </w:p>
        </w:tc>
        <w:tc>
          <w:tcPr>
            <w:tcW w:type="dxa" w:w="2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Capturing decisions with rationale; works alongside anything</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SAFe Architecture Runway</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Foundational tech ahead of demand pattern</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Scaled Agile Inc.</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SAFe contexts; runway-thinking generalisable</w:t>
            </w:r>
          </w:p>
        </w:tc>
      </w:tr>
      <w:tr>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Team Topologies</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Team types and interaction modes</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Skelton &amp; Pais</w:t>
            </w:r>
          </w:p>
        </w:tc>
        <w:tc>
          <w:tcPr>
            <w:tcW w:type="dxa" w:w="2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Organisational architecture; team-system mapping</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SABSA</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Security architecture depth</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SABSA Institute</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Security-architecture-focused work; depth complement to TOGAF</w:t>
            </w:r>
          </w:p>
        </w:tc>
      </w:tr>
      <w:tr>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DAMA-DMBOK</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management body of knowledge</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DAMA International</w:t>
            </w:r>
          </w:p>
        </w:tc>
        <w:tc>
          <w:tcPr>
            <w:tcW w:type="dxa" w:w="2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Data-management-heavy work; CDMP certification</w:t>
            </w:r>
          </w:p>
        </w:tc>
      </w:tr>
    </w:tbl>
    <w:p>
      <w:r>
        <w:br w:type="page"/>
      </w:r>
    </w:p>
    <w:p>
      <w:pPr>
        <w:pStyle w:val="Heading1"/>
        <w:spacing w:after="200" w:before="360"/>
      </w:pPr>
      <w:r>
        <w:rPr>
          <w:b/>
          <w:bCs/>
          <w:color w:val="1F4E78"/>
        </w:rPr>
        <w:t xml:space="preserve">5. The Pragmatic Architecture Manifesto</w:t>
      </w:r>
    </w:p>
    <w:p>
      <w:pPr>
        <w:spacing w:after="120" w:line="300"/>
        <w:jc w:val="both"/>
      </w:pPr>
      <w:r>
        <w:t xml:space="preserve">A loose set of principles has emerged in modern practitioner literature, conference talks, and architecture community discussions about how to do architecture pragmatically rather than ceremonially. Not a single published document but a recognisable consensus, the "Pragmatic Architecture Manifesto" articulates the right-sized approach that experienced practitioners default to. Three principles recur most consistently.</w:t>
      </w:r>
    </w:p>
    <w:p>
      <w:pPr>
        <w:pStyle w:val="Heading2"/>
        <w:spacing w:after="160" w:before="280"/>
      </w:pPr>
      <w:r>
        <w:rPr>
          <w:b/>
          <w:bCs/>
          <w:color w:val="2E75B6"/>
        </w:rPr>
        <w:t xml:space="preserve">5.1 The Three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Pragmatic Architecture Manifesto — Three Principles: </w:t>
            </w:r>
            <w:r>
              <w:t xml:space="preserve">(1) Right-size — match the architectural work to the engagement's actual scale and risk; do not apply the same ceremony to every engagement. (2) Conversation &gt; Document — the goal is shared understanding among the people who will build and operate the architecture; documents are a tool for that, not the goal. (3) Principles &gt; Processes — durable principles guide judgement across novel situations; processes optimise for known patterns and fail when situations are novel.</w:t>
            </w:r>
          </w:p>
        </w:tc>
      </w:tr>
    </w:tbl>
    <w:p>
      <w:pPr>
        <w:pStyle w:val="Heading2"/>
        <w:spacing w:after="160" w:before="280"/>
      </w:pPr>
      <w:r>
        <w:rPr>
          <w:b/>
          <w:bCs/>
          <w:color w:val="2E75B6"/>
        </w:rPr>
        <w:t xml:space="preserve">5.2 Principle 1: Right-Size</w:t>
      </w:r>
    </w:p>
    <w:p>
      <w:pPr>
        <w:spacing w:after="120" w:line="300"/>
        <w:jc w:val="both"/>
      </w:pPr>
      <w:r>
        <w:t xml:space="preserve">Match the architectural work to the engagement's actual scale and risk. A startup architecture deserves three principles and a few ADRs; a multi-billion-pound transformation deserves the full TOGAF apparatus. Applying the same architectural ceremony regardless of context produces overwork on small engagements and underwork on large ones.</w:t>
      </w:r>
    </w:p>
    <w:p>
      <w:pPr>
        <w:spacing w:after="120" w:line="300"/>
        <w:jc w:val="both"/>
      </w:pPr>
      <w:r>
        <w:t xml:space="preserve">Right-sizing in practice:</w:t>
      </w:r>
    </w:p>
    <w:p>
      <w:pPr>
        <w:pStyle w:val="ListParagraph"/>
        <w:numPr>
          <w:ilvl w:val="0"/>
          <w:numId w:val="2"/>
        </w:numPr>
        <w:spacing w:after="80" w:line="280"/>
      </w:pPr>
      <w:r>
        <w:t xml:space="preserve">Calibrate Phase A intensity to engagement scope. A two-month tactical engagement gets a one-page Vision; a three-year transformation gets a fifteen-page Vision.</w:t>
      </w:r>
    </w:p>
    <w:p>
      <w:pPr>
        <w:pStyle w:val="ListParagraph"/>
        <w:numPr>
          <w:ilvl w:val="0"/>
          <w:numId w:val="2"/>
        </w:numPr>
        <w:spacing w:after="80" w:line="280"/>
      </w:pPr>
      <w:r>
        <w:t xml:space="preserve">Calibrate artefact production to genuine need. ADRs scale to hundreds in major programmes; in small engagements they may number in single digits.</w:t>
      </w:r>
    </w:p>
    <w:p>
      <w:pPr>
        <w:pStyle w:val="ListParagraph"/>
        <w:numPr>
          <w:ilvl w:val="0"/>
          <w:numId w:val="2"/>
        </w:numPr>
        <w:spacing w:after="80" w:line="280"/>
      </w:pPr>
      <w:r>
        <w:t xml:space="preserve">Calibrate review intensity. Major decisions get formal Architecture Board review; routine decisions get async PR review of ADRs (Module 21).</w:t>
      </w:r>
    </w:p>
    <w:p>
      <w:pPr>
        <w:pStyle w:val="ListParagraph"/>
        <w:numPr>
          <w:ilvl w:val="0"/>
          <w:numId w:val="2"/>
        </w:numPr>
        <w:spacing w:after="80" w:line="280"/>
      </w:pPr>
      <w:r>
        <w:t xml:space="preserve">Periodically check that the architectural overhead is producing value. If the engagement could be delivering value with less architectural ceremony, scale back.</w:t>
      </w:r>
    </w:p>
    <w:p>
      <w:pPr>
        <w:pStyle w:val="Heading2"/>
        <w:spacing w:after="160" w:before="280"/>
      </w:pPr>
      <w:r>
        <w:rPr>
          <w:b/>
          <w:bCs/>
          <w:color w:val="2E75B6"/>
        </w:rPr>
        <w:t xml:space="preserve">5.3 Principle 2: Conversation &gt; Document</w:t>
      </w:r>
    </w:p>
    <w:p>
      <w:pPr>
        <w:spacing w:after="120" w:line="300"/>
        <w:jc w:val="both"/>
      </w:pPr>
      <w:r>
        <w:t xml:space="preserve">The purpose of architectural artefacts is to produce shared understanding among the people who will build, operate, and evolve the architecture. Documents are tools toward that purpose. When documents are produced as ends in themselves — "we have an Architecture Definition Document" — without producing shared understanding, the architectural work has failed regardless of how complete the documents are.</w:t>
      </w:r>
    </w:p>
    <w:p>
      <w:pPr>
        <w:spacing w:after="120" w:line="300"/>
        <w:jc w:val="both"/>
      </w:pPr>
      <w:r>
        <w:t xml:space="preserve">Conversation &gt; Document in practice:</w:t>
      </w:r>
    </w:p>
    <w:p>
      <w:pPr>
        <w:pStyle w:val="ListParagraph"/>
        <w:numPr>
          <w:ilvl w:val="0"/>
          <w:numId w:val="2"/>
        </w:numPr>
        <w:spacing w:after="80" w:line="280"/>
      </w:pPr>
      <w:r>
        <w:t xml:space="preserve">Use working sessions to develop architecture, not just review meetings to approve already-developed architecture.</w:t>
      </w:r>
    </w:p>
    <w:p>
      <w:pPr>
        <w:pStyle w:val="ListParagraph"/>
        <w:numPr>
          <w:ilvl w:val="0"/>
          <w:numId w:val="2"/>
        </w:numPr>
        <w:spacing w:after="80" w:line="280"/>
      </w:pPr>
      <w:r>
        <w:t xml:space="preserve">Produce diagrams and ADRs through conversation; the artefact captures what was agreed in the conversation.</w:t>
      </w:r>
    </w:p>
    <w:p>
      <w:pPr>
        <w:pStyle w:val="ListParagraph"/>
        <w:numPr>
          <w:ilvl w:val="0"/>
          <w:numId w:val="2"/>
        </w:numPr>
        <w:spacing w:after="80" w:line="280"/>
      </w:pPr>
      <w:r>
        <w:t xml:space="preserve">If a document is being produced that no one is reading, ask why — either it shouldn't be produced, or the conversation around it isn't happening.</w:t>
      </w:r>
    </w:p>
    <w:p>
      <w:pPr>
        <w:pStyle w:val="ListParagraph"/>
        <w:numPr>
          <w:ilvl w:val="0"/>
          <w:numId w:val="2"/>
        </w:numPr>
        <w:spacing w:after="80" w:line="280"/>
      </w:pPr>
      <w:r>
        <w:t xml:space="preserve">Embedded architects (Module 21) and Architecture Sync produce far more shared understanding than document distribution.</w:t>
      </w:r>
    </w:p>
    <w:p>
      <w:pPr>
        <w:pStyle w:val="Heading2"/>
        <w:spacing w:after="160" w:before="280"/>
      </w:pPr>
      <w:r>
        <w:rPr>
          <w:b/>
          <w:bCs/>
          <w:color w:val="2E75B6"/>
        </w:rPr>
        <w:t xml:space="preserve">5.4 Principle 3: Principles &gt; Processes</w:t>
      </w:r>
    </w:p>
    <w:p>
      <w:pPr>
        <w:spacing w:after="120" w:line="300"/>
        <w:jc w:val="both"/>
      </w:pPr>
      <w:r>
        <w:t xml:space="preserve">Processes work well for known, repeatable situations. Architecture engagements often face novel situations — new technologies, new business models, new regulatory regimes. Process-driven responses to novel situations either retreat to inappropriate analogies ("this is like X, so we'll do what X did") or grind to a halt waiting for the process to be updated for the new situation.</w:t>
      </w:r>
    </w:p>
    <w:p>
      <w:pPr>
        <w:spacing w:after="120" w:line="300"/>
        <w:jc w:val="both"/>
      </w:pPr>
      <w:r>
        <w:t xml:space="preserve">Principles work better in novel situations because they encode durable values rather than specific procedures. "Information is an Asset" applies to a regulatory regime that didn't exist when the principle was written; a process for handling 2010-era regulatory regimes does not.</w:t>
      </w:r>
    </w:p>
    <w:p>
      <w:pPr>
        <w:spacing w:after="120" w:line="300"/>
        <w:jc w:val="both"/>
      </w:pPr>
      <w:r>
        <w:t xml:space="preserve">Principles &gt; Processes in practice:</w:t>
      </w:r>
    </w:p>
    <w:p>
      <w:pPr>
        <w:pStyle w:val="ListParagraph"/>
        <w:numPr>
          <w:ilvl w:val="0"/>
          <w:numId w:val="2"/>
        </w:numPr>
        <w:spacing w:after="80" w:line="280"/>
      </w:pPr>
      <w:r>
        <w:t xml:space="preserve">Maintain a clear, well-articulated Principles Catalogue.</w:t>
      </w:r>
    </w:p>
    <w:p>
      <w:pPr>
        <w:pStyle w:val="ListParagraph"/>
        <w:numPr>
          <w:ilvl w:val="0"/>
          <w:numId w:val="2"/>
        </w:numPr>
        <w:spacing w:after="80" w:line="280"/>
      </w:pPr>
      <w:r>
        <w:t xml:space="preserve">Use principles as the primary input to novel architectural decisions.</w:t>
      </w:r>
    </w:p>
    <w:p>
      <w:pPr>
        <w:pStyle w:val="ListParagraph"/>
        <w:numPr>
          <w:ilvl w:val="0"/>
          <w:numId w:val="2"/>
        </w:numPr>
        <w:spacing w:after="80" w:line="280"/>
      </w:pPr>
      <w:r>
        <w:t xml:space="preserve">Use processes for routine, well-understood architectural work where they add efficiency.</w:t>
      </w:r>
    </w:p>
    <w:p>
      <w:pPr>
        <w:pStyle w:val="ListParagraph"/>
        <w:numPr>
          <w:ilvl w:val="0"/>
          <w:numId w:val="2"/>
        </w:numPr>
        <w:spacing w:after="80" w:line="280"/>
      </w:pPr>
      <w:r>
        <w:t xml:space="preserve">When process and principles conflict, principles win — the process needs updating, not the principle.</w:t>
      </w:r>
    </w:p>
    <w:p>
      <w:pPr>
        <w:pStyle w:val="Heading2"/>
        <w:spacing w:after="160" w:before="280"/>
      </w:pPr>
      <w:r>
        <w:rPr>
          <w:b/>
          <w:bCs/>
          <w:color w:val="2E75B6"/>
        </w:rPr>
        <w:t xml:space="preserve">5.5 The Three Principles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Principle</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Means</w:t>
            </w:r>
          </w:p>
        </w:tc>
        <w:tc>
          <w:tcPr>
            <w:tcW w:type="dxa" w:w="3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Failure Mode It Prevents</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Right-size</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Match architectural work to engagement scale and risk</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Uniform ceremony — overwork on small, underwork on large</w:t>
            </w:r>
          </w:p>
        </w:tc>
      </w:tr>
      <w:tr>
        <w:tc>
          <w:tcPr>
            <w:tcW w:type="dxa" w:w="2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Conversation &gt; Document</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Shared understanding is the goal; documents are tools</w:t>
            </w:r>
          </w:p>
        </w:tc>
        <w:tc>
          <w:tcPr>
            <w:tcW w:type="dxa" w:w="3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Documents produced as ends in themselves; no shared understanding</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Principles &gt; Processes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Durable principles guide judgement; processes optimise routine</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Process-driven responses to novel situations failing</w:t>
            </w:r>
          </w:p>
        </w:tc>
      </w:tr>
    </w:tbl>
    <w:p>
      <w:r>
        <w:br w:type="page"/>
      </w:r>
    </w:p>
    <w:p>
      <w:pPr>
        <w:pStyle w:val="Heading1"/>
        <w:spacing w:after="200" w:before="360"/>
      </w:pPr>
      <w:r>
        <w:rPr>
          <w:b/>
          <w:bCs/>
          <w:color w:val="1F4E78"/>
        </w:rPr>
        <w:t xml:space="preserve">6. Senior Architect Mental Models</w:t>
      </w:r>
    </w:p>
    <w:p>
      <w:pPr>
        <w:spacing w:after="120" w:line="300"/>
        <w:jc w:val="both"/>
      </w:pPr>
      <w:r>
        <w:t xml:space="preserve">Beyond specific techniques, senior architects develop mental models that shape how they engage with TOGAF and frameworks generally. Several recur across mature practitioner literature; the most important is captured in a single phrase: TOGAF is a map, not the territory.</w:t>
      </w:r>
    </w:p>
    <w:p>
      <w:pPr>
        <w:pStyle w:val="Heading2"/>
        <w:spacing w:after="160" w:before="280"/>
      </w:pPr>
      <w:r>
        <w:rPr>
          <w:b/>
          <w:bCs/>
          <w:color w:val="2E75B6"/>
        </w:rPr>
        <w:t xml:space="preserve">6.1 TOGAF Is a Map, Not the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Map vs Territory (Senior Architect Mental Model): </w:t>
            </w:r>
            <w:r>
              <w:t xml:space="preserve">Borrowing from Korzybski's general semantics: 'the map is not the territory'. TOGAF describes architecture work — it is a map of the territory of architectural practice, not the practice itself. Mistaking the map for the territory produces ceremonial use of TOGAF in which following the framework's procedures becomes the goal, instead of producing good architecture (which is what the framework was designed to support). Senior architects use TOGAF as one map among others; the territory remains the substantive architectural work.</w:t>
            </w:r>
          </w:p>
        </w:tc>
      </w:tr>
    </w:tbl>
    <w:p>
      <w:pPr>
        <w:pStyle w:val="Heading2"/>
        <w:spacing w:after="160" w:before="280"/>
      </w:pPr>
      <w:r>
        <w:rPr>
          <w:b/>
          <w:bCs/>
          <w:color w:val="2E75B6"/>
        </w:rPr>
        <w:t xml:space="preserve">6.2 What This Mental Model Implies</w:t>
      </w:r>
    </w:p>
    <w:p>
      <w:pPr>
        <w:spacing w:after="120" w:line="300"/>
        <w:jc w:val="both"/>
      </w:pPr>
      <w:r>
        <w:t xml:space="preserve">Several practical consequences flow from holding TOGAF as map rather than territory:</w:t>
      </w:r>
    </w:p>
    <w:p>
      <w:pPr>
        <w:pStyle w:val="ListParagraph"/>
        <w:numPr>
          <w:ilvl w:val="0"/>
          <w:numId w:val="3"/>
        </w:numPr>
        <w:spacing w:after="80" w:line="280"/>
      </w:pPr>
      <w:r>
        <w:t xml:space="preserve">TOGAF can be wrong about specific situations. Real-world contexts can have features that the framework's general structure handles poorly; following the framework rigidly in those contexts produces poor outcomes. The senior architect recognises the mismatch and adapts.</w:t>
      </w:r>
    </w:p>
    <w:p>
      <w:pPr>
        <w:pStyle w:val="ListParagraph"/>
        <w:numPr>
          <w:ilvl w:val="0"/>
          <w:numId w:val="3"/>
        </w:numPr>
        <w:spacing w:after="80" w:line="280"/>
      </w:pPr>
      <w:r>
        <w:t xml:space="preserve">Multiple maps coexist. TOGAF is one map; SABSA is another; DAMA-DMBOK is another; Team Topologies is another. Each illuminates parts of the territory; none captures all of it. Senior architects hold multiple maps and switch between them as the situation requires.</w:t>
      </w:r>
    </w:p>
    <w:p>
      <w:pPr>
        <w:pStyle w:val="ListParagraph"/>
        <w:numPr>
          <w:ilvl w:val="0"/>
          <w:numId w:val="3"/>
        </w:numPr>
        <w:spacing w:after="80" w:line="280"/>
      </w:pPr>
      <w:r>
        <w:t xml:space="preserve">The territory changes faster than the map. New technologies, new business models, new regulatory regimes appear continuously. The map updates slowly. The senior architect navigates the current territory using maps that lag, supplementing them with current information from other sources.</w:t>
      </w:r>
    </w:p>
    <w:p>
      <w:pPr>
        <w:pStyle w:val="ListParagraph"/>
        <w:numPr>
          <w:ilvl w:val="0"/>
          <w:numId w:val="3"/>
        </w:numPr>
        <w:spacing w:after="80" w:line="280"/>
      </w:pPr>
      <w:r>
        <w:t xml:space="preserve">Outcomes matter, not framework compliance. The test of architectural work is whether it produces good outcomes (working systems, satisfied stakeholders, sustainable technical practice), not whether it followed framework procedures correctly. A perfectly TOGAF-compliant engagement that delivers a poor architecture has failed; a heretical engagement that delivers excellent architecture has succeeded.</w:t>
      </w:r>
    </w:p>
    <w:p>
      <w:pPr>
        <w:pStyle w:val="Heading2"/>
        <w:spacing w:after="160" w:before="280"/>
      </w:pPr>
      <w:r>
        <w:rPr>
          <w:b/>
          <w:bCs/>
          <w:color w:val="2E75B6"/>
        </w:rPr>
        <w:t xml:space="preserve">6.3 Other Senior Architect Mental Models</w:t>
      </w:r>
    </w:p>
    <w:p>
      <w:pPr>
        <w:pStyle w:val="Heading3"/>
        <w:spacing w:after="120" w:before="220"/>
      </w:pPr>
      <w:r>
        <w:rPr>
          <w:b/>
          <w:bCs/>
          <w:color w:val="404040"/>
        </w:rPr>
        <w:t xml:space="preserve">Architecture Is Decision-Making Under Uncertainty</w:t>
      </w:r>
    </w:p>
    <w:p>
      <w:pPr>
        <w:spacing w:after="120" w:line="300"/>
        <w:jc w:val="both"/>
      </w:pPr>
      <w:r>
        <w:t xml:space="preserve">Architecture is not the production of artefacts; it is the production of decisions, often under substantial uncertainty about future requirements, future technology, and future organisational context. The artefacts capture the decisions; the decisions are what matter. Senior architects optimise for decision quality rather than artefact completeness.</w:t>
      </w:r>
    </w:p>
    <w:p>
      <w:pPr>
        <w:pStyle w:val="Heading3"/>
        <w:spacing w:after="120" w:before="220"/>
      </w:pPr>
      <w:r>
        <w:rPr>
          <w:b/>
          <w:bCs/>
          <w:color w:val="404040"/>
        </w:rPr>
        <w:t xml:space="preserve">Architectural Debt Compounds</w:t>
      </w:r>
    </w:p>
    <w:p>
      <w:pPr>
        <w:spacing w:after="120" w:line="300"/>
        <w:jc w:val="both"/>
      </w:pPr>
      <w:r>
        <w:t xml:space="preserve">Bad architectural decisions, like bad financial decisions, compound interest. A poor integration pattern adopted in year one becomes a major remediation programme in year five. The senior architect detects the early signs and intervenes before the debt compounds beyond manageable size — even when the immediate cost looks unjustifiable in isolation.</w:t>
      </w:r>
    </w:p>
    <w:p>
      <w:pPr>
        <w:pStyle w:val="Heading3"/>
        <w:spacing w:after="120" w:before="220"/>
      </w:pPr>
      <w:r>
        <w:rPr>
          <w:b/>
          <w:bCs/>
          <w:color w:val="404040"/>
        </w:rPr>
        <w:t xml:space="preserve">Boring Choices Often Win</w:t>
      </w:r>
    </w:p>
    <w:p>
      <w:pPr>
        <w:spacing w:after="120" w:line="300"/>
        <w:jc w:val="both"/>
      </w:pPr>
      <w:r>
        <w:t xml:space="preserve">Modern technology offers continuous novelty: new languages, new frameworks, new platforms. Most enterprises do not benefit from pursuing novelty; they benefit from boring, proven choices that work reliably and that the team can hire for. Senior architects bias toward the boring choice unless there is strong reason to deviate.</w:t>
      </w:r>
    </w:p>
    <w:p>
      <w:pPr>
        <w:pStyle w:val="Heading3"/>
        <w:spacing w:after="120" w:before="220"/>
      </w:pPr>
      <w:r>
        <w:rPr>
          <w:b/>
          <w:bCs/>
          <w:color w:val="404040"/>
        </w:rPr>
        <w:t xml:space="preserve">The Best Architecture Documentation Is Code That Speaks for Itself</w:t>
      </w:r>
    </w:p>
    <w:p>
      <w:pPr>
        <w:spacing w:after="120" w:line="300"/>
        <w:jc w:val="both"/>
      </w:pPr>
      <w:r>
        <w:t xml:space="preserve">No amount of architectural documentation compensates for code that is hard to understand. Conversely, code that is well-organised and well-named carries substantial architectural information without needing extensive separate documentation. Senior architects work toward systems where the architecture is legible from the code rather than requiring documents to compensate.</w:t>
      </w:r>
    </w:p>
    <w:p>
      <w:pPr>
        <w:pStyle w:val="Heading2"/>
        <w:spacing w:after="160" w:before="280"/>
      </w:pPr>
      <w:r>
        <w:rPr>
          <w:b/>
          <w:bCs/>
          <w:color w:val="2E75B6"/>
        </w:rPr>
        <w:t xml:space="preserve">6.4 The Mental Models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Mental Model</w:t>
            </w:r>
          </w:p>
        </w:tc>
        <w:tc>
          <w:tcPr>
            <w:tcW w:type="dxa" w:w="5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Implication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TOGAF is a map, not the territory</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Frameworks describe architecture; they are not architecture itself. Adapt to context; outcomes matter.</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Multiple maps coexist</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Hold multiple frameworks; switch between them based on the situation's primary axis.</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territory changes faster than the map</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Supplement frameworks with current information; don't expect the framework to be current on everything.</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Outcomes matter, not framework compliance</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is judged by results; ceremony without results is failure.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is decision-making under uncertainty</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Optimise for decision quality, not artefact completeness.</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Architectural debt compounds</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Intervene early; the cost of remediation grows non-linearly.</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Boring choices often win</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Novelty has costs; bias toward proven, hireable, reliable technology.</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Code that speaks for itself is the best documentation</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Architectural legibility starts with the system itself; documents compensate when it is missing.</w:t>
            </w:r>
          </w:p>
        </w:tc>
      </w:tr>
    </w:tbl>
    <w:p>
      <w:r>
        <w:br w:type="page"/>
      </w:r>
    </w:p>
    <w:p>
      <w:pPr>
        <w:pStyle w:val="Heading1"/>
        <w:spacing w:after="200" w:before="360"/>
      </w:pPr>
      <w:r>
        <w:rPr>
          <w:b/>
          <w:bCs/>
          <w:color w:val="1F4E78"/>
        </w:rPr>
        <w:t xml:space="preserve">7. When TOGAF Genuinely IS the Answer</w:t>
      </w:r>
    </w:p>
    <w:p>
      <w:pPr>
        <w:spacing w:after="120" w:line="300"/>
        <w:jc w:val="both"/>
      </w:pPr>
      <w:r>
        <w:t xml:space="preserve">Having spent six sections covering TOGAF's limitations, alternatives, and pragmatic moderation, this final section restores the balance. TOGAF genuinely is the right answer in many enterprise contexts. Recognising those contexts — and applying TOGAF in full when they apply — is as important as recognising the contexts where it is overkill.</w:t>
      </w:r>
    </w:p>
    <w:p>
      <w:pPr>
        <w:pStyle w:val="Heading2"/>
        <w:spacing w:after="160" w:before="280"/>
      </w:pPr>
      <w:r>
        <w:rPr>
          <w:b/>
          <w:bCs/>
          <w:color w:val="2E75B6"/>
        </w:rPr>
        <w:t xml:space="preserve">7.1 Four Contexts Where Full TOGAF Is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When TOGAF Genuinely IS Appropriate: </w:t>
            </w:r>
            <w:r>
              <w:t xml:space="preserve">Four characteristics, typically in combination, indicate that full TOGAF use is appropriate: (1) Large IT scale — typically 500+ IT staff; (2) Regulated industry — sector-specific regulation requires demonstrable architectural discipline; (3) Multi-year transformation programmes — substantial scope, $10M+ scale, multiple phases over years; (4) Executive mandate requiring a recognised standard — auditors, regulators, or executive committees specifically require TOGAF compliance.</w:t>
            </w:r>
          </w:p>
        </w:tc>
      </w:tr>
    </w:tbl>
    <w:p>
      <w:pPr>
        <w:pStyle w:val="Heading2"/>
        <w:spacing w:after="160" w:before="280"/>
      </w:pPr>
      <w:r>
        <w:rPr>
          <w:b/>
          <w:bCs/>
          <w:color w:val="2E75B6"/>
        </w:rPr>
        <w:t xml:space="preserve">7.2 Context 1: Large IT Scale (500+ IT Staff)</w:t>
      </w:r>
    </w:p>
    <w:p>
      <w:pPr>
        <w:spacing w:after="120" w:line="300"/>
        <w:jc w:val="both"/>
      </w:pPr>
      <w:r>
        <w:t xml:space="preserve">Enterprises with substantial IT functions — typically 500+ IT staff and increasingly definitively at 1000+ — face cross-cutting architectural concerns that cannot be coordinated through informal practice. Hundreds of teams cannot agree on integration patterns, technology standards, security models, and identity infrastructure through conversation alone. Some structured framework is required; TOGAF is the most established and most likely to be recognised by the enterprise's various stakeholders.</w:t>
      </w:r>
    </w:p>
    <w:p>
      <w:pPr>
        <w:spacing w:after="120" w:line="300"/>
        <w:jc w:val="both"/>
      </w:pPr>
      <w:r>
        <w:t xml:space="preserve">At this scale, full TOGAF's apparatus — Architecture Board, ADM engagements, Compliance Reviews, Architecture Repository, comprehensive Principles Catalogue — produces value commensurate with its overhead. The alternative is not "lighter architecture"; it is architectural drift across hundreds of teams that eventually surfaces as expensive remediation.</w:t>
      </w:r>
    </w:p>
    <w:p>
      <w:pPr>
        <w:pStyle w:val="Heading2"/>
        <w:spacing w:after="160" w:before="280"/>
      </w:pPr>
      <w:r>
        <w:rPr>
          <w:b/>
          <w:bCs/>
          <w:color w:val="2E75B6"/>
        </w:rPr>
        <w:t xml:space="preserve">7.3 Context 2: Regulated Industries</w:t>
      </w:r>
    </w:p>
    <w:p>
      <w:pPr>
        <w:spacing w:after="120" w:line="300"/>
        <w:jc w:val="both"/>
      </w:pPr>
      <w:r>
        <w:t xml:space="preserve">Banking, insurance, healthcare, energy, defence, government, telecommunications — sectors where regulation explicitly addresses IT and architectural practice — typically require demonstrable architectural discipline. Auditors and regulators ask: "how do you ensure architectural consistency? How are decisions documented? Who approves significant changes? How do you demonstrate compliance with sector-specific requirements?" TOGAF's apparatus is built to answer these questions.</w:t>
      </w:r>
    </w:p>
    <w:p>
      <w:pPr>
        <w:spacing w:after="120" w:line="300"/>
        <w:jc w:val="both"/>
      </w:pPr>
      <w:r>
        <w:t xml:space="preserve">In regulated sectors, the cost of TOGAF is substantially offset by the cost of regulatory exposure that less-formal practice would create. A bank without a documented architectural governance process is not just architecturally inferior — it is non-compliant with regulatory expectations and potentially exposed to enforcement action. TOGAF's overhead becomes part of the regulatory baseline.</w:t>
      </w:r>
    </w:p>
    <w:p>
      <w:pPr>
        <w:pStyle w:val="Heading2"/>
        <w:spacing w:after="160" w:before="280"/>
      </w:pPr>
      <w:r>
        <w:rPr>
          <w:b/>
          <w:bCs/>
          <w:color w:val="2E75B6"/>
        </w:rPr>
        <w:t xml:space="preserve">7.4 Context 3: Multi-Year Transformation Programmes ($10M+)</w:t>
      </w:r>
    </w:p>
    <w:p>
      <w:pPr>
        <w:spacing w:after="120" w:line="300"/>
        <w:jc w:val="both"/>
      </w:pPr>
      <w:r>
        <w:t xml:space="preserve">Substantial transformation programmes — multi-year scope, $10M+ budget, multiple phases, multiple business units — require architectural coordination across years and across many teams. The Architecture Roadmap, Transition Architectures, Capability Increments, and ADR archive that TOGAF produces are exactly the artefacts these programmes need to coordinate work over their long horizons.</w:t>
      </w:r>
    </w:p>
    <w:p>
      <w:pPr>
        <w:spacing w:after="120" w:line="300"/>
        <w:jc w:val="both"/>
      </w:pPr>
      <w:r>
        <w:t xml:space="preserve">Without TOGAF (or equivalent structured framework), substantial transformation programmes typically suffer from architectural drift — early decisions are forgotten or revisited; later phases discover inconsistencies with earlier; the programme spends substantial energy on architectural rework that better up-front coordination would have prevented. The cost of TOGAF on a $10M programme is small compared to the cost of architectural rework that lacks of it produces.</w:t>
      </w:r>
    </w:p>
    <w:p>
      <w:pPr>
        <w:pStyle w:val="Heading2"/>
        <w:spacing w:after="160" w:before="280"/>
      </w:pPr>
      <w:r>
        <w:rPr>
          <w:b/>
          <w:bCs/>
          <w:color w:val="2E75B6"/>
        </w:rPr>
        <w:t xml:space="preserve">7.5 Context 4: Executive Mandate Requiring a Recognised Standard</w:t>
      </w:r>
    </w:p>
    <w:p>
      <w:pPr>
        <w:spacing w:after="120" w:line="300"/>
        <w:jc w:val="both"/>
      </w:pPr>
      <w:r>
        <w:t xml:space="preserve">Sometimes the choice of TOGAF is not architectural but political: auditors, regulators, executive committees, or major customers explicitly require evidence of architectural practice grounded in a recognised standard. "We follow our own architecture practice" satisfies these demands less reliably than "we follow TOGAF, with appropriate tailoring documented in our practice guide". The recognisability of TOGAF is itself the value.</w:t>
      </w:r>
    </w:p>
    <w:p>
      <w:pPr>
        <w:spacing w:after="120" w:line="300"/>
        <w:jc w:val="both"/>
      </w:pPr>
      <w:r>
        <w:t xml:space="preserve">In these contexts, TOGAF's specific content matters less than its recognisability. An enterprise that adopts TOGAF for political reasons should still apply it well — the political value depreciates if the practice is hollow — but the choice of framework was made for reasons beyond pure architectural merit. Recognising this honestly distinguishes the mature practitioner from the framework purist.</w:t>
      </w:r>
    </w:p>
    <w:p>
      <w:pPr>
        <w:pStyle w:val="Heading2"/>
        <w:spacing w:after="160" w:before="280"/>
      </w:pPr>
      <w:r>
        <w:rPr>
          <w:b/>
          <w:bCs/>
          <w:color w:val="2E75B6"/>
        </w:rPr>
        <w:t xml:space="preserve">7.6 The Four Contexts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Context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Why TOGAF Fits</w:t>
            </w:r>
          </w:p>
        </w:tc>
        <w:tc>
          <w:tcPr>
            <w:tcW w:type="dxa" w:w="3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Threshold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Large IT scale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Cross-cutting coordination requires structured framework</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500+ IT staff (definitively at 1000+)</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Regulated industries</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Regulatory expectations of demonstrable architectural discipline</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Banking, insurance, healthcare, energy, defence, government, telco</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Multi-year transformation</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Long-horizon coordination across years and teams</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$10M+ scale, multi-year, multi-phase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Executive mandate</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Auditors, regulators, executives require recognised standard</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Specific stakeholder requirement for TOGAF or equivalent</w:t>
            </w:r>
          </w:p>
        </w:tc>
      </w:tr>
    </w:tbl>
    <w:p>
      <w:pPr>
        <w:pStyle w:val="Heading2"/>
        <w:spacing w:after="160" w:before="280"/>
      </w:pPr>
      <w:r>
        <w:rPr>
          <w:b/>
          <w:bCs/>
          <w:color w:val="2E75B6"/>
        </w:rPr>
        <w:t xml:space="preserve">7.7 Combining the Contexts</w:t>
      </w:r>
    </w:p>
    <w:p>
      <w:pPr>
        <w:spacing w:after="120" w:line="300"/>
        <w:jc w:val="both"/>
      </w:pPr>
      <w:r>
        <w:t xml:space="preserve">These four contexts often combine, multiplying the case for TOGAF. A large UK retail bank (large IT scale + regulated industry + multi-year transformation + executive mandate from PRA) is the canonical context where TOGAF in full applies — every characteristic argues for the framework, the cost is offset by the regulatory baseline, and the apparatus produces value commensurate with its overhead. By contrast, a 30-person SaaS startup running a single product on AWS has none of the four characteristics; full TOGAF would produce friction without compensating value, and the lightweight alternatives are appropriate.</w:t>
      </w:r>
    </w:p>
    <w:p>
      <w:pPr>
        <w:spacing w:after="120" w:line="300"/>
        <w:jc w:val="both"/>
      </w:pPr>
      <w:r>
        <w:t xml:space="preserve">Most real enterprises sit somewhere between the canonical extremes. Some characteristics apply, others do not. The judgement call — apply TOGAF, apply selectively, apply lightweight alternatives instead — rests on the specific combination of characteristics in the specific context. Senior architects make this call rather than applying a single answer to every situation.</w:t>
      </w:r>
    </w:p>
    <w:p>
      <w:r>
        <w:br w:type="page"/>
      </w:r>
    </w:p>
    <w:p>
      <w:pPr>
        <w:pStyle w:val="Heading1"/>
        <w:spacing w:after="200" w:before="360"/>
      </w:pPr>
      <w:r>
        <w:rPr>
          <w:b/>
          <w:bCs/>
          <w:color w:val="1F4E78"/>
        </w:rPr>
        <w:t xml:space="preserve">8. Summary and Review</w:t>
      </w:r>
    </w:p>
    <w:p>
      <w:pPr>
        <w:pStyle w:val="Heading2"/>
        <w:spacing w:after="160" w:before="280"/>
      </w:pPr>
      <w:r>
        <w:rPr>
          <w:b/>
          <w:bCs/>
          <w:color w:val="2E75B6"/>
        </w:rPr>
        <w:t xml:space="preserve">8.1 The Big Picture</w:t>
      </w:r>
    </w:p>
    <w:p>
      <w:pPr>
        <w:spacing w:after="120" w:line="300"/>
        <w:jc w:val="both"/>
      </w:pPr>
      <w:r>
        <w:t xml:space="preserve">Module 25 has covered TOGAF's limitations and the contexts where it is and is not appropriate. Six common criticisms — heavyweight, process-heavy, vague techniques, steep learning curve, slow technology adaptation, weak for small change — each capture real limitations balanced by real counterpoints. Five contexts where full TOGAF should not be used: startups, single-team products, pure-Agile contexts, emergencies, proof-of-concepts. Four selective TOGAF patterns offer middle ground: Phase A only, Architecture Board only, Principles only, ADRs only. Six lightweight alternatives — C4 Model, ADRs, SAFe Architecture Runway, Team Topologies, SABSA, DAMA-DMBOK — provide focused alternatives to specific TOGAF concerns. The Pragmatic Architecture Manifesto's three principles — right-size; conversation &gt; document; principles &gt; processes — articulate the mature operating mode. Senior architect mental models — particularly that TOGAF is a map, not the territory — frame the framework as a tool rather than an end in itself. Four contexts where full TOGAF genuinely IS appropriate: large IT scale (500+), regulated industries, multi-year transformation programmes ($10M+), executive mandate requiring a recognised standard. The mature practitioner recognises both sides — when TOGAF helps and when it doesn't — and adapts.</w:t>
      </w:r>
    </w:p>
    <w:p>
      <w:pPr>
        <w:pStyle w:val="Heading2"/>
        <w:spacing w:after="160" w:before="280"/>
      </w:pPr>
      <w:r>
        <w:rPr>
          <w:b/>
          <w:bCs/>
          <w:color w:val="2E75B6"/>
        </w:rPr>
        <w:t xml:space="preserve">8.2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Six criticisms of TOGAF</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Heavyweight; process-heavy; vague techniques; steep learning curve; slow technology adaptation; weak for small change.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When NOT to use full TOGAF</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Startups; single-team products; pure-Agile contexts; emergencies; proofs-of-concept.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Selective TOGAF patterns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A only; Architecture Board only; Principles only; ADRs only. Often combined.</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Lightweight alternatives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C4 Model; ADRs; SAFe Architecture Runway; Team Topologies; SABSA; DAMA-DMBOK.</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Pragmatic Architecture Manifesto</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Right-size; Conversation &gt; Document; Principles &gt; Processes.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TOGAF is a map, not the territory</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The framework describes architecture; it is not architecture itself. Outcomes matter, not framework compliance.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Multiple maps coexist</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Hold TOGAF, SABSA, DAMA-DMBOK, Team Topologies; switch based on the situation's primary axis.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When TOGAF IS appropriate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Large IT (500+); regulated industries; $10M+ transformation; executive mandate for recognised standard.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mature practitioner's stance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Apply TOGAF where it helps; selectively where appropriate; not at all where it would harm. Match the framework to the context.</w:t>
            </w:r>
          </w:p>
        </w:tc>
      </w:tr>
    </w:tbl>
    <w:p>
      <w:pPr>
        <w:pStyle w:val="Heading2"/>
        <w:spacing w:after="160" w:before="280"/>
      </w:pPr>
      <w:r>
        <w:rPr>
          <w:b/>
          <w:bCs/>
          <w:color w:val="2E75B6"/>
        </w:rPr>
        <w:t xml:space="preserve">8.3 Self-Test Questions</w:t>
      </w:r>
    </w:p>
    <w:p>
      <w:pPr>
        <w:pStyle w:val="ListParagraph"/>
        <w:numPr>
          <w:ilvl w:val="0"/>
          <w:numId w:val="3"/>
        </w:numPr>
        <w:spacing w:after="80" w:line="280"/>
      </w:pPr>
      <w:r>
        <w:t xml:space="preserve">Name the six common criticisms of TOGAF. For each, give one counterpoint and an honest assessment.</w:t>
      </w:r>
    </w:p>
    <w:p>
      <w:pPr>
        <w:pStyle w:val="ListParagraph"/>
        <w:numPr>
          <w:ilvl w:val="0"/>
          <w:numId w:val="3"/>
        </w:numPr>
        <w:spacing w:after="80" w:line="280"/>
      </w:pPr>
      <w:r>
        <w:t xml:space="preserve">Name the five contexts where full TOGAF should not be used and what should be done instead in each.</w:t>
      </w:r>
    </w:p>
    <w:p>
      <w:pPr>
        <w:pStyle w:val="ListParagraph"/>
        <w:numPr>
          <w:ilvl w:val="0"/>
          <w:numId w:val="3"/>
        </w:numPr>
        <w:spacing w:after="80" w:line="280"/>
      </w:pPr>
      <w:r>
        <w:t xml:space="preserve">Distinguish a pure-Agile context (where TOGAF should not be imposed) from architectural drift (where selective TOGAF would help). What is the diagnostic question?</w:t>
      </w:r>
    </w:p>
    <w:p>
      <w:pPr>
        <w:pStyle w:val="ListParagraph"/>
        <w:numPr>
          <w:ilvl w:val="0"/>
          <w:numId w:val="3"/>
        </w:numPr>
        <w:spacing w:after="80" w:line="280"/>
      </w:pPr>
      <w:r>
        <w:t xml:space="preserve">Name the four selective TOGAF patterns and what each includes and excludes.</w:t>
      </w:r>
    </w:p>
    <w:p>
      <w:pPr>
        <w:pStyle w:val="ListParagraph"/>
        <w:numPr>
          <w:ilvl w:val="0"/>
          <w:numId w:val="3"/>
        </w:numPr>
        <w:spacing w:after="80" w:line="280"/>
      </w:pPr>
      <w:r>
        <w:t xml:space="preserve">Give one combination of selective TOGAF patterns commonly used together in mid-sized technology-native enterprises.</w:t>
      </w:r>
    </w:p>
    <w:p>
      <w:pPr>
        <w:pStyle w:val="ListParagraph"/>
        <w:numPr>
          <w:ilvl w:val="0"/>
          <w:numId w:val="3"/>
        </w:numPr>
        <w:spacing w:after="80" w:line="280"/>
      </w:pPr>
      <w:r>
        <w:t xml:space="preserve">Name the six principal lightweight architectural alternatives and what each provides.</w:t>
      </w:r>
    </w:p>
    <w:p>
      <w:pPr>
        <w:pStyle w:val="ListParagraph"/>
        <w:numPr>
          <w:ilvl w:val="0"/>
          <w:numId w:val="3"/>
        </w:numPr>
        <w:spacing w:after="80" w:line="280"/>
      </w:pPr>
      <w:r>
        <w:t xml:space="preserve">State the three principles of the Pragmatic Architecture Manifesto.</w:t>
      </w:r>
    </w:p>
    <w:p>
      <w:pPr>
        <w:pStyle w:val="ListParagraph"/>
        <w:numPr>
          <w:ilvl w:val="0"/>
          <w:numId w:val="3"/>
        </w:numPr>
        <w:spacing w:after="80" w:line="280"/>
      </w:pPr>
      <w:r>
        <w:t xml:space="preserve">Explain the senior-architect mental model 'TOGAF is a map, not the territory'. What practical consequences does it imply?</w:t>
      </w:r>
    </w:p>
    <w:p>
      <w:pPr>
        <w:pStyle w:val="ListParagraph"/>
        <w:numPr>
          <w:ilvl w:val="0"/>
          <w:numId w:val="3"/>
        </w:numPr>
        <w:spacing w:after="80" w:line="280"/>
      </w:pPr>
      <w:r>
        <w:t xml:space="preserve">Name two further senior-architect mental models beyond map-vs-territory.</w:t>
      </w:r>
    </w:p>
    <w:p>
      <w:pPr>
        <w:pStyle w:val="ListParagraph"/>
        <w:numPr>
          <w:ilvl w:val="0"/>
          <w:numId w:val="3"/>
        </w:numPr>
        <w:spacing w:after="80" w:line="280"/>
      </w:pPr>
      <w:r>
        <w:t xml:space="preserve">Name the four contexts where full TOGAF genuinely is appropriate. Give the canonical example of an enterprise where all four apply.</w:t>
      </w:r>
    </w:p>
    <w:p>
      <w:pPr>
        <w:pStyle w:val="Heading2"/>
        <w:spacing w:after="160" w:before="280"/>
      </w:pPr>
      <w:r>
        <w:rPr>
          <w:b/>
          <w:bCs/>
          <w:color w:val="2E75B6"/>
        </w:rPr>
        <w:t xml:space="preserve">8.4 Closing Note</w:t>
      </w:r>
    </w:p>
    <w:p>
      <w:pPr>
        <w:spacing w:after="120" w:line="300"/>
        <w:jc w:val="both"/>
      </w:pPr>
      <w:r>
        <w:t xml:space="preserve">Module 25 has provided the mature practitioner's view of TOGAF — what it is good for, what it is not, and how to operate around its limitations. With this in hand, the rest of the study guide's content (Modules 1-24) takes its proper place: substantial, valuable architectural framework that should be applied where it helps and not where it doesn't. The remaining modules turn to certification preparation. After this module, your TOGAF practice should be stronger because it is more selective — using TOGAF as one tool among others, choosing well between it and lightweight alternatives, and avoiding the trap of applying full ceremony to every engagement regardless of context.</w:t>
      </w:r>
    </w:p>
    <w:p>
      <w:pPr>
        <w:spacing w:after="120" w:line="300"/>
        <w:jc w:val="both"/>
      </w:pPr>
      <w:r>
        <w:t xml:space="preserve">The mature practitioner's stance is captured in a single sentence: TOGAF works best when you know enough about it to leave parts of it out for good reason, and apply parts of it for good reason too. Module 25's content is what supports that judgement. With it, you become a TOGAF practitioner; without it, you become a TOGAF technician.</w:t>
      </w:r>
    </w:p>
    <w:p>
      <w:pPr>
        <w:spacing w:after="120"/>
      </w:pPr>
      <w:r>
        <w:t xml:space="preserve"/>
      </w:r>
    </w:p>
    <w:p>
      <w:pPr>
        <w:spacing w:before="400"/>
        <w:jc w:val="center"/>
      </w:pPr>
      <w:r>
        <w:rPr>
          <w:i/>
          <w:iCs/>
          <w:color w:val="808080"/>
        </w:rPr>
        <w:t xml:space="preserve">— End of Module 25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25: Limitations &amp; When NOT to Use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25 Study Guide</dc:title>
  <dc:creator>Claude</dc:creator>
  <dc:description>Comprehensive study guide for TOGAF limitations and when not to use it</dc:description>
  <cp:lastModifiedBy>Un-named</cp:lastModifiedBy>
  <cp:revision>1</cp:revision>
  <dcterms:created xsi:type="dcterms:W3CDTF">2026-05-03T01:31:20.225Z</dcterms:created>
  <dcterms:modified xsi:type="dcterms:W3CDTF">2026-05-03T01:31:20.240Z</dcterms:modified>
</cp:coreProperties>
</file>

<file path=docProps/custom.xml><?xml version="1.0" encoding="utf-8"?>
<Properties xmlns="http://schemas.openxmlformats.org/officeDocument/2006/custom-properties" xmlns:vt="http://schemas.openxmlformats.org/officeDocument/2006/docPropsVTypes"/>
</file>