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26: Adjacent Frameworks Integration</w:t>
      </w:r>
    </w:p>
    <w:p>
      <w:pPr>
        <w:spacing w:after="200"/>
        <w:jc w:val="center"/>
      </w:pPr>
      <w:r>
        <w:rPr>
          <w:color w:val="595959"/>
          <w:sz w:val="28"/>
          <w:szCs w:val="28"/>
        </w:rPr>
        <w:t xml:space="preserve">How TOGAF Combines With ArchiMate, Zachman, ITIL, COBIT, SAFe, SABSA, and More</w:t>
      </w:r>
    </w:p>
    <w:p>
      <w:pPr>
        <w:spacing w:after="200"/>
        <w:jc w:val="center"/>
      </w:pPr>
      <w:r>
        <w:rPr>
          <w:color w:val="808080"/>
          <w:sz w:val="22"/>
          <w:szCs w:val="22"/>
        </w:rPr>
        <w:t xml:space="preserve">TOGAF as the Organising Framework — Others Fill Specific Gaps</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26</w:t>
      </w:r>
    </w:p>
    <w:p>
      <w:pPr>
        <w:spacing w:after="120" w:line="300"/>
        <w:jc w:val="both"/>
      </w:pPr>
      <w:r>
        <w:t xml:space="preserve">Module 25 covered TOGAF's limitations and the contexts where lighter alternatives are appropriate. Module 26 takes a different stance: in many real enterprise contexts, TOGAF is genuinely valuable but is not, on its own, sufficient. It is one framework among several, each addressing different aspects of the enterprise's IT, governance, security, data, and delivery concerns. The mature practitioner does not just choose between TOGAF and lightweight alternatives; they integrate TOGAF with adjacent frameworks that fill the specific gaps TOGAF does not address.</w:t>
      </w:r>
    </w:p>
    <w:p>
      <w:pPr>
        <w:spacing w:after="120" w:line="300"/>
        <w:jc w:val="both"/>
      </w:pPr>
      <w:r>
        <w:t xml:space="preserve">The integration principle, captured most clearly in this module, is straightforward: TOGAF serves as the organising architectural framework — the ADM, the Capability Framework, the Content Framework, the Continuum — while other frameworks fill specific gaps that TOGAF treats lightly or not at all. ArchiMate fills the visual notation gap. Zachman fills the classification gap. ITIL fills the IT operations gap. COBIT fills the IT governance gap. SAFe fills the Agile delivery gap. SABSA fills the security architecture depth gap. BIZBOK fills the business architecture depth gap. DAMA-DMBOK fills the data management depth gap. None of these frameworks competes with TOGAF; each complements it.</w:t>
      </w:r>
    </w:p>
    <w:p>
      <w:pPr>
        <w:spacing w:after="120" w:line="300"/>
        <w:jc w:val="both"/>
      </w:pPr>
      <w:r>
        <w:t xml:space="preserve">Eight integrations are exam-relevant. First, TOGAF + ArchiMate (process plus notation). Second, TOGAF + Zachman (process plus classification). Third, TOGAF + ITIL 4 (architecture plus operations). Fourth, TOGAF + COBIT 2019 (architecture plus IT governance, with explicit APO03 alignment). Fifth, TOGAF + SAFe (enterprise architecture plus Agile delivery). Sixth, TOGAF + SABSA (architecture plus security depth). Seventh, TOGAF + BIZBOK and DAMA-DMBOK (architecture plus domain-deep practitioner references). Eighth, the underlying integration principle: TOGAF is the organising framework; others fill specific gaps.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This module catalogues integrations rather than introducing new TOGAF content. The exam tests recognition of named frameworks, their focus areas, and how each integrates with TOGAF. Read each section as a pairing description: what does the adjacent framework do, where does it overlap with TOGAF, where does it complement TOGAF, and how do they typically combine in practice. After this module, you will recognise the framework landscape that TOGAF practice operates within and be able to reach for the right complement at the right time.</w:t>
            </w:r>
          </w:p>
        </w:tc>
      </w:tr>
    </w:tbl>
    <w:p>
      <w:r>
        <w:br w:type="page"/>
      </w:r>
    </w:p>
    <w:p>
      <w:pPr>
        <w:pStyle w:val="Heading1"/>
        <w:spacing w:after="200" w:before="360"/>
      </w:pPr>
      <w:r>
        <w:rPr>
          <w:b/>
          <w:bCs/>
          <w:color w:val="1F4E78"/>
        </w:rPr>
        <w:t xml:space="preserve">1. TOGAF + ArchiMate — Process Plus Notation</w:t>
      </w:r>
    </w:p>
    <w:p>
      <w:pPr>
        <w:spacing w:after="120" w:line="300"/>
        <w:jc w:val="both"/>
      </w:pPr>
      <w:r>
        <w:t xml:space="preserve">The TOGAF + ArchiMate pairing is the closest of all the integrations in this module: both frameworks are maintained by The Open Group and are designed to work together. Where TOGAF prescribes how architecture work is done (the ADM, the artefacts, the governance), ArchiMate provides the visual notation in which the resulting architectures are expressed. Module 17 covered ArchiMate in depth; this section reprises the integration.</w:t>
      </w:r>
    </w:p>
    <w:p>
      <w:pPr>
        <w:pStyle w:val="Heading2"/>
        <w:spacing w:after="160" w:before="280"/>
      </w:pPr>
      <w:r>
        <w:rPr>
          <w:b/>
          <w:bCs/>
          <w:color w:val="2E75B6"/>
        </w:rPr>
        <w:t xml:space="preserve">1.1 The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TOGAF + ArchiMate: </w:t>
            </w:r>
            <w:r>
              <w:t xml:space="preserve">The closest framework pairing. TOGAF provides the architecture method (the ADM, the Capability Framework, the Content Framework, the artefacts). ArchiMate provides the modelling notation in which the architecture is expressed visually. Both maintained by The Open Group; their structural elements, vocabulary, and concepts align directly. Used together as the de facto standard for TOGAF-aligned architecture practice.</w:t>
            </w:r>
          </w:p>
        </w:tc>
      </w:tr>
    </w:tbl>
    <w:p>
      <w:pPr>
        <w:pStyle w:val="Heading2"/>
        <w:spacing w:after="160" w:before="280"/>
      </w:pPr>
      <w:r>
        <w:rPr>
          <w:b/>
          <w:bCs/>
          <w:color w:val="2E75B6"/>
        </w:rPr>
        <w:t xml:space="preserve">1.2 Where Each Framework Sits</w:t>
      </w:r>
    </w:p>
    <w:p>
      <w:pPr>
        <w:spacing w:after="120" w:line="300"/>
        <w:jc w:val="both"/>
      </w:pPr>
      <w:r>
        <w:t xml:space="preserve">TOGAF defines:</w:t>
      </w:r>
    </w:p>
    <w:p>
      <w:pPr>
        <w:pStyle w:val="ListParagraph"/>
        <w:numPr>
          <w:ilvl w:val="0"/>
          <w:numId w:val="2"/>
        </w:numPr>
        <w:spacing w:after="80" w:line="280"/>
      </w:pPr>
      <w:r>
        <w:t xml:space="preserve">The Architecture Development Method — how to do architecture work.</w:t>
      </w:r>
    </w:p>
    <w:p>
      <w:pPr>
        <w:pStyle w:val="ListParagraph"/>
        <w:numPr>
          <w:ilvl w:val="0"/>
          <w:numId w:val="2"/>
        </w:numPr>
        <w:spacing w:after="80" w:line="280"/>
      </w:pPr>
      <w:r>
        <w:t xml:space="preserve">The phases (Preliminary, A through H) and what each delivers.</w:t>
      </w:r>
    </w:p>
    <w:p>
      <w:pPr>
        <w:pStyle w:val="ListParagraph"/>
        <w:numPr>
          <w:ilvl w:val="0"/>
          <w:numId w:val="2"/>
        </w:numPr>
        <w:spacing w:after="80" w:line="280"/>
      </w:pPr>
      <w:r>
        <w:t xml:space="preserve">The Architecture Content Framework — what artefacts are produced.</w:t>
      </w:r>
    </w:p>
    <w:p>
      <w:pPr>
        <w:pStyle w:val="ListParagraph"/>
        <w:numPr>
          <w:ilvl w:val="0"/>
          <w:numId w:val="2"/>
        </w:numPr>
        <w:spacing w:after="80" w:line="280"/>
      </w:pPr>
      <w:r>
        <w:t xml:space="preserve">The Architecture Capability Framework — how the architecture function operates.</w:t>
      </w:r>
    </w:p>
    <w:p>
      <w:pPr>
        <w:pStyle w:val="ListParagraph"/>
        <w:numPr>
          <w:ilvl w:val="0"/>
          <w:numId w:val="2"/>
        </w:numPr>
        <w:spacing w:after="80" w:line="280"/>
      </w:pPr>
      <w:r>
        <w:t xml:space="preserve">The Enterprise Continuum and Architecture Repository — how content is structured and stored.</w:t>
      </w:r>
    </w:p>
    <w:p>
      <w:pPr>
        <w:spacing w:after="120" w:line="300"/>
        <w:jc w:val="both"/>
      </w:pPr>
      <w:r>
        <w:t xml:space="preserve">ArchiMate defines:</w:t>
      </w:r>
    </w:p>
    <w:p>
      <w:pPr>
        <w:pStyle w:val="ListParagraph"/>
        <w:numPr>
          <w:ilvl w:val="0"/>
          <w:numId w:val="2"/>
        </w:numPr>
        <w:spacing w:after="80" w:line="280"/>
      </w:pPr>
      <w:r>
        <w:t xml:space="preserve">The 3×3 metamodel — three layers (Business, Application, Technology) crossed with three aspects (Active Structure, Behavior, Passive Structure).</w:t>
      </w:r>
    </w:p>
    <w:p>
      <w:pPr>
        <w:pStyle w:val="ListParagraph"/>
        <w:numPr>
          <w:ilvl w:val="0"/>
          <w:numId w:val="2"/>
        </w:numPr>
        <w:spacing w:after="80" w:line="280"/>
      </w:pPr>
      <w:r>
        <w:t xml:space="preserve">Cross-cutting layers — Motivation, Strategy, Implementation &amp; Migration.</w:t>
      </w:r>
    </w:p>
    <w:p>
      <w:pPr>
        <w:pStyle w:val="ListParagraph"/>
        <w:numPr>
          <w:ilvl w:val="0"/>
          <w:numId w:val="2"/>
        </w:numPr>
        <w:spacing w:after="80" w:line="280"/>
      </w:pPr>
      <w:r>
        <w:t xml:space="preserve">Element types — around 50 standard element types across all layers.</w:t>
      </w:r>
    </w:p>
    <w:p>
      <w:pPr>
        <w:pStyle w:val="ListParagraph"/>
        <w:numPr>
          <w:ilvl w:val="0"/>
          <w:numId w:val="2"/>
        </w:numPr>
        <w:spacing w:after="80" w:line="280"/>
      </w:pPr>
      <w:r>
        <w:t xml:space="preserve">Relationship types — eight principal relationships (Composition, Aggregation, Assignment, Realization, Serving, Access, Triggering, Flow).</w:t>
      </w:r>
    </w:p>
    <w:p>
      <w:pPr>
        <w:pStyle w:val="ListParagraph"/>
        <w:numPr>
          <w:ilvl w:val="0"/>
          <w:numId w:val="2"/>
        </w:numPr>
        <w:spacing w:after="80" w:line="280"/>
      </w:pPr>
      <w:r>
        <w:t xml:space="preserve">Standard viewpoints — 23 viewpoints aligned with TOGAF phases.</w:t>
      </w:r>
    </w:p>
    <w:p>
      <w:pPr>
        <w:pStyle w:val="Heading2"/>
        <w:spacing w:after="160" w:before="280"/>
      </w:pPr>
      <w:r>
        <w:rPr>
          <w:b/>
          <w:bCs/>
          <w:color w:val="2E75B6"/>
        </w:rPr>
        <w:t xml:space="preserve">1.3 Why They Work Together So Well</w:t>
      </w:r>
    </w:p>
    <w:p>
      <w:pPr>
        <w:spacing w:after="120" w:line="300"/>
        <w:jc w:val="both"/>
      </w:pPr>
      <w:r>
        <w:t xml:space="preserve">Three reasons:</w:t>
      </w:r>
    </w:p>
    <w:p>
      <w:pPr>
        <w:pStyle w:val="ListParagraph"/>
        <w:numPr>
          <w:ilvl w:val="0"/>
          <w:numId w:val="3"/>
        </w:numPr>
        <w:spacing w:after="80" w:line="280"/>
      </w:pPr>
      <w:r>
        <w:t xml:space="preserve">Aligned vocabulary. ArchiMate elements correspond directly to TOGAF concepts. Business Process, Application Component, Technology Service, Architecture Building Block, Work Package, Goal, Stakeholder — all named in both frameworks with identical meaning.</w:t>
      </w:r>
    </w:p>
    <w:p>
      <w:pPr>
        <w:pStyle w:val="ListParagraph"/>
        <w:numPr>
          <w:ilvl w:val="0"/>
          <w:numId w:val="3"/>
        </w:numPr>
        <w:spacing w:after="80" w:line="280"/>
      </w:pPr>
      <w:r>
        <w:t xml:space="preserve">Phase-mapped viewpoints. ArchiMate's 23 viewpoints map directly to TOGAF phases (Module 17 covered the mapping). The Motivation Viewpoint is for Phase A; Business Process Cooperation for Phase B; Application Cooperation for Phase C-App; Technology Usage for Phase D; Migration Viewpoint for Phases E and F.</w:t>
      </w:r>
    </w:p>
    <w:p>
      <w:pPr>
        <w:pStyle w:val="ListParagraph"/>
        <w:numPr>
          <w:ilvl w:val="0"/>
          <w:numId w:val="3"/>
        </w:numPr>
        <w:spacing w:after="80" w:line="280"/>
      </w:pPr>
      <w:r>
        <w:t xml:space="preserve">Tool support. EA tools that implement TOGAF typically implement ArchiMate as the modelling notation. Adopting both together gets aligned tooling; adopting one without the other fights the tool's grain.</w:t>
      </w:r>
    </w:p>
    <w:p>
      <w:pPr>
        <w:pStyle w:val="Heading2"/>
        <w:spacing w:after="160" w:before="280"/>
      </w:pPr>
      <w:r>
        <w:rPr>
          <w:b/>
          <w:bCs/>
          <w:color w:val="2E75B6"/>
        </w:rPr>
        <w:t xml:space="preserve">1.4 The Integration in Practice</w:t>
      </w:r>
    </w:p>
    <w:p>
      <w:pPr>
        <w:spacing w:after="120" w:line="300"/>
        <w:jc w:val="both"/>
      </w:pPr>
      <w:r>
        <w:t xml:space="preserve">In a typical TOGAF engagement using ArchiMate:</w:t>
      </w:r>
    </w:p>
    <w:p>
      <w:pPr>
        <w:pStyle w:val="ListParagraph"/>
        <w:numPr>
          <w:ilvl w:val="0"/>
          <w:numId w:val="3"/>
        </w:numPr>
        <w:spacing w:after="80" w:line="280"/>
      </w:pPr>
      <w:r>
        <w:t xml:space="preserve">Phase A produces an Architecture Vision document (TOGAF artefact) that includes a Motivation Viewpoint diagram (ArchiMate notation) showing stakeholders, drivers, and goals.</w:t>
      </w:r>
    </w:p>
    <w:p>
      <w:pPr>
        <w:pStyle w:val="ListParagraph"/>
        <w:numPr>
          <w:ilvl w:val="0"/>
          <w:numId w:val="3"/>
        </w:numPr>
        <w:spacing w:after="80" w:line="280"/>
      </w:pPr>
      <w:r>
        <w:t xml:space="preserve">Phase B produces a Business Architecture Definition Document (TOGAF) that uses Business Process Cooperation Viewpoint diagrams (ArchiMate) to show how processes interact.</w:t>
      </w:r>
    </w:p>
    <w:p>
      <w:pPr>
        <w:pStyle w:val="ListParagraph"/>
        <w:numPr>
          <w:ilvl w:val="0"/>
          <w:numId w:val="3"/>
        </w:numPr>
        <w:spacing w:after="80" w:line="280"/>
      </w:pPr>
      <w:r>
        <w:t xml:space="preserve">Phase C produces Data and Application Architecture Definition Documents using Information Structure and Application Cooperation Viewpoints.</w:t>
      </w:r>
    </w:p>
    <w:p>
      <w:pPr>
        <w:pStyle w:val="ListParagraph"/>
        <w:numPr>
          <w:ilvl w:val="0"/>
          <w:numId w:val="3"/>
        </w:numPr>
        <w:spacing w:after="80" w:line="280"/>
      </w:pPr>
      <w:r>
        <w:t xml:space="preserve">Phase D produces a Technology Architecture Definition Document using Technology Usage and Implementation/Deployment Viewpoints.</w:t>
      </w:r>
    </w:p>
    <w:p>
      <w:pPr>
        <w:pStyle w:val="ListParagraph"/>
        <w:numPr>
          <w:ilvl w:val="0"/>
          <w:numId w:val="3"/>
        </w:numPr>
        <w:spacing w:after="80" w:line="280"/>
      </w:pPr>
      <w:r>
        <w:t xml:space="preserve">Phase E produces an Architecture Roadmap rendered as a Migration Viewpoint.</w:t>
      </w:r>
    </w:p>
    <w:p>
      <w:pPr>
        <w:spacing w:after="120" w:line="300"/>
        <w:jc w:val="both"/>
      </w:pPr>
      <w:r>
        <w:t xml:space="preserve">The TOGAF artefacts are the documents; ArchiMate provides the visual content within them. The two frameworks operate as one unified practice.</w:t>
      </w:r>
    </w:p>
    <w:p>
      <w:r>
        <w:br w:type="page"/>
      </w:r>
    </w:p>
    <w:p>
      <w:pPr>
        <w:pStyle w:val="Heading1"/>
        <w:spacing w:after="200" w:before="360"/>
      </w:pPr>
      <w:r>
        <w:rPr>
          <w:b/>
          <w:bCs/>
          <w:color w:val="1F4E78"/>
        </w:rPr>
        <w:t xml:space="preserve">2. TOGAF + Zachman — Process Plus Classification</w:t>
      </w:r>
    </w:p>
    <w:p>
      <w:pPr>
        <w:spacing w:after="120" w:line="300"/>
        <w:jc w:val="both"/>
      </w:pPr>
      <w:r>
        <w:t xml:space="preserve">Zachman is the oldest of the major enterprise architecture frameworks (originally articulated by John Zachman in 1987 and refined since). It is fundamentally different in nature from TOGAF: it is a classification scheme rather than a method. The two are commonly mistaken as competing alternatives; the mature view treats them as complementary — TOGAF as process, Zachman as classification.</w:t>
      </w:r>
    </w:p>
    <w:p>
      <w:pPr>
        <w:pStyle w:val="Heading2"/>
        <w:spacing w:after="160" w:before="280"/>
      </w:pPr>
      <w:r>
        <w:rPr>
          <w:b/>
          <w:bCs/>
          <w:color w:val="2E75B6"/>
        </w:rPr>
        <w:t xml:space="preserve">2.1 What Zachman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Zachman Framework: </w:t>
            </w:r>
            <w:r>
              <w:t xml:space="preserve">An enterprise architecture classification scheme articulated by John Zachman (1987). A 6×6 matrix: six perspectives (Executive, Business Management, Architect, Engineer, Technician, Enterprise) crossed with six aspects (What — Data; How — Function; Where — Network; Who — People; When — Time; Why — Motivation). Each cell represents one classification of architectural content from one perspective addressing one aspect. NOT a method for doing architecture; a taxonomy for classifying architectural content.</w:t>
            </w:r>
          </w:p>
        </w:tc>
      </w:tr>
    </w:tbl>
    <w:p>
      <w:pPr>
        <w:pStyle w:val="Heading2"/>
        <w:spacing w:after="160" w:before="280"/>
      </w:pPr>
      <w:r>
        <w:rPr>
          <w:b/>
          <w:bCs/>
          <w:color w:val="2E75B6"/>
        </w:rPr>
        <w:t xml:space="preserve">2.2 The Zachman 6×6 Matrix</w:t>
      </w:r>
    </w:p>
    <w:p>
      <w:pPr>
        <w:spacing w:after="120" w:line="300"/>
        <w:jc w:val="both"/>
      </w:pPr>
      <w:r>
        <w:t xml:space="preserve">The six perspectives (rows) ascend from concrete to abstract:</w:t>
      </w:r>
    </w:p>
    <w:p>
      <w:pPr>
        <w:pStyle w:val="ListParagraph"/>
        <w:numPr>
          <w:ilvl w:val="0"/>
          <w:numId w:val="3"/>
        </w:numPr>
        <w:spacing w:after="80" w:line="280"/>
      </w:pPr>
      <w:r>
        <w:t xml:space="preserve">Executive — scope-level view of the business.</w:t>
      </w:r>
    </w:p>
    <w:p>
      <w:pPr>
        <w:pStyle w:val="ListParagraph"/>
        <w:numPr>
          <w:ilvl w:val="0"/>
          <w:numId w:val="3"/>
        </w:numPr>
        <w:spacing w:after="80" w:line="280"/>
      </w:pPr>
      <w:r>
        <w:t xml:space="preserve">Business Management — business model view.</w:t>
      </w:r>
    </w:p>
    <w:p>
      <w:pPr>
        <w:pStyle w:val="ListParagraph"/>
        <w:numPr>
          <w:ilvl w:val="0"/>
          <w:numId w:val="3"/>
        </w:numPr>
        <w:spacing w:after="80" w:line="280"/>
      </w:pPr>
      <w:r>
        <w:t xml:space="preserve">Architect — system model (logical) view.</w:t>
      </w:r>
    </w:p>
    <w:p>
      <w:pPr>
        <w:pStyle w:val="ListParagraph"/>
        <w:numPr>
          <w:ilvl w:val="0"/>
          <w:numId w:val="3"/>
        </w:numPr>
        <w:spacing w:after="80" w:line="280"/>
      </w:pPr>
      <w:r>
        <w:t xml:space="preserve">Engineer — technology model (physical) view.</w:t>
      </w:r>
    </w:p>
    <w:p>
      <w:pPr>
        <w:pStyle w:val="ListParagraph"/>
        <w:numPr>
          <w:ilvl w:val="0"/>
          <w:numId w:val="3"/>
        </w:numPr>
        <w:spacing w:after="80" w:line="280"/>
      </w:pPr>
      <w:r>
        <w:t xml:space="preserve">Technician — detailed representation view.</w:t>
      </w:r>
    </w:p>
    <w:p>
      <w:pPr>
        <w:pStyle w:val="ListParagraph"/>
        <w:numPr>
          <w:ilvl w:val="0"/>
          <w:numId w:val="3"/>
        </w:numPr>
        <w:spacing w:after="80" w:line="280"/>
      </w:pPr>
      <w:r>
        <w:t xml:space="preserve">Enterprise — operational instance view.</w:t>
      </w:r>
    </w:p>
    <w:p>
      <w:pPr>
        <w:spacing w:after="120" w:line="300"/>
        <w:jc w:val="both"/>
      </w:pPr>
      <w:r>
        <w:t xml:space="preserve">The six aspects (columns) answer six interrogatives:</w:t>
      </w:r>
    </w:p>
    <w:p>
      <w:pPr>
        <w:pStyle w:val="ListParagraph"/>
        <w:numPr>
          <w:ilvl w:val="0"/>
          <w:numId w:val="3"/>
        </w:numPr>
        <w:spacing w:after="80" w:line="280"/>
      </w:pPr>
      <w:r>
        <w:t xml:space="preserve">What — the data or things involved.</w:t>
      </w:r>
    </w:p>
    <w:p>
      <w:pPr>
        <w:pStyle w:val="ListParagraph"/>
        <w:numPr>
          <w:ilvl w:val="0"/>
          <w:numId w:val="3"/>
        </w:numPr>
        <w:spacing w:after="80" w:line="280"/>
      </w:pPr>
      <w:r>
        <w:t xml:space="preserve">How — the functions performed.</w:t>
      </w:r>
    </w:p>
    <w:p>
      <w:pPr>
        <w:pStyle w:val="ListParagraph"/>
        <w:numPr>
          <w:ilvl w:val="0"/>
          <w:numId w:val="3"/>
        </w:numPr>
        <w:spacing w:after="80" w:line="280"/>
      </w:pPr>
      <w:r>
        <w:t xml:space="preserve">Where — the locations involved.</w:t>
      </w:r>
    </w:p>
    <w:p>
      <w:pPr>
        <w:pStyle w:val="ListParagraph"/>
        <w:numPr>
          <w:ilvl w:val="0"/>
          <w:numId w:val="3"/>
        </w:numPr>
        <w:spacing w:after="80" w:line="280"/>
      </w:pPr>
      <w:r>
        <w:t xml:space="preserve">Who — the people involved.</w:t>
      </w:r>
    </w:p>
    <w:p>
      <w:pPr>
        <w:pStyle w:val="ListParagraph"/>
        <w:numPr>
          <w:ilvl w:val="0"/>
          <w:numId w:val="3"/>
        </w:numPr>
        <w:spacing w:after="80" w:line="280"/>
      </w:pPr>
      <w:r>
        <w:t xml:space="preserve">When — the time/event aspect.</w:t>
      </w:r>
    </w:p>
    <w:p>
      <w:pPr>
        <w:pStyle w:val="ListParagraph"/>
        <w:numPr>
          <w:ilvl w:val="0"/>
          <w:numId w:val="3"/>
        </w:numPr>
        <w:spacing w:after="80" w:line="280"/>
      </w:pPr>
      <w:r>
        <w:t xml:space="preserve">Why — the motivation.</w:t>
      </w:r>
    </w:p>
    <w:p>
      <w:pPr>
        <w:spacing w:after="120" w:line="300"/>
        <w:jc w:val="both"/>
      </w:pPr>
      <w:r>
        <w:t xml:space="preserve">The full matrix has 36 cells, each representing a specific classification of architectural content.</w:t>
      </w:r>
    </w:p>
    <w:p>
      <w:pPr>
        <w:pStyle w:val="Heading2"/>
        <w:spacing w:after="160" w:before="280"/>
      </w:pPr>
      <w:r>
        <w:rPr>
          <w:b/>
          <w:bCs/>
          <w:color w:val="2E75B6"/>
        </w:rPr>
        <w:t xml:space="preserve">2.3 The Zachman Matrix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10"/>
        <w:gridCol w:w="1310"/>
        <w:gridCol w:w="1310"/>
        <w:gridCol w:w="1310"/>
        <w:gridCol w:w="1310"/>
        <w:gridCol w:w="131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Perspective</w:t>
            </w:r>
          </w:p>
        </w:tc>
        <w:tc>
          <w:tcPr>
            <w:tcW w:type="dxa" w:w="131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w:t>
            </w:r>
          </w:p>
        </w:tc>
        <w:tc>
          <w:tcPr>
            <w:tcW w:type="dxa" w:w="131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How</w:t>
            </w:r>
          </w:p>
        </w:tc>
        <w:tc>
          <w:tcPr>
            <w:tcW w:type="dxa" w:w="131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Where</w:t>
            </w:r>
          </w:p>
        </w:tc>
        <w:tc>
          <w:tcPr>
            <w:tcW w:type="dxa" w:w="131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Who</w:t>
            </w:r>
          </w:p>
        </w:tc>
        <w:tc>
          <w:tcPr>
            <w:tcW w:type="dxa" w:w="131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When</w:t>
            </w:r>
          </w:p>
        </w:tc>
        <w:tc>
          <w:tcPr>
            <w:tcW w:type="dxa" w:w="131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Why</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Executive</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Things in scope</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Processes in scope</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Locations in scope</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Organisations in scope</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Events in scope</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Goals in scope</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Mgmt</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entities</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processes</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locations</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roles</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events</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strategy</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Logical data model</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Logical processes</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Network architecture</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Workflow</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Master schedule</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plan</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Engineer</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Physical data design</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System design</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Technology architecture</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Presentation arch.</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Control structure</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Rule design</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Technician</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 definitions</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Program code</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Network nodes</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Security architecture</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Timing definitions</w:t>
            </w:r>
          </w:p>
        </w:tc>
        <w:tc>
          <w:tcPr>
            <w:tcW w:type="dxa" w:w="131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Rule specs</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Enterprise</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Actual data</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Actual functions</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Actual networks</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Actual organisations</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Actual events</w:t>
            </w:r>
          </w:p>
        </w:tc>
        <w:tc>
          <w:tcPr>
            <w:tcW w:type="dxa" w:w="131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Actual strategy</w:t>
            </w:r>
          </w:p>
        </w:tc>
      </w:tr>
    </w:tbl>
    <w:p>
      <w:pPr>
        <w:pStyle w:val="Heading2"/>
        <w:spacing w:after="160" w:before="280"/>
      </w:pPr>
      <w:r>
        <w:rPr>
          <w:b/>
          <w:bCs/>
          <w:color w:val="2E75B6"/>
        </w:rPr>
        <w:t xml:space="preserve">2.4 How Zachman Complements TOGAF</w:t>
      </w:r>
    </w:p>
    <w:p>
      <w:pPr>
        <w:spacing w:after="120" w:line="300"/>
        <w:jc w:val="both"/>
      </w:pPr>
      <w:r>
        <w:t xml:space="preserve">TOGAF and Zachman address different concerns:</w:t>
      </w:r>
    </w:p>
    <w:p>
      <w:pPr>
        <w:pStyle w:val="ListParagraph"/>
        <w:numPr>
          <w:ilvl w:val="0"/>
          <w:numId w:val="2"/>
        </w:numPr>
        <w:spacing w:after="80" w:line="280"/>
      </w:pPr>
      <w:r>
        <w:t xml:space="preserve">TOGAF answers "how do we do architecture work?" — the method, the process, the artefacts, the governance.</w:t>
      </w:r>
    </w:p>
    <w:p>
      <w:pPr>
        <w:pStyle w:val="ListParagraph"/>
        <w:numPr>
          <w:ilvl w:val="0"/>
          <w:numId w:val="2"/>
        </w:numPr>
        <w:spacing w:after="80" w:line="280"/>
      </w:pPr>
      <w:r>
        <w:t xml:space="preserve">Zachman answers "what is architecture?" — the classification scheme that defines what architectural content exists and how it is organised.</w:t>
      </w:r>
    </w:p>
    <w:p>
      <w:pPr>
        <w:spacing w:after="120" w:line="300"/>
        <w:jc w:val="both"/>
      </w:pPr>
      <w:r>
        <w:t xml:space="preserve">Used together:</w:t>
      </w:r>
    </w:p>
    <w:p>
      <w:pPr>
        <w:pStyle w:val="ListParagraph"/>
        <w:numPr>
          <w:ilvl w:val="0"/>
          <w:numId w:val="3"/>
        </w:numPr>
        <w:spacing w:after="80" w:line="280"/>
      </w:pPr>
      <w:r>
        <w:t xml:space="preserve">Zachman provides the classification scheme. The 36-cell matrix gives a vocabulary for talking about architectural content.</w:t>
      </w:r>
    </w:p>
    <w:p>
      <w:pPr>
        <w:pStyle w:val="ListParagraph"/>
        <w:numPr>
          <w:ilvl w:val="0"/>
          <w:numId w:val="3"/>
        </w:numPr>
        <w:spacing w:after="80" w:line="280"/>
      </w:pPr>
      <w:r>
        <w:t xml:space="preserve">TOGAF provides the method. The ADM walks through producing architectural content phase by phase.</w:t>
      </w:r>
    </w:p>
    <w:p>
      <w:pPr>
        <w:pStyle w:val="ListParagraph"/>
        <w:numPr>
          <w:ilvl w:val="0"/>
          <w:numId w:val="3"/>
        </w:numPr>
        <w:spacing w:after="80" w:line="280"/>
      </w:pPr>
      <w:r>
        <w:t xml:space="preserve">TOGAF artefacts populate Zachman cells. The Architecture Definition Document fills cells in the Architect row across the six aspects; the Motivation content fills the Why column at multiple levels of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Zachman Is NOT a Method</w:t>
            </w:r>
          </w:p>
          <w:p>
            <w:pPr>
              <w:spacing w:after="60" w:line="280"/>
              <w:jc w:val="both"/>
            </w:pPr>
            <w:r>
              <w:t xml:space="preserve">A common confusion among newcomers is treating Zachman as a method — "how do we do Zachman?". This is a category error. Zachman is a classification scheme; it tells you what content exists, not how to produce it.</w:t>
            </w:r>
          </w:p>
          <w:p>
            <w:pPr>
              <w:spacing w:after="60" w:line="280"/>
              <w:jc w:val="both"/>
            </w:pPr>
            <w:r>
              <w:t xml:space="preserve">An enterprise can map its existing architectural content to the Zachman matrix to identify gaps ("we have nothing in the When column at the Architect perspective"), but the matrix does not tell you how to fill those gaps. That is what TOGAF (or another method) does.</w:t>
            </w:r>
          </w:p>
          <w:p>
            <w:pPr>
              <w:spacing w:after="60" w:line="280"/>
              <w:jc w:val="both"/>
            </w:pPr>
            <w:r>
              <w:t xml:space="preserve">Zachman as the descriptive framework + TOGAF as the prescriptive method is the canonical complementary pairing.</w:t>
            </w:r>
          </w:p>
        </w:tc>
      </w:tr>
    </w:tbl>
    <w:p>
      <w:r>
        <w:br w:type="page"/>
      </w:r>
    </w:p>
    <w:p>
      <w:pPr>
        <w:pStyle w:val="Heading1"/>
        <w:spacing w:after="200" w:before="360"/>
      </w:pPr>
      <w:r>
        <w:rPr>
          <w:b/>
          <w:bCs/>
          <w:color w:val="1F4E78"/>
        </w:rPr>
        <w:t xml:space="preserve">3. TOGAF + ITIL 4 — Architecture Plus Operations</w:t>
      </w:r>
    </w:p>
    <w:p>
      <w:pPr>
        <w:spacing w:after="120" w:line="300"/>
        <w:jc w:val="both"/>
      </w:pPr>
      <w:r>
        <w:t xml:space="preserve">ITIL — the IT Infrastructure Library — is the dominant framework for IT service management and operations. Currently at version 4 (released 2019, with ongoing updates), ITIL covers how IT services are designed, transitioned, operated, and continuously improved. TOGAF and ITIL address different lifecycle stages: TOGAF builds the architecture; ITIL operates it.</w:t>
      </w:r>
    </w:p>
    <w:p>
      <w:pPr>
        <w:pStyle w:val="Heading2"/>
        <w:spacing w:after="160" w:before="280"/>
      </w:pPr>
      <w:r>
        <w:rPr>
          <w:b/>
          <w:bCs/>
          <w:color w:val="2E75B6"/>
        </w:rPr>
        <w:t xml:space="preserve">3.1 What ITIL 4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ITIL 4 (Information Technology Infrastructure Library, version 4): </w:t>
            </w:r>
            <w:r>
              <w:t xml:space="preserve">The dominant framework for IT service management. Maintained by AXELOS (now part of PeopleCert). ITIL 4 is structured around the Service Value System (SVS) which includes the Service Value Chain, 34 management practices, four dimensions, and the principles. Replaces ITIL v3's lifecycle-stage structure with a more flexible, value-stream-aware approach. Widely adopted across enterprises globally; foundational for IT operations practice.</w:t>
            </w:r>
          </w:p>
        </w:tc>
      </w:tr>
    </w:tbl>
    <w:p>
      <w:pPr>
        <w:pStyle w:val="Heading2"/>
        <w:spacing w:after="160" w:before="280"/>
      </w:pPr>
      <w:r>
        <w:rPr>
          <w:b/>
          <w:bCs/>
          <w:color w:val="2E75B6"/>
        </w:rPr>
        <w:t xml:space="preserve">3.2 ITIL 4 Structural Elements</w:t>
      </w:r>
    </w:p>
    <w:p>
      <w:pPr>
        <w:spacing w:after="120" w:line="300"/>
        <w:jc w:val="both"/>
      </w:pPr>
      <w:r>
        <w:t xml:space="preserve">ITIL 4 introduces several structural elements worth recognising by name:</w:t>
      </w:r>
    </w:p>
    <w:p>
      <w:pPr>
        <w:pStyle w:val="ListParagraph"/>
        <w:numPr>
          <w:ilvl w:val="0"/>
          <w:numId w:val="2"/>
        </w:numPr>
        <w:spacing w:after="80" w:line="280"/>
      </w:pPr>
      <w:r>
        <w:t xml:space="preserve">Service Value System (SVS) — the overarching model of how value is co-created.</w:t>
      </w:r>
    </w:p>
    <w:p>
      <w:pPr>
        <w:pStyle w:val="ListParagraph"/>
        <w:numPr>
          <w:ilvl w:val="0"/>
          <w:numId w:val="2"/>
        </w:numPr>
        <w:spacing w:after="80" w:line="280"/>
      </w:pPr>
      <w:r>
        <w:t xml:space="preserve">Service Value Chain — the activities that transform demand into value: Plan, Improve, Engage, Design &amp; Transition, Obtain/Build, Deliver &amp; Support.</w:t>
      </w:r>
    </w:p>
    <w:p>
      <w:pPr>
        <w:pStyle w:val="ListParagraph"/>
        <w:numPr>
          <w:ilvl w:val="0"/>
          <w:numId w:val="2"/>
        </w:numPr>
        <w:spacing w:after="80" w:line="280"/>
      </w:pPr>
      <w:r>
        <w:t xml:space="preserve">34 Management Practices — grouped into General Management Practices (14), Service Management Practices (17), and Technical Management Practices (3).</w:t>
      </w:r>
    </w:p>
    <w:p>
      <w:pPr>
        <w:pStyle w:val="ListParagraph"/>
        <w:numPr>
          <w:ilvl w:val="0"/>
          <w:numId w:val="2"/>
        </w:numPr>
        <w:spacing w:after="80" w:line="280"/>
      </w:pPr>
      <w:r>
        <w:t xml:space="preserve">Four Dimensions — Organisations and People; Information and Technology; Partners and Suppliers; Value Streams and Processes.</w:t>
      </w:r>
    </w:p>
    <w:p>
      <w:pPr>
        <w:pStyle w:val="ListParagraph"/>
        <w:numPr>
          <w:ilvl w:val="0"/>
          <w:numId w:val="2"/>
        </w:numPr>
        <w:spacing w:after="80" w:line="280"/>
      </w:pPr>
      <w:r>
        <w:t xml:space="preserve">Seven Guiding Principles — Focus on value; Start where you are; Progress iteratively with feedback; Collaborate and promote visibility; Think and work holistically; Keep it simple and practical; Optimise and automate.</w:t>
      </w:r>
    </w:p>
    <w:p>
      <w:pPr>
        <w:pStyle w:val="Heading2"/>
        <w:spacing w:after="160" w:before="280"/>
      </w:pPr>
      <w:r>
        <w:rPr>
          <w:b/>
          <w:bCs/>
          <w:color w:val="2E75B6"/>
        </w:rPr>
        <w:t xml:space="preserve">3.3 How ITIL Complements TOGAF</w:t>
      </w:r>
    </w:p>
    <w:p>
      <w:pPr>
        <w:spacing w:after="120" w:line="300"/>
        <w:jc w:val="both"/>
      </w:pPr>
      <w:r>
        <w:t xml:space="preserve">TOGAF builds the architecture; ITIL operates it. The handoff:</w:t>
      </w:r>
    </w:p>
    <w:p>
      <w:pPr>
        <w:pStyle w:val="ListParagraph"/>
        <w:numPr>
          <w:ilvl w:val="0"/>
          <w:numId w:val="3"/>
        </w:numPr>
        <w:spacing w:after="80" w:line="280"/>
      </w:pPr>
      <w:r>
        <w:t xml:space="preserve">TOGAF Phase G (Implementation Governance) supervises delivery into production.</w:t>
      </w:r>
    </w:p>
    <w:p>
      <w:pPr>
        <w:pStyle w:val="ListParagraph"/>
        <w:numPr>
          <w:ilvl w:val="0"/>
          <w:numId w:val="3"/>
        </w:numPr>
        <w:spacing w:after="80" w:line="280"/>
      </w:pPr>
      <w:r>
        <w:t xml:space="preserve">Once in production, ITIL practices take over: Incident Management handles outages; Change Enablement governs changes; Service Desk handles user-facing issues; Problem Management addresses root causes.</w:t>
      </w:r>
    </w:p>
    <w:p>
      <w:pPr>
        <w:pStyle w:val="ListParagraph"/>
        <w:numPr>
          <w:ilvl w:val="0"/>
          <w:numId w:val="3"/>
        </w:numPr>
        <w:spacing w:after="80" w:line="280"/>
      </w:pPr>
      <w:r>
        <w:t xml:space="preserve">TOGAF Phase H (Architecture Change Management) consumes operational signals from ITIL — incident patterns surface architectural weaknesses; change requests reveal architectural drift; service performance metrics drive architectural decisions.</w:t>
      </w:r>
    </w:p>
    <w:p>
      <w:pPr>
        <w:pStyle w:val="Heading2"/>
        <w:spacing w:after="160" w:before="280"/>
      </w:pPr>
      <w:r>
        <w:rPr>
          <w:b/>
          <w:bCs/>
          <w:color w:val="2E75B6"/>
        </w:rPr>
        <w:t xml:space="preserve">3.4 Where TOGAF and ITIL Overlap</w:t>
      </w:r>
    </w:p>
    <w:p>
      <w:pPr>
        <w:spacing w:after="120" w:line="300"/>
        <w:jc w:val="both"/>
      </w:pPr>
      <w:r>
        <w:t xml:space="preserve">Some areas appear in both frameworks; recognising the overlaps prevents duplicating work:</w:t>
      </w:r>
    </w:p>
    <w:p>
      <w:pPr>
        <w:pStyle w:val="ListParagraph"/>
        <w:numPr>
          <w:ilvl w:val="0"/>
          <w:numId w:val="2"/>
        </w:numPr>
        <w:spacing w:after="80" w:line="280"/>
      </w:pPr>
      <w:r>
        <w:t xml:space="preserve">Configuration Management — ITIL's Service Configuration Management practice maintains the Configuration Management Database (CMDB); TOGAF's Architecture Repository (Module 11) holds architectural content. The two are complementary: the CMDB holds operational configuration; the Architecture Repository holds architectural intent. Mature enterprises typically link them.</w:t>
      </w:r>
    </w:p>
    <w:p>
      <w:pPr>
        <w:pStyle w:val="ListParagraph"/>
        <w:numPr>
          <w:ilvl w:val="0"/>
          <w:numId w:val="2"/>
        </w:numPr>
        <w:spacing w:after="80" w:line="280"/>
      </w:pPr>
      <w:r>
        <w:t xml:space="preserve">Change Management — ITIL's Change Enablement governs operational changes; TOGAF's Phase G compliance reviews and dispensations govern architectural changes. The two operate in parallel: operational changes go through Change Enablement; architecturally-significant changes additionally trigger TOGAF compliance review.</w:t>
      </w:r>
    </w:p>
    <w:p>
      <w:pPr>
        <w:pStyle w:val="ListParagraph"/>
        <w:numPr>
          <w:ilvl w:val="0"/>
          <w:numId w:val="2"/>
        </w:numPr>
        <w:spacing w:after="80" w:line="280"/>
      </w:pPr>
      <w:r>
        <w:t xml:space="preserve">Service Design — ITIL's Service Design Management produces service designs; TOGAF's Phase C/D produce architecture for systems that include services. The TOGAF architecture provides the constraints within which ITIL service design operates.</w:t>
      </w:r>
    </w:p>
    <w:p>
      <w:pPr>
        <w:pStyle w:val="Heading2"/>
        <w:spacing w:after="160" w:before="280"/>
      </w:pPr>
      <w:r>
        <w:rPr>
          <w:b/>
          <w:bCs/>
          <w:color w:val="2E75B6"/>
        </w:rPr>
        <w:t xml:space="preserve">3.5 The Pairing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TOGAF + ITIL Lifecycle</w:t>
            </w:r>
          </w:p>
          <w:p>
            <w:pPr>
              <w:spacing w:after="60" w:line="280"/>
              <w:jc w:val="both"/>
            </w:pPr>
            <w:r>
              <w:t xml:space="preserve">Phase A-F: TOGAF runs an architecture engagement to design a new customer onboarding platform. Architecture Definition Documents, Roadmap, Migration Plan are produced.</w:t>
            </w:r>
          </w:p>
          <w:p>
            <w:pPr>
              <w:spacing w:after="60" w:line="280"/>
              <w:jc w:val="both"/>
            </w:pPr>
            <w:r>
              <w:t xml:space="preserve">Phase G: TOGAF governs implementation. Compliance Reviews verify the build conforms to the architecture. Architecture Contract specifies the project's commitments.</w:t>
            </w:r>
          </w:p>
          <w:p>
            <w:pPr>
              <w:spacing w:after="60" w:line="280"/>
              <w:jc w:val="both"/>
            </w:pPr>
            <w:r>
              <w:t xml:space="preserve">Operational handoff: Once the platform is in production, ITIL takes over. Service Level Management establishes SLAs; Incident Management handles outages; Change Enablement governs day-to-day changes; Service Configuration Management updates the CMDB.</w:t>
            </w:r>
          </w:p>
          <w:p>
            <w:pPr>
              <w:spacing w:after="60" w:line="280"/>
              <w:jc w:val="both"/>
            </w:pPr>
            <w:r>
              <w:t xml:space="preserve">Phase H feedback: TOGAF Phase H consumes operational data — quarterly review of incident patterns shows that the identity service is producing 40% of incidents; this surfaces an architectural concern that triggers a re-architecture engagement (going back into the ADM at Phase A).</w:t>
            </w:r>
          </w:p>
          <w:p>
            <w:pPr>
              <w:spacing w:after="60" w:line="280"/>
              <w:jc w:val="both"/>
            </w:pPr>
            <w:r>
              <w:t xml:space="preserve">Two frameworks; two lifecycle stages; one combined practice. TOGAF for architecture; ITIL for operations; explicit handoffs at the boundaries.</w:t>
            </w:r>
          </w:p>
        </w:tc>
      </w:tr>
    </w:tbl>
    <w:p>
      <w:r>
        <w:br w:type="page"/>
      </w:r>
    </w:p>
    <w:p>
      <w:pPr>
        <w:pStyle w:val="Heading1"/>
        <w:spacing w:after="200" w:before="360"/>
      </w:pPr>
      <w:r>
        <w:rPr>
          <w:b/>
          <w:bCs/>
          <w:color w:val="1F4E78"/>
        </w:rPr>
        <w:t xml:space="preserve">4. TOGAF + COBIT 2019 — Architecture Plus IT Governance</w:t>
      </w:r>
    </w:p>
    <w:p>
      <w:pPr>
        <w:spacing w:after="120" w:line="300"/>
        <w:jc w:val="both"/>
      </w:pPr>
      <w:r>
        <w:t xml:space="preserve">COBIT — Control Objectives for Information and Related Technologies — is the dominant framework for IT governance. Currently COBIT 2019 (released by ISACA), COBIT addresses how enterprises govern and manage IT to ensure that IT delivers business value and meets stakeholder expectations. TOGAF and COBIT address adjacent concerns: TOGAF builds architectures; COBIT governs the IT function that builds and operates them.</w:t>
      </w:r>
    </w:p>
    <w:p>
      <w:pPr>
        <w:pStyle w:val="Heading2"/>
        <w:spacing w:after="160" w:before="280"/>
      </w:pPr>
      <w:r>
        <w:rPr>
          <w:b/>
          <w:bCs/>
          <w:color w:val="2E75B6"/>
        </w:rPr>
        <w:t xml:space="preserve">4.1 What COBIT 2019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COBIT 2019 (Control Objectives for Information and Related Technologies, 2019 release): </w:t>
            </w:r>
            <w:r>
              <w:t xml:space="preserve">The dominant framework for IT governance and management. Maintained by ISACA. Defines 40 governance and management objectives across five domains. Provides design factors that help enterprises tailor governance to their specific context. Widely required in regulated industries; commonly cited by auditors as the reference for IT governance maturity.</w:t>
            </w:r>
          </w:p>
        </w:tc>
      </w:tr>
    </w:tbl>
    <w:p>
      <w:pPr>
        <w:pStyle w:val="Heading2"/>
        <w:spacing w:after="160" w:before="280"/>
      </w:pPr>
      <w:r>
        <w:rPr>
          <w:b/>
          <w:bCs/>
          <w:color w:val="2E75B6"/>
        </w:rPr>
        <w:t xml:space="preserve">4.2 COBIT 2019's Five Domains</w:t>
      </w:r>
    </w:p>
    <w:p>
      <w:pPr>
        <w:spacing w:after="120" w:line="300"/>
        <w:jc w:val="both"/>
      </w:pPr>
      <w:r>
        <w:t xml:space="preserve">COBIT 2019 organises its 40 objectives into five domains:</w:t>
      </w:r>
    </w:p>
    <w:p>
      <w:pPr>
        <w:pStyle w:val="ListParagraph"/>
        <w:numPr>
          <w:ilvl w:val="0"/>
          <w:numId w:val="3"/>
        </w:numPr>
        <w:spacing w:after="80" w:line="280"/>
      </w:pPr>
      <w:r>
        <w:t xml:space="preserve">EDM (Evaluate, Direct, Monitor) — five objectives at the governance level (board / executive committee).</w:t>
      </w:r>
    </w:p>
    <w:p>
      <w:pPr>
        <w:pStyle w:val="ListParagraph"/>
        <w:numPr>
          <w:ilvl w:val="0"/>
          <w:numId w:val="3"/>
        </w:numPr>
        <w:spacing w:after="80" w:line="280"/>
      </w:pPr>
      <w:r>
        <w:t xml:space="preserve">APO (Align, Plan, Organize) — fourteen objectives at the management level for planning.</w:t>
      </w:r>
    </w:p>
    <w:p>
      <w:pPr>
        <w:pStyle w:val="ListParagraph"/>
        <w:numPr>
          <w:ilvl w:val="0"/>
          <w:numId w:val="3"/>
        </w:numPr>
        <w:spacing w:after="80" w:line="280"/>
      </w:pPr>
      <w:r>
        <w:t xml:space="preserve">BAI (Build, Acquire, Implement) — eleven objectives for delivering changes.</w:t>
      </w:r>
    </w:p>
    <w:p>
      <w:pPr>
        <w:pStyle w:val="ListParagraph"/>
        <w:numPr>
          <w:ilvl w:val="0"/>
          <w:numId w:val="3"/>
        </w:numPr>
        <w:spacing w:after="80" w:line="280"/>
      </w:pPr>
      <w:r>
        <w:t xml:space="preserve">DSS (Deliver, Service, Support) — six objectives for operations.</w:t>
      </w:r>
    </w:p>
    <w:p>
      <w:pPr>
        <w:pStyle w:val="ListParagraph"/>
        <w:numPr>
          <w:ilvl w:val="0"/>
          <w:numId w:val="3"/>
        </w:numPr>
        <w:spacing w:after="80" w:line="280"/>
      </w:pPr>
      <w:r>
        <w:t xml:space="preserve">MEA (Monitor, Evaluate, Assess) — four objectives for monitoring and assurance.</w:t>
      </w:r>
    </w:p>
    <w:p>
      <w:pPr>
        <w:pStyle w:val="Heading2"/>
        <w:spacing w:after="160" w:before="280"/>
      </w:pPr>
      <w:r>
        <w:rPr>
          <w:b/>
          <w:bCs/>
          <w:color w:val="2E75B6"/>
        </w:rPr>
        <w:t xml:space="preserve">4.3 The APO03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APO03 — Managed Enterprise Architecture: </w:t>
            </w:r>
            <w:r>
              <w:t xml:space="preserve">COBIT 2019's principal architecture-related objective. APO03 establishes that the enterprise should have a managed enterprise architecture function delivering architectural value, with named processes for architecture vision, definition, governance, and adoption. Explicitly aligned with TOGAF — APO03 references TOGAF as the reference framework for fulfilling the objective. The integration point between COBIT (governance) and TOGAF (architecture practice).</w:t>
            </w:r>
          </w:p>
        </w:tc>
      </w:tr>
    </w:tbl>
    <w:p>
      <w:pPr>
        <w:pStyle w:val="Heading3"/>
        <w:spacing w:after="120" w:before="220"/>
      </w:pPr>
      <w:r>
        <w:rPr>
          <w:b/>
          <w:bCs/>
          <w:color w:val="404040"/>
        </w:rPr>
        <w:t xml:space="preserve">Why APO03 Matters</w:t>
      </w:r>
    </w:p>
    <w:p>
      <w:pPr>
        <w:spacing w:after="120" w:line="300"/>
        <w:jc w:val="both"/>
      </w:pPr>
      <w:r>
        <w:t xml:space="preserve">APO03 is what makes the TOGAF/COBIT pairing more than a generic alignment claim. The COBIT objective explicitly recommends TOGAF as the framework for fulfilling the architecture management responsibility. An enterprise audited against COBIT 2019 with TOGAF-aligned practice can directly trace its architectural practice to the recognised standard. The recognition flows in both directions — COBIT recognises TOGAF as the architecture standard, and TOGAF practice fulfils COBIT's architecture-related governance expectations.</w:t>
      </w:r>
    </w:p>
    <w:p>
      <w:pPr>
        <w:pStyle w:val="Heading2"/>
        <w:spacing w:after="160" w:before="280"/>
      </w:pPr>
      <w:r>
        <w:rPr>
          <w:b/>
          <w:bCs/>
          <w:color w:val="2E75B6"/>
        </w:rPr>
        <w:t xml:space="preserve">4.4 How COBIT Complements TOGAF</w:t>
      </w:r>
    </w:p>
    <w:p>
      <w:pPr>
        <w:spacing w:after="120" w:line="300"/>
        <w:jc w:val="both"/>
      </w:pPr>
      <w:r>
        <w:t xml:space="preserve">TOGAF tells you how to do architecture work; COBIT tells you how to govern the IT function within which architecture work happens. The two are layered:</w:t>
      </w:r>
    </w:p>
    <w:p>
      <w:pPr>
        <w:pStyle w:val="ListParagraph"/>
        <w:numPr>
          <w:ilvl w:val="0"/>
          <w:numId w:val="2"/>
        </w:numPr>
        <w:spacing w:after="80" w:line="280"/>
      </w:pPr>
      <w:r>
        <w:t xml:space="preserve">COBIT EDM and APO domains operate above TOGAF — they answer how the architecture function is governed and aligned with enterprise governance.</w:t>
      </w:r>
    </w:p>
    <w:p>
      <w:pPr>
        <w:pStyle w:val="ListParagraph"/>
        <w:numPr>
          <w:ilvl w:val="0"/>
          <w:numId w:val="2"/>
        </w:numPr>
        <w:spacing w:after="80" w:line="280"/>
      </w:pPr>
      <w:r>
        <w:t xml:space="preserve">TOGAF operates in detail within COBIT's APO03 — once the governance has established that architecture is a managed function, TOGAF specifies how that function operates.</w:t>
      </w:r>
    </w:p>
    <w:p>
      <w:pPr>
        <w:pStyle w:val="ListParagraph"/>
        <w:numPr>
          <w:ilvl w:val="0"/>
          <w:numId w:val="2"/>
        </w:numPr>
        <w:spacing w:after="80" w:line="280"/>
      </w:pPr>
      <w:r>
        <w:t xml:space="preserve">COBIT BAI and DSS overlap with TOGAF's Phase G/H and with ITIL — they handle implementation governance and operations within the COBIT-governed function.</w:t>
      </w:r>
    </w:p>
    <w:p>
      <w:pPr>
        <w:pStyle w:val="ListParagraph"/>
        <w:numPr>
          <w:ilvl w:val="0"/>
          <w:numId w:val="2"/>
        </w:numPr>
        <w:spacing w:after="80" w:line="280"/>
      </w:pPr>
      <w:r>
        <w:t xml:space="preserve">COBIT MEA covers the audit and assurance function — including auditing of architectural practice against TOGAF.</w:t>
      </w:r>
    </w:p>
    <w:p>
      <w:pPr>
        <w:pStyle w:val="Heading2"/>
        <w:spacing w:after="160" w:before="280"/>
      </w:pPr>
      <w:r>
        <w:rPr>
          <w:b/>
          <w:bCs/>
          <w:color w:val="2E75B6"/>
        </w:rPr>
        <w:t xml:space="preserve">4.5 Where COBIT Is Required</w:t>
      </w:r>
    </w:p>
    <w:p>
      <w:pPr>
        <w:spacing w:after="120" w:line="300"/>
        <w:jc w:val="both"/>
      </w:pPr>
      <w:r>
        <w:t xml:space="preserve">In many regulated industries, COBIT is effectively required by auditors and regulators:</w:t>
      </w:r>
    </w:p>
    <w:p>
      <w:pPr>
        <w:pStyle w:val="ListParagraph"/>
        <w:numPr>
          <w:ilvl w:val="0"/>
          <w:numId w:val="2"/>
        </w:numPr>
        <w:spacing w:after="80" w:line="280"/>
      </w:pPr>
      <w:r>
        <w:t xml:space="preserve">Banking — most retail and investment banks are audited against COBIT for IT governance, particularly for SOX (US) and similar regulatory regimes.</w:t>
      </w:r>
    </w:p>
    <w:p>
      <w:pPr>
        <w:pStyle w:val="ListParagraph"/>
        <w:numPr>
          <w:ilvl w:val="0"/>
          <w:numId w:val="2"/>
        </w:numPr>
        <w:spacing w:after="80" w:line="280"/>
      </w:pPr>
      <w:r>
        <w:t xml:space="preserve">Insurance — increasingly common for COBIT alignment to be part of regulatory expectation.</w:t>
      </w:r>
    </w:p>
    <w:p>
      <w:pPr>
        <w:pStyle w:val="ListParagraph"/>
        <w:numPr>
          <w:ilvl w:val="0"/>
          <w:numId w:val="2"/>
        </w:numPr>
        <w:spacing w:after="80" w:line="280"/>
      </w:pPr>
      <w:r>
        <w:t xml:space="preserve">Government — many government agencies require COBIT compliance for IT governance.</w:t>
      </w:r>
    </w:p>
    <w:p>
      <w:pPr>
        <w:pStyle w:val="ListParagraph"/>
        <w:numPr>
          <w:ilvl w:val="0"/>
          <w:numId w:val="2"/>
        </w:numPr>
        <w:spacing w:after="80" w:line="280"/>
      </w:pPr>
      <w:r>
        <w:t xml:space="preserve">Listed companies — public-company audit increasingly references COBIT for IT controls.</w:t>
      </w:r>
    </w:p>
    <w:p>
      <w:pPr>
        <w:spacing w:after="120" w:line="300"/>
        <w:jc w:val="both"/>
      </w:pPr>
      <w:r>
        <w:t xml:space="preserve">In these contexts, the TOGAF/COBIT pairing is not optional — COBIT compliance is required, and TOGAF (via APO03) is the most-recognised way to fulfil the architecture-related parts of that compliance.</w:t>
      </w:r>
    </w:p>
    <w:p>
      <w:r>
        <w:br w:type="page"/>
      </w:r>
    </w:p>
    <w:p>
      <w:pPr>
        <w:pStyle w:val="Heading1"/>
        <w:spacing w:after="200" w:before="360"/>
      </w:pPr>
      <w:r>
        <w:rPr>
          <w:b/>
          <w:bCs/>
          <w:color w:val="1F4E78"/>
        </w:rPr>
        <w:t xml:space="preserve">5. TOGAF + SAFe — Enterprise Architecture Plus Agile Delivery</w:t>
      </w:r>
    </w:p>
    <w:p>
      <w:pPr>
        <w:spacing w:after="120" w:line="300"/>
        <w:jc w:val="both"/>
      </w:pPr>
      <w:r>
        <w:t xml:space="preserve">SAFe — the Scaled Agile Framework — is the dominant framework for Agile delivery at enterprise scale. Module 21 covered the TOGAF + SAFe integration in depth as part of Agile architecture; this section reprises and extends it with focus on the integration mechanics.</w:t>
      </w:r>
    </w:p>
    <w:p>
      <w:pPr>
        <w:pStyle w:val="Heading2"/>
        <w:spacing w:after="160" w:before="280"/>
      </w:pPr>
      <w:r>
        <w:rPr>
          <w:b/>
          <w:bCs/>
          <w:color w:val="2E75B6"/>
        </w:rPr>
        <w:t xml:space="preserve">5.1 What SAFe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SAFe (Scaled Agile Framework): </w:t>
            </w:r>
            <w:r>
              <w:t xml:space="preserve">The dominant framework for Agile delivery at enterprise scale. Maintained by Scaled Agile Inc. Currently at version 6.0. Organises delivery into ARTs (Agile Release Trains, 50-125 people) running on synchronised Planning Increments (PIs, 8-12 weeks). Includes named ceremonies (PI Planning, System Demo, Inspect &amp; Adapt), roles (Release Train Engineer, Product Manager, System Architect, Solution Architect), and artefacts (Solution Roadmap, PI Objectives, Architectural Runway). Widely adopted across enterprises pursuing Agile at scale.</w:t>
            </w:r>
          </w:p>
        </w:tc>
      </w:tr>
    </w:tbl>
    <w:p>
      <w:pPr>
        <w:pStyle w:val="Heading2"/>
        <w:spacing w:after="160" w:before="280"/>
      </w:pPr>
      <w:r>
        <w:rPr>
          <w:b/>
          <w:bCs/>
          <w:color w:val="2E75B6"/>
        </w:rPr>
        <w:t xml:space="preserve">5.2 The TOGAF + SAFe Integration</w:t>
      </w:r>
    </w:p>
    <w:p>
      <w:pPr>
        <w:spacing w:after="120" w:line="300"/>
        <w:jc w:val="both"/>
      </w:pPr>
      <w:r>
        <w:t xml:space="preserve">Module 21 covered the detailed mapping. The headline integration points:</w:t>
      </w:r>
    </w:p>
    <w:p>
      <w:pPr>
        <w:pStyle w:val="ListParagraph"/>
        <w:numPr>
          <w:ilvl w:val="0"/>
          <w:numId w:val="2"/>
        </w:numPr>
        <w:spacing w:after="80" w:line="280"/>
      </w:pPr>
      <w:r>
        <w:t xml:space="preserve">Phase A ↔ PI Planning. The architectural context (Vision, principles, scope) feeds PI Planning.</w:t>
      </w:r>
    </w:p>
    <w:p>
      <w:pPr>
        <w:pStyle w:val="ListParagraph"/>
        <w:numPr>
          <w:ilvl w:val="0"/>
          <w:numId w:val="2"/>
        </w:numPr>
        <w:spacing w:after="80" w:line="280"/>
      </w:pPr>
      <w:r>
        <w:t xml:space="preserve">Phases B/C/D ↔ Architectural Runway. The target architecture sufficient for upcoming Features.</w:t>
      </w:r>
    </w:p>
    <w:p>
      <w:pPr>
        <w:pStyle w:val="ListParagraph"/>
        <w:numPr>
          <w:ilvl w:val="0"/>
          <w:numId w:val="2"/>
        </w:numPr>
        <w:spacing w:after="80" w:line="280"/>
      </w:pPr>
      <w:r>
        <w:t xml:space="preserve">Phase G ↔ System Demo + Fitness Functions. Continuous compliance verification.</w:t>
      </w:r>
    </w:p>
    <w:p>
      <w:pPr>
        <w:pStyle w:val="ListParagraph"/>
        <w:numPr>
          <w:ilvl w:val="0"/>
          <w:numId w:val="2"/>
        </w:numPr>
        <w:spacing w:after="80" w:line="280"/>
      </w:pPr>
      <w:r>
        <w:t xml:space="preserve">Phase H ↔ Inspect &amp; Adapt. Architectural learning from each PI.</w:t>
      </w:r>
    </w:p>
    <w:p>
      <w:pPr>
        <w:pStyle w:val="ListParagraph"/>
        <w:numPr>
          <w:ilvl w:val="0"/>
          <w:numId w:val="2"/>
        </w:numPr>
        <w:spacing w:after="80" w:line="280"/>
      </w:pPr>
      <w:r>
        <w:t xml:space="preserve">System Architect / Solution Architect roles in SAFe map to TOGAF Application or Technology Architect at engagement scope.</w:t>
      </w:r>
    </w:p>
    <w:p>
      <w:pPr>
        <w:pStyle w:val="Heading2"/>
        <w:spacing w:after="160" w:before="280"/>
      </w:pPr>
      <w:r>
        <w:rPr>
          <w:b/>
          <w:bCs/>
          <w:color w:val="2E75B6"/>
        </w:rPr>
        <w:t xml:space="preserve">5.3 The Roles in Detail</w:t>
      </w:r>
    </w:p>
    <w:p>
      <w:pPr>
        <w:pStyle w:val="Heading3"/>
        <w:spacing w:after="120" w:before="220"/>
      </w:pPr>
      <w:r>
        <w:rPr>
          <w:b/>
          <w:bCs/>
          <w:color w:val="404040"/>
        </w:rPr>
        <w:t xml:space="preserve">System Architect (SAFe role; Module 21)</w:t>
      </w:r>
    </w:p>
    <w:p>
      <w:pPr>
        <w:spacing w:after="120" w:line="300"/>
        <w:jc w:val="both"/>
      </w:pPr>
      <w:r>
        <w:t xml:space="preserve">The technical architect for one Agile Release Train. Responsible for the architecture of the systems within that ART's scope. Participates in PI Planning, contributes to Architectural Runway, supports Feature teams within the ART. In TOGAF terms, the System Architect typically operates at Capability cycle level — running TOGAF engagements at ART scope while feeding into broader Segment and Strategic cycles.</w:t>
      </w:r>
    </w:p>
    <w:p>
      <w:pPr>
        <w:pStyle w:val="Heading3"/>
        <w:spacing w:after="120" w:before="220"/>
      </w:pPr>
      <w:r>
        <w:rPr>
          <w:b/>
          <w:bCs/>
          <w:color w:val="404040"/>
        </w:rPr>
        <w:t xml:space="preserve">Solution Architect (SAFe role)</w:t>
      </w:r>
    </w:p>
    <w:p>
      <w:pPr>
        <w:spacing w:after="120" w:line="300"/>
        <w:jc w:val="both"/>
      </w:pPr>
      <w:r>
        <w:t xml:space="preserve">The technical architect for a Solution Train — a coordinated group of multiple ARTs delivering a substantial Solution. Responsible for cross-ART architectural coordination, the Solution-level Architectural Runway, and the architectural quality of the integrated Solution. In TOGAF terms, the Solution Architect operates at Segment cycle level.</w:t>
      </w:r>
    </w:p>
    <w:p>
      <w:pPr>
        <w:pStyle w:val="Heading3"/>
        <w:spacing w:after="120" w:before="220"/>
      </w:pPr>
      <w:r>
        <w:rPr>
          <w:b/>
          <w:bCs/>
          <w:color w:val="404040"/>
        </w:rPr>
        <w:t xml:space="preserve">Enterprise Architect (TOGAF role)</w:t>
      </w:r>
    </w:p>
    <w:p>
      <w:pPr>
        <w:spacing w:after="120" w:line="300"/>
        <w:jc w:val="both"/>
      </w:pPr>
      <w:r>
        <w:t xml:space="preserve">Above the Solution Architect, the Enterprise Architect operates at the Strategic cycle level, providing context and coordination across multiple Solution Trains. In a SAFe + TOGAF enterprise, the Enterprise Architect role typically reports through the Chief Architect (Module 12) and provides input to multiple Solution Trains and ARTs.</w:t>
      </w:r>
    </w:p>
    <w:p>
      <w:pPr>
        <w:pStyle w:val="Heading2"/>
        <w:spacing w:after="160" w:before="280"/>
      </w:pPr>
      <w:r>
        <w:rPr>
          <w:b/>
          <w:bCs/>
          <w:color w:val="2E75B6"/>
        </w:rPr>
        <w:t xml:space="preserve">5.4 The Pairing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TOGAF + SAFe at Scale</w:t>
            </w:r>
          </w:p>
          <w:p>
            <w:pPr>
              <w:spacing w:after="60" w:line="280"/>
              <w:jc w:val="both"/>
            </w:pPr>
            <w:r>
              <w:t xml:space="preserve">Acme Bank operates 4 Solution Trains: Retail Banking, Wealth, Commercial, Operations. Each Solution Train has 2-5 ARTs.</w:t>
            </w:r>
          </w:p>
          <w:p>
            <w:pPr>
              <w:spacing w:after="60" w:line="280"/>
              <w:jc w:val="both"/>
            </w:pPr>
            <w:r>
              <w:t xml:space="preserve">Strategic level (TOGAF Strategic cycle): the Chief Architect's office runs a strategic architecture cycle every 2-3 years, producing enterprise principles, strategic capability decisions, and the cross-train architectural runway.</w:t>
            </w:r>
          </w:p>
          <w:p>
            <w:pPr>
              <w:spacing w:after="60" w:line="280"/>
              <w:jc w:val="both"/>
            </w:pPr>
            <w:r>
              <w:t xml:space="preserve">Segment level (TOGAF Segment cycle): each Solution Train has a Solution Architect who operates a Segment-level architecture cycle annually. Outputs feed into PI Planning across the train's ARTs.</w:t>
            </w:r>
          </w:p>
          <w:p>
            <w:pPr>
              <w:spacing w:after="60" w:line="280"/>
              <w:jc w:val="both"/>
            </w:pPr>
            <w:r>
              <w:t xml:space="preserve">Capability level (TOGAF Capability cycle): each ART has a System Architect operating a Capability-scope cycle per significant engagement (typically 6-18 months per cycle).</w:t>
            </w:r>
          </w:p>
          <w:p>
            <w:pPr>
              <w:spacing w:after="60" w:line="280"/>
              <w:jc w:val="both"/>
            </w:pPr>
            <w:r>
              <w:t xml:space="preserve">PI Planning happens every 10 weeks across all 4 Solution Trains. Each PI Planning is informed by the relevant level's architecture work — strategic guidance from above; segment direction from the Solution Architect; capability detail from the System Architect.</w:t>
            </w:r>
          </w:p>
          <w:p>
            <w:pPr>
              <w:spacing w:after="60" w:line="280"/>
              <w:jc w:val="both"/>
            </w:pPr>
            <w:r>
              <w:t xml:space="preserve">Architectural Runway is maintained at three levels — strategic (cross-train), segment (within Solution Train), capability (within ART). Each level dedicates 20-30% of capacity to runway extension.</w:t>
            </w:r>
          </w:p>
          <w:p>
            <w:pPr>
              <w:spacing w:after="60" w:line="280"/>
              <w:jc w:val="both"/>
            </w:pPr>
            <w:r>
              <w:t xml:space="preserve">TOGAF provides the strategic-segment-capability cycle structure; SAFe provides the PI rhythm and ART/Solution Train operating model. The two combined give Acme both architectural coherence (TOGAF) and delivery flow (SAFe) at scale.</w:t>
            </w:r>
          </w:p>
        </w:tc>
      </w:tr>
    </w:tbl>
    <w:p>
      <w:r>
        <w:br w:type="page"/>
      </w:r>
    </w:p>
    <w:p>
      <w:pPr>
        <w:pStyle w:val="Heading1"/>
        <w:spacing w:after="200" w:before="360"/>
      </w:pPr>
      <w:r>
        <w:rPr>
          <w:b/>
          <w:bCs/>
          <w:color w:val="1F4E78"/>
        </w:rPr>
        <w:t xml:space="preserve">6. TOGAF + SABSA — Enterprise Architecture Plus Security Depth</w:t>
      </w:r>
    </w:p>
    <w:p>
      <w:pPr>
        <w:spacing w:after="120" w:line="300"/>
        <w:jc w:val="both"/>
      </w:pPr>
      <w:r>
        <w:t xml:space="preserve">Module 19 covered SABSA in detail as the security-architecture-specific complement to TOGAF. This section reprises the integration with focus on how SABSA fills the security gap that TOGAF treats lightly.</w:t>
      </w:r>
    </w:p>
    <w:p>
      <w:pPr>
        <w:pStyle w:val="Heading2"/>
        <w:spacing w:after="160" w:before="280"/>
      </w:pPr>
      <w:r>
        <w:rPr>
          <w:b/>
          <w:bCs/>
          <w:color w:val="2E75B6"/>
        </w:rPr>
        <w:t xml:space="preserve">6.1 The Security Architecture Gap in TOGAF</w:t>
      </w:r>
    </w:p>
    <w:p>
      <w:pPr>
        <w:spacing w:after="120" w:line="300"/>
        <w:jc w:val="both"/>
      </w:pPr>
      <w:r>
        <w:t xml:space="preserve">TOGAF treats security as cross-cutting (Module 19 — security across all four BDAT domains) but does not provide the depth of security-architecture-specific content that real security architecture demands. The TOGAF Series Guide on Security covers integration patterns and key concepts (STRIDE, Zero Trust, Defense in Depth, the six security ABBs) but does not replace specialist security architecture frameworks for serious security work.</w:t>
      </w:r>
    </w:p>
    <w:p>
      <w:pPr>
        <w:pStyle w:val="Heading2"/>
        <w:spacing w:after="160" w:before="280"/>
      </w:pPr>
      <w:r>
        <w:rPr>
          <w:b/>
          <w:bCs/>
          <w:color w:val="2E75B6"/>
        </w:rPr>
        <w:t xml:space="preserve">6.2 How SABSA Fills the Gap</w:t>
      </w:r>
    </w:p>
    <w:p>
      <w:pPr>
        <w:spacing w:after="120" w:line="300"/>
        <w:jc w:val="both"/>
      </w:pPr>
      <w:r>
        <w:t xml:space="preserve">SABSA provides:</w:t>
      </w:r>
    </w:p>
    <w:p>
      <w:pPr>
        <w:pStyle w:val="ListParagraph"/>
        <w:numPr>
          <w:ilvl w:val="0"/>
          <w:numId w:val="2"/>
        </w:numPr>
        <w:spacing w:after="80" w:line="280"/>
      </w:pPr>
      <w:r>
        <w:t xml:space="preserve">A six-layer security architecture model — Contextual, Conceptual, Logical, Physical, Component, Operational — that elaborates security architecture across abstraction levels in a way TOGAF does not.</w:t>
      </w:r>
    </w:p>
    <w:p>
      <w:pPr>
        <w:pStyle w:val="ListParagraph"/>
        <w:numPr>
          <w:ilvl w:val="0"/>
          <w:numId w:val="2"/>
        </w:numPr>
        <w:spacing w:after="80" w:line="280"/>
      </w:pPr>
      <w:r>
        <w:t xml:space="preserve">The Business Attribute Profile — around 80 business attributes that security architecture should preserve, organised into 7 categories. Provides a rigorous business-driven starting point for security architecture.</w:t>
      </w:r>
    </w:p>
    <w:p>
      <w:pPr>
        <w:pStyle w:val="ListParagraph"/>
        <w:numPr>
          <w:ilvl w:val="0"/>
          <w:numId w:val="2"/>
        </w:numPr>
        <w:spacing w:after="80" w:line="280"/>
      </w:pPr>
      <w:r>
        <w:t xml:space="preserve">Risk-driven architecture techniques — explicit methods for connecting business risk to security control objectives to specific security architecture decisions.</w:t>
      </w:r>
    </w:p>
    <w:p>
      <w:pPr>
        <w:pStyle w:val="ListParagraph"/>
        <w:numPr>
          <w:ilvl w:val="0"/>
          <w:numId w:val="2"/>
        </w:numPr>
        <w:spacing w:after="80" w:line="280"/>
      </w:pPr>
      <w:r>
        <w:t xml:space="preserve">Detailed templates for each of the six layers — what artefacts are produced, what questions are answered.</w:t>
      </w:r>
    </w:p>
    <w:p>
      <w:pPr>
        <w:pStyle w:val="Heading2"/>
        <w:spacing w:after="160" w:before="280"/>
      </w:pPr>
      <w:r>
        <w:rPr>
          <w:b/>
          <w:bCs/>
          <w:color w:val="2E75B6"/>
        </w:rPr>
        <w:t xml:space="preserve">6.3 The TOGAF + SABSA Integration</w:t>
      </w:r>
    </w:p>
    <w:p>
      <w:pPr>
        <w:spacing w:after="120" w:line="300"/>
        <w:jc w:val="both"/>
      </w:pPr>
      <w:r>
        <w:t xml:space="preserve">Three patterns of joint use (also covered in Module 19):</w:t>
      </w:r>
    </w:p>
    <w:p>
      <w:pPr>
        <w:pStyle w:val="ListParagraph"/>
        <w:numPr>
          <w:ilvl w:val="0"/>
          <w:numId w:val="3"/>
        </w:numPr>
        <w:spacing w:after="80" w:line="280"/>
      </w:pPr>
      <w:r>
        <w:t xml:space="preserve">TOGAF as master method; SABSA for security depth. The architecture practice runs the ADM; security architects use SABSA techniques within the security work that the ADM produces.</w:t>
      </w:r>
    </w:p>
    <w:p>
      <w:pPr>
        <w:pStyle w:val="ListParagraph"/>
        <w:numPr>
          <w:ilvl w:val="0"/>
          <w:numId w:val="3"/>
        </w:numPr>
        <w:spacing w:after="80" w:line="280"/>
      </w:pPr>
      <w:r>
        <w:t xml:space="preserve">Layer-to-phase mapping. SABSA's Contextual layer aligns with TOGAF Phase A; SABSA's Logical with TOGAF Phases B/C/D; SABSA's Physical with Phases C/D/E; SABSA's Operational with Phases G/H.</w:t>
      </w:r>
    </w:p>
    <w:p>
      <w:pPr>
        <w:pStyle w:val="ListParagraph"/>
        <w:numPr>
          <w:ilvl w:val="0"/>
          <w:numId w:val="3"/>
        </w:numPr>
        <w:spacing w:after="80" w:line="280"/>
      </w:pPr>
      <w:r>
        <w:t xml:space="preserve">Joint certification. Security architects in regulated industries often hold both TOGAF and SABSA certifications. The combination signals competence in both the broader architecture method and the security-specific depth.</w:t>
      </w:r>
    </w:p>
    <w:p>
      <w:r>
        <w:br w:type="page"/>
      </w:r>
    </w:p>
    <w:p>
      <w:pPr>
        <w:pStyle w:val="Heading1"/>
        <w:spacing w:after="200" w:before="360"/>
      </w:pPr>
      <w:r>
        <w:rPr>
          <w:b/>
          <w:bCs/>
          <w:color w:val="1F4E78"/>
        </w:rPr>
        <w:t xml:space="preserve">7. TOGAF + Domain-Deep Practitioner References (BIZBOK, DAMA-DMBOK)</w:t>
      </w:r>
    </w:p>
    <w:p>
      <w:pPr>
        <w:spacing w:after="120" w:line="300"/>
        <w:jc w:val="both"/>
      </w:pPr>
      <w:r>
        <w:t xml:space="preserve">Two practitioner-community-maintained bodies of knowledge complement TOGAF in specific architectural domains: BIZBOK for business architecture; DAMA-DMBOK for data management. Both have been covered in earlier modules (BIZBOK in Module 18; DAMA-DMBOK in Module 25). This section reprises them as integration partners.</w:t>
      </w:r>
    </w:p>
    <w:p>
      <w:pPr>
        <w:pStyle w:val="Heading2"/>
        <w:spacing w:after="160" w:before="280"/>
      </w:pPr>
      <w:r>
        <w:rPr>
          <w:b/>
          <w:bCs/>
          <w:color w:val="2E75B6"/>
        </w:rPr>
        <w:t xml:space="preserve">7.1 BIZBOK — Business Architecture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BIZBOK (Business Architecture Body of Knowledge): </w:t>
            </w:r>
            <w:r>
              <w:t xml:space="preserve">The principal external reference for business architecture practice, maintained by the Business Architecture Guild. Provides definitions, techniques, frameworks, and reference material for business architecture. Includes industry-specific reference Capability Maps for banking, insurance, healthcare, manufacturing, government, retail, and others. Now in version 13. Aligned with TOGAF Business Architecture; many enterprises adopt both.</w:t>
            </w:r>
          </w:p>
        </w:tc>
      </w:tr>
    </w:tbl>
    <w:p>
      <w:pPr>
        <w:spacing w:after="120" w:line="300"/>
        <w:jc w:val="both"/>
      </w:pPr>
      <w:r>
        <w:t xml:space="preserve">BIZBOK fills the business-architecture-depth gap. TOGAF Phase B and the Business Architecture Series Guide cover business architecture, but BIZBOK provides:</w:t>
      </w:r>
    </w:p>
    <w:p>
      <w:pPr>
        <w:pStyle w:val="ListParagraph"/>
        <w:numPr>
          <w:ilvl w:val="0"/>
          <w:numId w:val="2"/>
        </w:numPr>
        <w:spacing w:after="80" w:line="280"/>
      </w:pPr>
      <w:r>
        <w:t xml:space="preserve">Industry reference Capability Maps that serve as starting points (saving months of work compared to building from scratch).</w:t>
      </w:r>
    </w:p>
    <w:p>
      <w:pPr>
        <w:pStyle w:val="ListParagraph"/>
        <w:numPr>
          <w:ilvl w:val="0"/>
          <w:numId w:val="2"/>
        </w:numPr>
        <w:spacing w:after="80" w:line="280"/>
      </w:pPr>
      <w:r>
        <w:t xml:space="preserve">Detailed techniques elaborated procedurally that the TOGAF Series Guide treats more lightly.</w:t>
      </w:r>
    </w:p>
    <w:p>
      <w:pPr>
        <w:pStyle w:val="ListParagraph"/>
        <w:numPr>
          <w:ilvl w:val="0"/>
          <w:numId w:val="2"/>
        </w:numPr>
        <w:spacing w:after="80" w:line="280"/>
      </w:pPr>
      <w:r>
        <w:t xml:space="preserve">The Certified Business Architect (CBA) certification track for business-architecture specialists.</w:t>
      </w:r>
    </w:p>
    <w:p>
      <w:pPr>
        <w:pStyle w:val="ListParagraph"/>
        <w:numPr>
          <w:ilvl w:val="0"/>
          <w:numId w:val="2"/>
        </w:numPr>
        <w:spacing w:after="80" w:line="280"/>
      </w:pPr>
      <w:r>
        <w:t xml:space="preserve">A practitioner community focused specifically on business architecture.</w:t>
      </w:r>
    </w:p>
    <w:p>
      <w:pPr>
        <w:pStyle w:val="Heading2"/>
        <w:spacing w:after="160" w:before="280"/>
      </w:pPr>
      <w:r>
        <w:rPr>
          <w:b/>
          <w:bCs/>
          <w:color w:val="2E75B6"/>
        </w:rPr>
        <w:t xml:space="preserve">7.2 DAMA-DMBOK — Data Management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DAMA-DMBOK (Data Management Body of Knowledge): </w:t>
            </w:r>
            <w:r>
              <w:t xml:space="preserve">The principal external reference for data management practice, maintained by DAMA International. DMBOK 2 (current edition) covers eleven knowledge areas including data governance, data architecture, data modeling, data storage, data security, data integration, master and reference data management, data warehousing, business intelligence, metadata, and data quality. Widely used in data-management-heavy enterprises. CDMP certification is the principal data management credential.</w:t>
            </w:r>
          </w:p>
        </w:tc>
      </w:tr>
    </w:tbl>
    <w:p>
      <w:pPr>
        <w:spacing w:after="120" w:line="300"/>
        <w:jc w:val="both"/>
      </w:pPr>
      <w:r>
        <w:t xml:space="preserve">DAMA-DMBOK fills the data-management-depth gap. TOGAF Phase C-Data and the Information Architecture Series Guide cover data architecture, but DAMA-DMBOK provides:</w:t>
      </w:r>
    </w:p>
    <w:p>
      <w:pPr>
        <w:pStyle w:val="ListParagraph"/>
        <w:numPr>
          <w:ilvl w:val="0"/>
          <w:numId w:val="2"/>
        </w:numPr>
        <w:spacing w:after="80" w:line="280"/>
      </w:pPr>
      <w:r>
        <w:t xml:space="preserve">Eleven knowledge areas covered in significantly more depth than TOGAF treats them.</w:t>
      </w:r>
    </w:p>
    <w:p>
      <w:pPr>
        <w:pStyle w:val="ListParagraph"/>
        <w:numPr>
          <w:ilvl w:val="0"/>
          <w:numId w:val="2"/>
        </w:numPr>
        <w:spacing w:after="80" w:line="280"/>
      </w:pPr>
      <w:r>
        <w:t xml:space="preserve">The Certified Data Management Professional (CDMP) certification track.</w:t>
      </w:r>
    </w:p>
    <w:p>
      <w:pPr>
        <w:pStyle w:val="ListParagraph"/>
        <w:numPr>
          <w:ilvl w:val="0"/>
          <w:numId w:val="2"/>
        </w:numPr>
        <w:spacing w:after="80" w:line="280"/>
      </w:pPr>
      <w:r>
        <w:t xml:space="preserve">A practitioner community focused on data management.</w:t>
      </w:r>
    </w:p>
    <w:p>
      <w:pPr>
        <w:pStyle w:val="ListParagraph"/>
        <w:numPr>
          <w:ilvl w:val="0"/>
          <w:numId w:val="2"/>
        </w:numPr>
        <w:spacing w:after="80" w:line="280"/>
      </w:pPr>
      <w:r>
        <w:t xml:space="preserve">Concrete techniques and templates for data management work.</w:t>
      </w:r>
    </w:p>
    <w:p>
      <w:pPr>
        <w:pStyle w:val="Heading2"/>
        <w:spacing w:after="160" w:before="280"/>
      </w:pPr>
      <w:r>
        <w:rPr>
          <w:b/>
          <w:bCs/>
          <w:color w:val="2E75B6"/>
        </w:rPr>
        <w:t xml:space="preserve">7.3 The Integration Pattern</w:t>
      </w:r>
    </w:p>
    <w:p>
      <w:pPr>
        <w:spacing w:after="120" w:line="300"/>
        <w:jc w:val="both"/>
      </w:pPr>
      <w:r>
        <w:t xml:space="preserve">Both BIZBOK and DAMA-DMBOK integrate with TOGAF in similar ways:</w:t>
      </w:r>
    </w:p>
    <w:p>
      <w:pPr>
        <w:pStyle w:val="ListParagraph"/>
        <w:numPr>
          <w:ilvl w:val="0"/>
          <w:numId w:val="3"/>
        </w:numPr>
        <w:spacing w:after="80" w:line="280"/>
      </w:pPr>
      <w:r>
        <w:t xml:space="preserve">TOGAF provides the architecture method (the ADM, the Capability Framework, the Content Framework, the cross-domain integration).</w:t>
      </w:r>
    </w:p>
    <w:p>
      <w:pPr>
        <w:pStyle w:val="ListParagraph"/>
        <w:numPr>
          <w:ilvl w:val="0"/>
          <w:numId w:val="3"/>
        </w:numPr>
        <w:spacing w:after="80" w:line="280"/>
      </w:pPr>
      <w:r>
        <w:t xml:space="preserve">BIZBOK or DAMA-DMBOK provides the domain depth — the techniques, templates, reference content, and practitioner know-how specific to business architecture or data management respectively.</w:t>
      </w:r>
    </w:p>
    <w:p>
      <w:pPr>
        <w:pStyle w:val="ListParagraph"/>
        <w:numPr>
          <w:ilvl w:val="0"/>
          <w:numId w:val="3"/>
        </w:numPr>
        <w:spacing w:after="80" w:line="280"/>
      </w:pPr>
      <w:r>
        <w:t xml:space="preserve">The architect's role aligns with the domain — Business Architects typically hold TOGAF + BIZBOK (often CBA-certified); Data Architects typically hold TOGAF + DAMA-DMBOK (often CDMP-certified).</w:t>
      </w:r>
    </w:p>
    <w:p>
      <w:pPr>
        <w:pStyle w:val="ListParagraph"/>
        <w:numPr>
          <w:ilvl w:val="0"/>
          <w:numId w:val="3"/>
        </w:numPr>
        <w:spacing w:after="80" w:line="280"/>
      </w:pPr>
      <w:r>
        <w:t xml:space="preserve">Industry reference content from BIZBOK or DAMA-DMBOK is adopted into the enterprise's Architecture Repository (Module 11) as starting points to be tailored.</w:t>
      </w:r>
    </w:p>
    <w:p>
      <w:pPr>
        <w:pStyle w:val="Heading2"/>
        <w:spacing w:after="160" w:before="280"/>
      </w:pPr>
      <w:r>
        <w:rPr>
          <w:b/>
          <w:bCs/>
          <w:color w:val="2E75B6"/>
        </w:rPr>
        <w:t xml:space="preserve">7.4 The Pairing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Three Architects, Three Pairings</w:t>
            </w:r>
          </w:p>
          <w:p>
            <w:pPr>
              <w:spacing w:after="60" w:line="280"/>
              <w:jc w:val="both"/>
            </w:pPr>
            <w:r>
              <w:t xml:space="preserve">Acme Bank's architecture function operates with three principal domain specialisms. Each holds a specific framework combination:</w:t>
            </w:r>
          </w:p>
          <w:p>
            <w:pPr>
              <w:spacing w:after="60" w:line="280"/>
              <w:jc w:val="both"/>
            </w:pPr>
            <w:r>
              <w:t xml:space="preserve">Business Architect: TOGAF Practitioner + BIZBOK / Certified Business Architect. Uses TOGAF's ADM as the engagement method; uses BIZBOK's banking-industry reference Capability Maps as starting points; engages the Business Architecture Guild community for practitioner know-how. Produces Phase B outputs that comply with TOGAF's structure but with BIZBOK's depth.</w:t>
            </w:r>
          </w:p>
          <w:p>
            <w:pPr>
              <w:spacing w:after="60" w:line="280"/>
              <w:jc w:val="both"/>
            </w:pPr>
            <w:r>
              <w:t xml:space="preserve">Data Architect: TOGAF Practitioner + DAMA / CDMP. Uses TOGAF's ADM as the method; uses DAMA-DMBOK's eleven knowledge areas as the structural reference for data work; engages DAMA's community for data-specific practitioner know-how. Produces Phase C-Data outputs that comply with TOGAF but with DAMA-DMBOK's depth.</w:t>
            </w:r>
          </w:p>
          <w:p>
            <w:pPr>
              <w:spacing w:after="60" w:line="280"/>
              <w:jc w:val="both"/>
            </w:pPr>
            <w:r>
              <w:t xml:space="preserve">Security Architect: TOGAF Practitioner + SABSA Chartered. Uses TOGAF's ADM as the method; uses SABSA's six-layer model for security depth across the engagement. Produces security architecture outputs aligned with both frameworks.</w:t>
            </w:r>
          </w:p>
          <w:p>
            <w:pPr>
              <w:spacing w:after="60" w:line="280"/>
              <w:jc w:val="both"/>
            </w:pPr>
            <w:r>
              <w:t xml:space="preserve">Three architects; three framework pairings; one shared TOGAF practice. The TOGAF method provides the unifying structure; the domain frameworks provide the specialist depth. This is the typical mature-enterprise architecture function in 2026.</w:t>
            </w:r>
          </w:p>
        </w:tc>
      </w:tr>
    </w:tbl>
    <w:p>
      <w:r>
        <w:br w:type="page"/>
      </w:r>
    </w:p>
    <w:p>
      <w:pPr>
        <w:pStyle w:val="Heading1"/>
        <w:spacing w:after="200" w:before="360"/>
      </w:pPr>
      <w:r>
        <w:rPr>
          <w:b/>
          <w:bCs/>
          <w:color w:val="1F4E78"/>
        </w:rPr>
        <w:t xml:space="preserve">8. The Integration Principle</w:t>
      </w:r>
    </w:p>
    <w:p>
      <w:pPr>
        <w:spacing w:after="120" w:line="300"/>
        <w:jc w:val="both"/>
      </w:pPr>
      <w:r>
        <w:t xml:space="preserve">The thread running through all seven integrations covered in this module is a single principle: TOGAF is the organising framework; other frameworks fill specific gaps. Understanding and applying this principle is what produces a coherent multi-framework practice rather than a confused jumble of overlapping standards.</w:t>
      </w:r>
    </w:p>
    <w:p>
      <w:pPr>
        <w:pStyle w:val="Heading2"/>
        <w:spacing w:after="160" w:before="280"/>
      </w:pPr>
      <w:r>
        <w:rPr>
          <w:b/>
          <w:bCs/>
          <w:color w:val="2E75B6"/>
        </w:rPr>
        <w:t xml:space="preserve">8.1 The Principle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Integration Principle: </w:t>
            </w:r>
            <w:r>
              <w:t xml:space="preserve">TOGAF is the organising framework for architectural practice — the ADM, the Capability Framework, the Content Framework, the Continuum provide the structural backbone within which architecture work happens. Other frameworks fill specific gaps that TOGAF treats lightly: ArchiMate for visual notation; Zachman for classification; ITIL for operations; COBIT for governance; SAFe for delivery scaling; SABSA for security depth; BIZBOK for business architecture depth; DAMA-DMBOK for data management depth. The integration is layered, not competitive — each framework illuminates a different facet.</w:t>
            </w:r>
          </w:p>
        </w:tc>
      </w:tr>
    </w:tbl>
    <w:p>
      <w:pPr>
        <w:pStyle w:val="Heading2"/>
        <w:spacing w:after="160" w:before="280"/>
      </w:pPr>
      <w:r>
        <w:rPr>
          <w:b/>
          <w:bCs/>
          <w:color w:val="2E75B6"/>
        </w:rPr>
        <w:t xml:space="preserve">8.2 Why TOGAF Plays the Organising Role</w:t>
      </w:r>
    </w:p>
    <w:p>
      <w:pPr>
        <w:spacing w:after="120" w:line="300"/>
        <w:jc w:val="both"/>
      </w:pPr>
      <w:r>
        <w:t xml:space="preserve">Three reasons TOGAF specifically — rather than one of the other frameworks — typically plays the organising role in mature enterprise architecture practice:</w:t>
      </w:r>
    </w:p>
    <w:p>
      <w:pPr>
        <w:pStyle w:val="ListParagraph"/>
        <w:numPr>
          <w:ilvl w:val="0"/>
          <w:numId w:val="3"/>
        </w:numPr>
        <w:spacing w:after="80" w:line="280"/>
      </w:pPr>
      <w:r>
        <w:t xml:space="preserve">Method coverage. TOGAF has the most comprehensive architecture method (the ADM) of any of the frameworks discussed. Most other frameworks address specific aspects rather than providing a complete architectural workflow.</w:t>
      </w:r>
    </w:p>
    <w:p>
      <w:pPr>
        <w:pStyle w:val="ListParagraph"/>
        <w:numPr>
          <w:ilvl w:val="0"/>
          <w:numId w:val="3"/>
        </w:numPr>
        <w:spacing w:after="80" w:line="280"/>
      </w:pPr>
      <w:r>
        <w:t xml:space="preserve">Recognition. TOGAF is the most widely-recognised enterprise architecture framework globally. Adopting TOGAF as the organising framework gets external recognition (auditors, regulators, executive committees) without further explanation.</w:t>
      </w:r>
    </w:p>
    <w:p>
      <w:pPr>
        <w:pStyle w:val="ListParagraph"/>
        <w:numPr>
          <w:ilvl w:val="0"/>
          <w:numId w:val="3"/>
        </w:numPr>
        <w:spacing w:after="80" w:line="280"/>
      </w:pPr>
      <w:r>
        <w:t xml:space="preserve">Designed for integration. TOGAF's Architecture Capability Framework, its Series Guides, and its ADM all explicitly accommodate other frameworks. The framework was designed to be the integrating layer rather than a self-contained practice.</w:t>
      </w:r>
    </w:p>
    <w:p>
      <w:pPr>
        <w:pStyle w:val="Heading2"/>
        <w:spacing w:after="160" w:before="280"/>
      </w:pPr>
      <w:r>
        <w:rPr>
          <w:b/>
          <w:bCs/>
          <w:color w:val="2E75B6"/>
        </w:rPr>
        <w:t xml:space="preserve">8.3 The Integration Pattern by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Adjacent Framework</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Gap It Fills</w:t>
            </w:r>
          </w:p>
        </w:tc>
        <w:tc>
          <w:tcPr>
            <w:tcW w:type="dxa" w:w="3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Where in TOGAF It Slots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ArchiMate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Visual notation for architecture</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Notation for diagrams in every TOGAF artefact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Zachman</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classification scheme</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Taxonomy for organising what TOGAF produces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ITIL 4</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IT operations and service management</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G handoff and Phase H inputs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COBIT 2019</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IT governance</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APO03 specifies TOGAF as architecture practice; TOGAF operates within COBIT-governed IT function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SAFe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Agile delivery at scale</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A ↔ PI Planning; Phases B/C/D ↔ Runway; Phase G ↔ System Demo; Phase H ↔ Inspect &amp; Adapt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SABSA</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Security architecture depth</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Within the cross-cutting security work of every TOGAF phase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BIZBOK</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architecture depth</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Within Phase B and ongoing business architecture work</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DAMA-DMBOK</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management depth</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Within Phase C-Data and ongoing data management</w:t>
            </w:r>
          </w:p>
        </w:tc>
      </w:tr>
    </w:tbl>
    <w:p>
      <w:pPr>
        <w:pStyle w:val="Heading2"/>
        <w:spacing w:after="160" w:before="280"/>
      </w:pPr>
      <w:r>
        <w:rPr>
          <w:b/>
          <w:bCs/>
          <w:color w:val="2E75B6"/>
        </w:rPr>
        <w:t xml:space="preserve">8.4 What Mature Multi-Framework Practice Looks Like</w:t>
      </w:r>
    </w:p>
    <w:p>
      <w:pPr>
        <w:spacing w:after="120" w:line="300"/>
        <w:jc w:val="both"/>
      </w:pPr>
      <w:r>
        <w:t xml:space="preserve">In a mature enterprise applying multiple frameworks coherently:</w:t>
      </w:r>
    </w:p>
    <w:p>
      <w:pPr>
        <w:pStyle w:val="ListParagraph"/>
        <w:numPr>
          <w:ilvl w:val="0"/>
          <w:numId w:val="2"/>
        </w:numPr>
        <w:spacing w:after="80" w:line="280"/>
      </w:pPr>
      <w:r>
        <w:t xml:space="preserve">TOGAF is the master method. The ADM structures every architecture engagement; TOGAF artefacts are the principal deliverables; TOGAF governance bodies (Architecture Board) coordinate across engagements.</w:t>
      </w:r>
    </w:p>
    <w:p>
      <w:pPr>
        <w:pStyle w:val="ListParagraph"/>
        <w:numPr>
          <w:ilvl w:val="0"/>
          <w:numId w:val="2"/>
        </w:numPr>
        <w:spacing w:after="80" w:line="280"/>
      </w:pPr>
      <w:r>
        <w:t xml:space="preserve">Each adjacent framework is applied where it adds value. ArchiMate appears in every diagram. ITIL appears at the operational handoff. COBIT appears in audit and governance reporting. SAFe appears in delivery cadences. Domain-deep frameworks appear within their domain-specific architectural work.</w:t>
      </w:r>
    </w:p>
    <w:p>
      <w:pPr>
        <w:pStyle w:val="ListParagraph"/>
        <w:numPr>
          <w:ilvl w:val="0"/>
          <w:numId w:val="2"/>
        </w:numPr>
        <w:spacing w:after="80" w:line="280"/>
      </w:pPr>
      <w:r>
        <w:t xml:space="preserve">Architects hold framework combinations. Few practitioners hold every framework's certification; most hold TOGAF plus one or two adjacent specialisms aligned with their role.</w:t>
      </w:r>
    </w:p>
    <w:p>
      <w:pPr>
        <w:pStyle w:val="ListParagraph"/>
        <w:numPr>
          <w:ilvl w:val="0"/>
          <w:numId w:val="2"/>
        </w:numPr>
        <w:spacing w:after="80" w:line="280"/>
      </w:pPr>
      <w:r>
        <w:t xml:space="preserve">Cross-framework integration is explicit. The enterprise's practice guide documents how each adjacent framework integrates with TOGAF, who is responsible for each, and where the boundaries are. Without this documentation, framework integration becomes ad-hoc and inconsistent across engagements.</w:t>
      </w:r>
    </w:p>
    <w:p>
      <w:pPr>
        <w:pStyle w:val="ListParagraph"/>
        <w:numPr>
          <w:ilvl w:val="0"/>
          <w:numId w:val="2"/>
        </w:numPr>
        <w:spacing w:after="80" w:line="280"/>
      </w:pPr>
      <w:r>
        <w:t xml:space="preserve">Tooling reflects the integration. EA tools support TOGAF + ArchiMate. CMDB tools support ITIL with links to the Architecture Repository. Governance tooling tracks COBIT control objectives with links to TOGAF artefacts. The integration is operationalised, not just conceptual.</w:t>
      </w:r>
    </w:p>
    <w:p>
      <w:pPr>
        <w:pStyle w:val="Heading2"/>
        <w:spacing w:after="160" w:before="280"/>
      </w:pPr>
      <w:r>
        <w:rPr>
          <w:b/>
          <w:bCs/>
          <w:color w:val="2E75B6"/>
        </w:rPr>
        <w:t xml:space="preserve">8.5 The Closing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The Mature Practitioner's Framework Map</w:t>
            </w:r>
          </w:p>
          <w:p>
            <w:pPr>
              <w:spacing w:after="60" w:line="280"/>
              <w:jc w:val="both"/>
            </w:pPr>
            <w:r>
              <w:t xml:space="preserve">TOGAF is the organising framework — the ADM, the Capability Framework, the Content Framework, the Continuum — within which architecture happens. ArchiMate is its notation. Zachman is its classification scheme. ITIL is its operational adjacent. COBIT is its governance adjacent. SAFe is its delivery adjacent. SABSA, BIZBOK, DAMA-DMBOK are its domain-deep adjacents. None competes with TOGAF; each illuminates a facet of the architectural work that TOGAF organises. The mature practitioner holds this integrated picture and reaches for the right framework for the right concern, with TOGAF providing the integrating structure throughout.</w:t>
            </w:r>
          </w:p>
        </w:tc>
      </w:tr>
    </w:tbl>
    <w:p>
      <w:r>
        <w:br w:type="page"/>
      </w:r>
    </w:p>
    <w:p>
      <w:pPr>
        <w:pStyle w:val="Heading1"/>
        <w:spacing w:after="200" w:before="360"/>
      </w:pPr>
      <w:r>
        <w:rPr>
          <w:b/>
          <w:bCs/>
          <w:color w:val="1F4E78"/>
        </w:rPr>
        <w:t xml:space="preserve">9. Summary and Review</w:t>
      </w:r>
    </w:p>
    <w:p>
      <w:pPr>
        <w:pStyle w:val="Heading2"/>
        <w:spacing w:after="160" w:before="280"/>
      </w:pPr>
      <w:r>
        <w:rPr>
          <w:b/>
          <w:bCs/>
          <w:color w:val="2E75B6"/>
        </w:rPr>
        <w:t xml:space="preserve">9.1 The Big Picture</w:t>
      </w:r>
    </w:p>
    <w:p>
      <w:pPr>
        <w:spacing w:after="120" w:line="300"/>
        <w:jc w:val="both"/>
      </w:pPr>
      <w:r>
        <w:t xml:space="preserve">Module 26 has covered the integration of TOGAF with seven principal adjacent frameworks: ArchiMate (notation), Zachman (classification), ITIL 4 (operations), COBIT 2019 (governance, with explicit APO03 alignment), SAFe (Agile delivery), SABSA (security depth), and the domain-deep practitioner references BIZBOK (business architecture) and DAMA-DMBOK (data management). The integration principle is straightforward: TOGAF is the organising framework; other frameworks fill specific gaps. TOGAF + ArchiMate provides process and notation. TOGAF + Zachman pairs prescriptive method with descriptive classification. TOGAF + ITIL handles architecture and operations across the lifecycle. TOGAF + COBIT slots architecture practice (TOGAF) within IT governance (COBIT) via APO03. TOGAF + SAFe combines enterprise architecture coherence with Agile delivery flow. TOGAF + SABSA pairs broad architecture method with security-specific depth. TOGAF + BIZBOK and DAMA-DMBOK provide domain-deep practitioner references. None of these adjacent frameworks competes with TOGAF; each complements it. The mature enterprise architecture practice operates with TOGAF as the organising backbone and adjacent frameworks filling their specific gaps.</w:t>
      </w:r>
    </w:p>
    <w:p>
      <w:pPr>
        <w:pStyle w:val="Heading2"/>
        <w:spacing w:after="160" w:before="280"/>
      </w:pPr>
      <w:r>
        <w:rPr>
          <w:b/>
          <w:bCs/>
          <w:color w:val="2E75B6"/>
        </w:rPr>
        <w:t xml:space="preserve">9.2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Pairing</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Integration Description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TOGAF + ArchiMate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Process + Notation. Both maintained by The Open Group. ArchiMate notation populates TOGAF artefacts.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TOGAF + Zachman</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Process + Classification. Zachman's 6×6 matrix (perspectives × What/How/Where/Who/When/Why aspects). Zachman is NOT a method.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TOGAF + ITIL 4</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 Operations. TOGAF builds; ITIL operates. Phase G handoff; Phase H consumes operational signals.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TOGAF + COBIT 2019</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 IT Governance. APO03 specifies TOGAF as the architecture management practice. Required in regulated industries.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TOGAF + SAFe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Enterprise Architecture + Agile Delivery. System Architect, Solution Architect, Enterprise Architect at Capability/Segment/Strategic cycle levels. PI Planning ↔ Phase A; Runway ↔ Phases B/C/D.</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TOGAF + SABSA</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EA + Security Depth. SABSA six-layer model; Business Attribute Profile. Joint certifications common in regulated industries.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TOGAF + BIZBOK</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 Business Architecture Depth. Industry reference Capability Maps. CBA certification.</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TOGAF + DAMA-DMBOK</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 Data Management Depth. Eleven knowledge areas. CDMP certification.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Integration principle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TOGAF is the organising framework; others fill specific gaps. Layered, not competitive.</w:t>
            </w:r>
          </w:p>
        </w:tc>
      </w:tr>
    </w:tbl>
    <w:p>
      <w:pPr>
        <w:pStyle w:val="Heading2"/>
        <w:spacing w:after="160" w:before="280"/>
      </w:pPr>
      <w:r>
        <w:rPr>
          <w:b/>
          <w:bCs/>
          <w:color w:val="2E75B6"/>
        </w:rPr>
        <w:t xml:space="preserve">9.3 Self-Test Questions</w:t>
      </w:r>
    </w:p>
    <w:p>
      <w:pPr>
        <w:pStyle w:val="ListParagraph"/>
        <w:numPr>
          <w:ilvl w:val="0"/>
          <w:numId w:val="3"/>
        </w:numPr>
        <w:spacing w:after="80" w:line="280"/>
      </w:pPr>
      <w:r>
        <w:t xml:space="preserve">Why are TOGAF and ArchiMate described as the closest framework pairing? Name the three reasons they work together so well.</w:t>
      </w:r>
    </w:p>
    <w:p>
      <w:pPr>
        <w:pStyle w:val="ListParagraph"/>
        <w:numPr>
          <w:ilvl w:val="0"/>
          <w:numId w:val="3"/>
        </w:numPr>
        <w:spacing w:after="80" w:line="280"/>
      </w:pPr>
      <w:r>
        <w:t xml:space="preserve">Distinguish TOGAF from Zachman. Why is Zachman NOT a method?</w:t>
      </w:r>
    </w:p>
    <w:p>
      <w:pPr>
        <w:pStyle w:val="ListParagraph"/>
        <w:numPr>
          <w:ilvl w:val="0"/>
          <w:numId w:val="3"/>
        </w:numPr>
        <w:spacing w:after="80" w:line="280"/>
      </w:pPr>
      <w:r>
        <w:t xml:space="preserve">Sketch the Zachman 6×6 matrix. Name the six perspectives and the six aspects.</w:t>
      </w:r>
    </w:p>
    <w:p>
      <w:pPr>
        <w:pStyle w:val="ListParagraph"/>
        <w:numPr>
          <w:ilvl w:val="0"/>
          <w:numId w:val="3"/>
        </w:numPr>
        <w:spacing w:after="80" w:line="280"/>
      </w:pPr>
      <w:r>
        <w:t xml:space="preserve">How do TOGAF and ITIL combine across the system lifecycle? What handoff happens at TOGAF Phase G?</w:t>
      </w:r>
    </w:p>
    <w:p>
      <w:pPr>
        <w:pStyle w:val="ListParagraph"/>
        <w:numPr>
          <w:ilvl w:val="0"/>
          <w:numId w:val="3"/>
        </w:numPr>
        <w:spacing w:after="80" w:line="280"/>
      </w:pPr>
      <w:r>
        <w:t xml:space="preserve">What is COBIT 2019's APO03? Why does it matter for the TOGAF/COBIT integration?</w:t>
      </w:r>
    </w:p>
    <w:p>
      <w:pPr>
        <w:pStyle w:val="ListParagraph"/>
        <w:numPr>
          <w:ilvl w:val="0"/>
          <w:numId w:val="3"/>
        </w:numPr>
        <w:spacing w:after="80" w:line="280"/>
      </w:pPr>
      <w:r>
        <w:t xml:space="preserve">Name the three SAFe architect roles and the TOGAF cycle level (Strategic / Segment / Capability) each typically operates at.</w:t>
      </w:r>
    </w:p>
    <w:p>
      <w:pPr>
        <w:pStyle w:val="ListParagraph"/>
        <w:numPr>
          <w:ilvl w:val="0"/>
          <w:numId w:val="3"/>
        </w:numPr>
        <w:spacing w:after="80" w:line="280"/>
      </w:pPr>
      <w:r>
        <w:t xml:space="preserve">How does SABSA complement TOGAF? What does SABSA provide that TOGAF treats lightly?</w:t>
      </w:r>
    </w:p>
    <w:p>
      <w:pPr>
        <w:pStyle w:val="ListParagraph"/>
        <w:numPr>
          <w:ilvl w:val="0"/>
          <w:numId w:val="3"/>
        </w:numPr>
        <w:spacing w:after="80" w:line="280"/>
      </w:pPr>
      <w:r>
        <w:t xml:space="preserve">Distinguish BIZBOK from DAMA-DMBOK. Which architect role typically holds each?</w:t>
      </w:r>
    </w:p>
    <w:p>
      <w:pPr>
        <w:pStyle w:val="ListParagraph"/>
        <w:numPr>
          <w:ilvl w:val="0"/>
          <w:numId w:val="3"/>
        </w:numPr>
        <w:spacing w:after="80" w:line="280"/>
      </w:pPr>
      <w:r>
        <w:t xml:space="preserve">State the integration principle. Why does TOGAF specifically play the organising role rather than another framework?</w:t>
      </w:r>
    </w:p>
    <w:p>
      <w:pPr>
        <w:pStyle w:val="ListParagraph"/>
        <w:numPr>
          <w:ilvl w:val="0"/>
          <w:numId w:val="3"/>
        </w:numPr>
        <w:spacing w:after="80" w:line="280"/>
      </w:pPr>
      <w:r>
        <w:t xml:space="preserve">Give three concrete signs of mature multi-framework practice in a real enterprise.</w:t>
      </w:r>
    </w:p>
    <w:p>
      <w:pPr>
        <w:pStyle w:val="Heading2"/>
        <w:spacing w:after="160" w:before="280"/>
      </w:pPr>
      <w:r>
        <w:rPr>
          <w:b/>
          <w:bCs/>
          <w:color w:val="2E75B6"/>
        </w:rPr>
        <w:t xml:space="preserve">9.4 Closing Note</w:t>
      </w:r>
    </w:p>
    <w:p>
      <w:pPr>
        <w:spacing w:after="120" w:line="300"/>
        <w:jc w:val="both"/>
      </w:pPr>
      <w:r>
        <w:t xml:space="preserve">Module 26 has placed TOGAF in its proper context as one framework among many — the organising one, but not the only one. With this picture in hand, both the previous modules (which covered TOGAF in depth) and Module 25's limitations (which covered when TOGAF should not be applied) take their proper place. The remaining modules turn to certification preparation: the structure of the TOGAF exams, what is tested, study strategies, and exam practice. Make sure you can recite each pairing with its description; the integration principle (TOGAF organises; others fill gaps); the specific integration mechanics for each named adjacent framework; and the signs of mature multi-framework practice from memory before moving on.</w:t>
      </w:r>
    </w:p>
    <w:p>
      <w:pPr>
        <w:spacing w:after="120"/>
      </w:pPr>
      <w:r>
        <w:t xml:space="preserve"/>
      </w:r>
    </w:p>
    <w:p>
      <w:pPr>
        <w:spacing w:before="400"/>
        <w:jc w:val="center"/>
      </w:pPr>
      <w:r>
        <w:rPr>
          <w:i/>
          <w:iCs/>
          <w:color w:val="808080"/>
        </w:rPr>
        <w:t xml:space="preserve">— End of Module 26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26: Adjacent Frameworks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26 Study Guide</dc:title>
  <dc:creator>Claude</dc:creator>
  <dc:description>Comprehensive study guide for TOGAF integration with adjacent frameworks</dc:description>
  <cp:lastModifiedBy>Un-named</cp:lastModifiedBy>
  <cp:revision>1</cp:revision>
  <dcterms:created xsi:type="dcterms:W3CDTF">2026-05-03T03:19:57.109Z</dcterms:created>
  <dcterms:modified xsi:type="dcterms:W3CDTF">2026-05-03T03:19:57.124Z</dcterms:modified>
</cp:coreProperties>
</file>

<file path=docProps/custom.xml><?xml version="1.0" encoding="utf-8"?>
<Properties xmlns="http://schemas.openxmlformats.org/officeDocument/2006/custom-properties" xmlns:vt="http://schemas.openxmlformats.org/officeDocument/2006/docPropsVTypes"/>
</file>