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27: Capstone — Design Your EA Practice</w:t>
      </w:r>
    </w:p>
    <w:p>
      <w:pPr>
        <w:spacing w:after="200"/>
        <w:jc w:val="center"/>
      </w:pPr>
      <w:r>
        <w:rPr>
          <w:color w:val="595959"/>
          <w:sz w:val="28"/>
          <w:szCs w:val="28"/>
        </w:rPr>
        <w:t xml:space="preserve">The Final Synthesis: Putting Everything Together</w:t>
      </w:r>
    </w:p>
    <w:p>
      <w:pPr>
        <w:spacing w:after="200"/>
        <w:jc w:val="center"/>
      </w:pPr>
      <w:r>
        <w:rPr>
          <w:color w:val="808080"/>
          <w:sz w:val="22"/>
          <w:szCs w:val="22"/>
        </w:rPr>
        <w:t xml:space="preserve">From Context Profile to 90-Day Plan to Value Scorecard</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27</w:t>
      </w:r>
    </w:p>
    <w:p>
      <w:pPr>
        <w:spacing w:after="120" w:line="300"/>
        <w:jc w:val="both"/>
      </w:pPr>
      <w:r>
        <w:t xml:space="preserve">Modules 1 through 26 covered TOGAF systematically — its content, its limitations, its integrations with adjacent frameworks. Module 27 is the capstone: putting it all together to design an enterprise architecture practice for a specific context. Where the previous modules taught the components, this module teaches the synthesis. Where the exam tests recognition of the framework's content, this module tests the practitioner's judgement in deploying that content.</w:t>
      </w:r>
    </w:p>
    <w:p>
      <w:pPr>
        <w:spacing w:after="120" w:line="300"/>
        <w:jc w:val="both"/>
      </w:pPr>
      <w:r>
        <w:t xml:space="preserve">The capstone framing matters because real architecture practice is never the textbook framework as-published. It is always the framework tailored to the specific enterprise — its size, its industry, its regulatory regime, its current maturity, its strategic priorities. A design that works perfectly for a 50,000-person retail bank fits poorly on a 500-person SaaS company; what works for a UK regulated insurer fits poorly in a US technology-native enterprise. Design Your EA Practice is the act of producing the version of TOGAF that fits the specific context — and committing to it, with explicit choices, an improvement plan, and value metrics.</w:t>
      </w:r>
    </w:p>
    <w:p>
      <w:pPr>
        <w:spacing w:after="120" w:line="300"/>
        <w:jc w:val="both"/>
      </w:pPr>
      <w:r>
        <w:t xml:space="preserve">Ten components compose the design, drawn from the syllabus and aligned with TOGAF practice. First, an organisational context profile — size, industry, regulatory regime, current maturity. Second, a tailored ADM specifying which phases run full, which run partial, which are skipped. Third, an Architecture Board charter and reporting line. Fourth, a Top-15 Architecture Principles list across BDAT. Fifth, an ACMM target maturity level with an 18-month improvement plan. Sixth, a funding model recommendation. Seventh, an integration plan with adjacent frameworks. Eighth, an anti-pattern guard list — ten behaviours to prevent. Ninth, a first 90-day plan with visible early wins. Tenth, an EA value scorecard with five outcome metrics. Together these ten components produce a complete, defensible, executable design for an EA practice.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This module is the synthesis of all 26 preceding modules. Read it as the test of your understanding: every component requires drawing on multiple earlier modules. The practical work is producing the actual design for your enterprise — using the structure here as a template, populating the specifics from your context. The exam-relevant content is recognition of the ten-component structure and the components' content; the practical content is the design itself, which is what you will actually use in your professional work.</w:t>
            </w:r>
          </w:p>
        </w:tc>
      </w:tr>
    </w:tbl>
    <w:p>
      <w:r>
        <w:br w:type="page"/>
      </w:r>
    </w:p>
    <w:p>
      <w:pPr>
        <w:pStyle w:val="Heading1"/>
        <w:spacing w:after="200" w:before="360"/>
      </w:pPr>
      <w:r>
        <w:rPr>
          <w:b/>
          <w:bCs/>
          <w:color w:val="1F4E78"/>
        </w:rPr>
        <w:t xml:space="preserve">1. Organisational Context Profile</w:t>
      </w:r>
    </w:p>
    <w:p>
      <w:pPr>
        <w:spacing w:after="120" w:line="300"/>
        <w:jc w:val="both"/>
      </w:pPr>
      <w:r>
        <w:t xml:space="preserve">The first component of any EA practice design is an honest assessment of the organisation it must operate within. Without this, the design is generic; with it, every subsequent design choice can be calibrated to context. Four dimensions matter most.</w:t>
      </w:r>
    </w:p>
    <w:p>
      <w:pPr>
        <w:pStyle w:val="Heading2"/>
        <w:spacing w:after="160" w:before="280"/>
      </w:pPr>
      <w:r>
        <w:rPr>
          <w:b/>
          <w:bCs/>
          <w:color w:val="2E75B6"/>
        </w:rPr>
        <w:t xml:space="preserve">1.1 The Four Profile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Organisational Context Profile: </w:t>
            </w:r>
            <w:r>
              <w:t xml:space="preserve">An honest assessment of the enterprise on four dimensions: (1) Size — IT staff count, total headcount, revenue, geographic footprint; (2) Industry — sector, business model, competitive context; (3) Regulatory regime — applicable regulations and their stringency; (4) Current architecture maturity — typically expressed as ACMM level. Together these four dimensions calibrate every subsequent design choice.</w:t>
            </w:r>
          </w:p>
        </w:tc>
      </w:tr>
    </w:tbl>
    <w:p>
      <w:pPr>
        <w:pStyle w:val="Heading2"/>
        <w:spacing w:after="160" w:before="280"/>
      </w:pPr>
      <w:r>
        <w:rPr>
          <w:b/>
          <w:bCs/>
          <w:color w:val="2E75B6"/>
        </w:rPr>
        <w:t xml:space="preserve">1.2 Each Dimension</w:t>
      </w:r>
    </w:p>
    <w:p>
      <w:pPr>
        <w:pStyle w:val="Heading3"/>
        <w:spacing w:after="120" w:before="220"/>
      </w:pPr>
      <w:r>
        <w:rPr>
          <w:b/>
          <w:bCs/>
          <w:color w:val="404040"/>
        </w:rPr>
        <w:t xml:space="preserve">Dimension 1: Size</w:t>
      </w:r>
    </w:p>
    <w:p>
      <w:pPr>
        <w:spacing w:after="120" w:line="300"/>
        <w:jc w:val="both"/>
      </w:pPr>
      <w:r>
        <w:t xml:space="preserve">Size determines what level of architectural ceremony is appropriate. A 50-person SaaS startup needs vastly less formal architecture than a 50,000-person bank. Module 25 covered size thresholds: 500+ IT staff is typically where TOGAF's full apparatus starts genuinely justifying itself; 1000+ makes it close to mandatory. Below 500, selective TOGAF or lightweight alternatives are appropriate.</w:t>
      </w:r>
    </w:p>
    <w:p>
      <w:pPr>
        <w:pStyle w:val="Heading3"/>
        <w:spacing w:after="120" w:before="220"/>
      </w:pPr>
      <w:r>
        <w:rPr>
          <w:b/>
          <w:bCs/>
          <w:color w:val="404040"/>
        </w:rPr>
        <w:t xml:space="preserve">Dimension 2: Industry</w:t>
      </w:r>
    </w:p>
    <w:p>
      <w:pPr>
        <w:spacing w:after="120" w:line="300"/>
        <w:jc w:val="both"/>
      </w:pPr>
      <w:r>
        <w:t xml:space="preserve">Industry determines the regulatory regime, the relevant industry reference models (Module 16 — BIAN for banking, eTOM for telco, HL7 for healthcare, ARTS for retail), and the typical architectural patterns. Industry also shapes the primary business drivers — financial services architectures optimise for risk and regulation; technology-native architectures optimise for delivery flow and developer productivity.</w:t>
      </w:r>
    </w:p>
    <w:p>
      <w:pPr>
        <w:pStyle w:val="Heading3"/>
        <w:spacing w:after="120" w:before="220"/>
      </w:pPr>
      <w:r>
        <w:rPr>
          <w:b/>
          <w:bCs/>
          <w:color w:val="404040"/>
        </w:rPr>
        <w:t xml:space="preserve">Dimension 3: Regulatory Regime</w:t>
      </w:r>
    </w:p>
    <w:p>
      <w:pPr>
        <w:spacing w:after="120" w:line="300"/>
        <w:jc w:val="both"/>
      </w:pPr>
      <w:r>
        <w:t xml:space="preserve">Regulation determines what cannot be skipped. GDPR mandates privacy-by-design (Module 22). DORA mandates operational resilience reporting in EU financial services. PSD2 mandates strong customer authentication. Sector-specific regulations (HIPAA in healthcare, PCI-DSS for payment cards, NIS2 for critical infrastructure) impose architectural constraints that cannot be relaxed. The regulatory profile shapes which Series Guide content (Modules 18-23) is mandatory.</w:t>
      </w:r>
    </w:p>
    <w:p>
      <w:pPr>
        <w:pStyle w:val="Heading3"/>
        <w:spacing w:after="120" w:before="220"/>
      </w:pPr>
      <w:r>
        <w:rPr>
          <w:b/>
          <w:bCs/>
          <w:color w:val="404040"/>
        </w:rPr>
        <w:t xml:space="preserve">Dimension 4: Current Architecture Maturity</w:t>
      </w:r>
    </w:p>
    <w:p>
      <w:pPr>
        <w:spacing w:after="120" w:line="300"/>
        <w:jc w:val="both"/>
      </w:pPr>
      <w:r>
        <w:t xml:space="preserve">Module 13 covered ACMM's six maturity levels (0-5). Honest assessment of current maturity calibrates the improvement plan: a Level 1 enterprise should target Level 3 over 18 months (Section 5); a Level 4 enterprise targeting 5 has a different journey. Skipping levels is rarely successful; the improvement plan must be sequenced.</w:t>
      </w:r>
    </w:p>
    <w:p>
      <w:pPr>
        <w:pStyle w:val="Heading2"/>
        <w:spacing w:after="160" w:before="280"/>
      </w:pPr>
      <w:r>
        <w:rPr>
          <w:b/>
          <w:bCs/>
          <w:color w:val="2E75B6"/>
        </w:rPr>
        <w:t xml:space="preserve">1.3 The Four Dimensions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Dimension</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Determines</w:t>
            </w:r>
          </w:p>
        </w:tc>
        <w:tc>
          <w:tcPr>
            <w:tcW w:type="dxa" w:w="36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Typical Sub-Questions</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Size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Level of architectural ceremony appropriate</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IT staff count? Total headcount? Revenue? Geographic footprint?</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Industry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Regulatory regime, reference models, typical patterns, primary drivers</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Sector? Business model? Competitive context? Industry maturity?</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Regulatory regime</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cannot be skipped; mandatory architectural constraints</w:t>
            </w:r>
          </w:p>
        </w:tc>
        <w:tc>
          <w:tcPr>
            <w:tcW w:type="dxa" w:w="36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Which regulations apply? How stringent? What audits expected?</w:t>
            </w:r>
          </w:p>
        </w:tc>
      </w:tr>
      <w:tr>
        <w:tc>
          <w:tcPr>
            <w:tcW w:type="dxa" w:w="22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Current maturity</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Starting point for improvement plan</w:t>
            </w:r>
          </w:p>
        </w:tc>
        <w:tc>
          <w:tcPr>
            <w:tcW w:type="dxa" w:w="36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ACMM level today? Where are biggest gaps? What works well now?</w:t>
            </w:r>
          </w:p>
        </w:tc>
      </w:tr>
    </w:tbl>
    <w:p>
      <w:pPr>
        <w:pStyle w:val="Heading2"/>
        <w:spacing w:after="160" w:before="280"/>
      </w:pPr>
      <w:r>
        <w:rPr>
          <w:b/>
          <w:bCs/>
          <w:color w:val="2E75B6"/>
        </w:rPr>
        <w:t xml:space="preserve">1.4 Worked Profile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Acme Bank Context Profile</w:t>
            </w:r>
          </w:p>
          <w:p>
            <w:pPr>
              <w:spacing w:after="60" w:line="280"/>
              <w:jc w:val="both"/>
            </w:pPr>
            <w:r>
              <w:t xml:space="preserve">Size: ~12,000 employees (~3,000 IT staff). UK retail bank with extensions into Wealth Management and SME Banking. Approximately £8bn annual revenue.</w:t>
            </w:r>
          </w:p>
          <w:p>
            <w:pPr>
              <w:spacing w:after="60" w:line="280"/>
              <w:jc w:val="both"/>
            </w:pPr>
            <w:r>
              <w:t xml:space="preserve">Industry: UK retail banking. Mature, heavily regulated, intensely competitive on digital experience. Reference models: BIAN (banking).</w:t>
            </w:r>
          </w:p>
          <w:p>
            <w:pPr>
              <w:spacing w:after="60" w:line="280"/>
              <w:jc w:val="both"/>
            </w:pPr>
            <w:r>
              <w:t xml:space="preserve">Regulatory regime: PRA + FCA prudential and conduct regulation. PSD2 (SCA, Open Banking). GDPR. DORA (operational resilience). MiFID II for the wealth arm. Strong audit expectation; periodic regulatory examinations.</w:t>
            </w:r>
          </w:p>
          <w:p>
            <w:pPr>
              <w:spacing w:after="60" w:line="280"/>
              <w:jc w:val="both"/>
            </w:pPr>
            <w:r>
              <w:t xml:space="preserve">Current architecture maturity: ACMM Level 3 (Defined) on most dimensions, with weakness on Acceptance &amp; Penetration (ACMM Level 2 — architecture is documented but not consistently consulted across all delivery teams). Enterprise Architect role exists; Architecture Board exists and meets monthly; Architecture Repository in BiZZdesign HoriZZon; ADRs adopted in 60% of teams.</w:t>
            </w:r>
          </w:p>
          <w:p>
            <w:pPr>
              <w:spacing w:after="60" w:line="280"/>
              <w:jc w:val="both"/>
            </w:pPr>
            <w:r>
              <w:t xml:space="preserve">This profile drives every subsequent design choice in this capstone — the size justifies full TOGAF; the regulatory regime mandates substantial governance; the current maturity sets the improvement target.</w:t>
            </w:r>
          </w:p>
        </w:tc>
      </w:tr>
    </w:tbl>
    <w:p>
      <w:r>
        <w:br w:type="page"/>
      </w:r>
    </w:p>
    <w:p>
      <w:pPr>
        <w:pStyle w:val="Heading1"/>
        <w:spacing w:after="200" w:before="360"/>
      </w:pPr>
      <w:r>
        <w:rPr>
          <w:b/>
          <w:bCs/>
          <w:color w:val="1F4E78"/>
        </w:rPr>
        <w:t xml:space="preserve">2. Tailored ADM</w:t>
      </w:r>
    </w:p>
    <w:p>
      <w:pPr>
        <w:spacing w:after="120" w:line="300"/>
        <w:jc w:val="both"/>
      </w:pPr>
      <w:r>
        <w:t xml:space="preserve">Module 4 covered the ADM and its tailoring; Module 5 covered the Preliminary Phase where tailoring happens; Module 25 covered selective TOGAF patterns. This component of the design specifies the actual tailoring choice: which phases run full, which run partial, which are skipped — for the specific context profiled in Section 1.</w:t>
      </w:r>
    </w:p>
    <w:p>
      <w:pPr>
        <w:pStyle w:val="Heading2"/>
        <w:spacing w:after="160" w:before="280"/>
      </w:pPr>
      <w:r>
        <w:rPr>
          <w:b/>
          <w:bCs/>
          <w:color w:val="2E75B6"/>
        </w:rPr>
        <w:t xml:space="preserve">2.1 The Tailoring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Tailored ADM: </w:t>
            </w:r>
            <w:r>
              <w:t xml:space="preserve">The enterprise-specific instantiation of the ADM. Specifies for each phase: full (run as published with all artefacts), partial (run with selected artefacts only, deferring others), or skipped (not run for the typical engagement; reserved for major engagements). The tailoring is documented and applied consistently across engagements; deviations are explicit decisions.</w:t>
            </w:r>
          </w:p>
        </w:tc>
      </w:tr>
    </w:tbl>
    <w:p>
      <w:pPr>
        <w:pStyle w:val="Heading2"/>
        <w:spacing w:after="160" w:before="280"/>
      </w:pPr>
      <w:r>
        <w:rPr>
          <w:b/>
          <w:bCs/>
          <w:color w:val="2E75B6"/>
        </w:rPr>
        <w:t xml:space="preserve">2.2 Tailoring Patterns by Context</w:t>
      </w:r>
    </w:p>
    <w:p>
      <w:pPr>
        <w:spacing w:after="120" w:line="300"/>
        <w:jc w:val="both"/>
      </w:pPr>
      <w:r>
        <w:t xml:space="preserve">The tailoring varies with context:</w:t>
      </w:r>
    </w:p>
    <w:p>
      <w:pPr>
        <w:pStyle w:val="Heading3"/>
        <w:spacing w:after="120" w:before="220"/>
      </w:pPr>
      <w:r>
        <w:rPr>
          <w:b/>
          <w:bCs/>
          <w:color w:val="404040"/>
        </w:rPr>
        <w:t xml:space="preserve">Large Regulated Enterprise</w:t>
      </w:r>
    </w:p>
    <w:p>
      <w:pPr>
        <w:pStyle w:val="ListParagraph"/>
        <w:numPr>
          <w:ilvl w:val="0"/>
          <w:numId w:val="2"/>
        </w:numPr>
        <w:spacing w:after="80" w:line="280"/>
      </w:pPr>
      <w:r>
        <w:t xml:space="preserve">Preliminary, A — full. The governance and sponsorship work is essential for credibility.</w:t>
      </w:r>
    </w:p>
    <w:p>
      <w:pPr>
        <w:pStyle w:val="ListParagraph"/>
        <w:numPr>
          <w:ilvl w:val="0"/>
          <w:numId w:val="2"/>
        </w:numPr>
        <w:spacing w:after="80" w:line="280"/>
      </w:pPr>
      <w:r>
        <w:t xml:space="preserve">B, C, D — full. Detailed architectural work across all four BDAT domains is required for both governance and quality.</w:t>
      </w:r>
    </w:p>
    <w:p>
      <w:pPr>
        <w:pStyle w:val="ListParagraph"/>
        <w:numPr>
          <w:ilvl w:val="0"/>
          <w:numId w:val="2"/>
        </w:numPr>
        <w:spacing w:after="80" w:line="280"/>
      </w:pPr>
      <w:r>
        <w:t xml:space="preserve">E, F — full. Roadmap and migration planning are essential for multi-year programmes.</w:t>
      </w:r>
    </w:p>
    <w:p>
      <w:pPr>
        <w:pStyle w:val="ListParagraph"/>
        <w:numPr>
          <w:ilvl w:val="0"/>
          <w:numId w:val="2"/>
        </w:numPr>
        <w:spacing w:after="80" w:line="280"/>
      </w:pPr>
      <w:r>
        <w:t xml:space="preserve">G — full. Compliance Reviews are part of the regulatory baseline.</w:t>
      </w:r>
    </w:p>
    <w:p>
      <w:pPr>
        <w:pStyle w:val="ListParagraph"/>
        <w:numPr>
          <w:ilvl w:val="0"/>
          <w:numId w:val="2"/>
        </w:numPr>
        <w:spacing w:after="80" w:line="280"/>
      </w:pPr>
      <w:r>
        <w:t xml:space="preserve">H — full. Continuous architecture management is required.</w:t>
      </w:r>
    </w:p>
    <w:p>
      <w:pPr>
        <w:pStyle w:val="Heading3"/>
        <w:spacing w:after="120" w:before="220"/>
      </w:pPr>
      <w:r>
        <w:rPr>
          <w:b/>
          <w:bCs/>
          <w:color w:val="404040"/>
        </w:rPr>
        <w:t xml:space="preserve">Mid-Sized Technology Enterprise</w:t>
      </w:r>
    </w:p>
    <w:p>
      <w:pPr>
        <w:pStyle w:val="ListParagraph"/>
        <w:numPr>
          <w:ilvl w:val="0"/>
          <w:numId w:val="2"/>
        </w:numPr>
        <w:spacing w:after="80" w:line="280"/>
      </w:pPr>
      <w:r>
        <w:t xml:space="preserve">Preliminary — full but lighter.</w:t>
      </w:r>
    </w:p>
    <w:p>
      <w:pPr>
        <w:pStyle w:val="ListParagraph"/>
        <w:numPr>
          <w:ilvl w:val="0"/>
          <w:numId w:val="2"/>
        </w:numPr>
        <w:spacing w:after="80" w:line="280"/>
      </w:pPr>
      <w:r>
        <w:t xml:space="preserve">A — full but executive-light (concise Vision; compact Statement of Architecture Work).</w:t>
      </w:r>
    </w:p>
    <w:p>
      <w:pPr>
        <w:pStyle w:val="ListParagraph"/>
        <w:numPr>
          <w:ilvl w:val="0"/>
          <w:numId w:val="2"/>
        </w:numPr>
        <w:spacing w:after="80" w:line="280"/>
      </w:pPr>
      <w:r>
        <w:t xml:space="preserve">B — partial (capability map and value streams; less ceremony around process modelling).</w:t>
      </w:r>
    </w:p>
    <w:p>
      <w:pPr>
        <w:pStyle w:val="ListParagraph"/>
        <w:numPr>
          <w:ilvl w:val="0"/>
          <w:numId w:val="2"/>
        </w:numPr>
        <w:spacing w:after="80" w:line="280"/>
      </w:pPr>
      <w:r>
        <w:t xml:space="preserve">C, D — full. Substantive architectural work.</w:t>
      </w:r>
    </w:p>
    <w:p>
      <w:pPr>
        <w:pStyle w:val="ListParagraph"/>
        <w:numPr>
          <w:ilvl w:val="0"/>
          <w:numId w:val="2"/>
        </w:numPr>
        <w:spacing w:after="80" w:line="280"/>
      </w:pPr>
      <w:r>
        <w:t xml:space="preserve">E, F — partial (Roadmap with Capability Increments; less formal Migration Plan).</w:t>
      </w:r>
    </w:p>
    <w:p>
      <w:pPr>
        <w:pStyle w:val="ListParagraph"/>
        <w:numPr>
          <w:ilvl w:val="0"/>
          <w:numId w:val="2"/>
        </w:numPr>
        <w:spacing w:after="80" w:line="280"/>
      </w:pPr>
      <w:r>
        <w:t xml:space="preserve">G — partial (Architecture Board reviews significant decisions; routine compliance via Fitness Functions per Module 21).</w:t>
      </w:r>
    </w:p>
    <w:p>
      <w:pPr>
        <w:pStyle w:val="ListParagraph"/>
        <w:numPr>
          <w:ilvl w:val="0"/>
          <w:numId w:val="2"/>
        </w:numPr>
        <w:spacing w:after="80" w:line="280"/>
      </w:pPr>
      <w:r>
        <w:t xml:space="preserve">H — full. Continuous management essential.</w:t>
      </w:r>
    </w:p>
    <w:p>
      <w:pPr>
        <w:pStyle w:val="Heading3"/>
        <w:spacing w:after="120" w:before="220"/>
      </w:pPr>
      <w:r>
        <w:rPr>
          <w:b/>
          <w:bCs/>
          <w:color w:val="404040"/>
        </w:rPr>
        <w:t xml:space="preserve">Smaller Technology-Native Enterprise</w:t>
      </w:r>
    </w:p>
    <w:p>
      <w:pPr>
        <w:pStyle w:val="ListParagraph"/>
        <w:numPr>
          <w:ilvl w:val="0"/>
          <w:numId w:val="2"/>
        </w:numPr>
        <w:spacing w:after="80" w:line="280"/>
      </w:pPr>
      <w:r>
        <w:t xml:space="preserve">Preliminary — partial. Establish principles and the Architecture Board only.</w:t>
      </w:r>
    </w:p>
    <w:p>
      <w:pPr>
        <w:pStyle w:val="ListParagraph"/>
        <w:numPr>
          <w:ilvl w:val="0"/>
          <w:numId w:val="2"/>
        </w:numPr>
        <w:spacing w:after="80" w:line="280"/>
      </w:pPr>
      <w:r>
        <w:t xml:space="preserve">A — partial (compact Vision; minimal Statement of Architecture Work for major engagements only).</w:t>
      </w:r>
    </w:p>
    <w:p>
      <w:pPr>
        <w:pStyle w:val="ListParagraph"/>
        <w:numPr>
          <w:ilvl w:val="0"/>
          <w:numId w:val="2"/>
        </w:numPr>
        <w:spacing w:after="80" w:line="280"/>
      </w:pPr>
      <w:r>
        <w:t xml:space="preserve">B, C, D — selective. Detailed work only where the engagement justifies it; otherwise ADRs and C4 carry the architecture.</w:t>
      </w:r>
    </w:p>
    <w:p>
      <w:pPr>
        <w:pStyle w:val="ListParagraph"/>
        <w:numPr>
          <w:ilvl w:val="0"/>
          <w:numId w:val="2"/>
        </w:numPr>
        <w:spacing w:after="80" w:line="280"/>
      </w:pPr>
      <w:r>
        <w:t xml:space="preserve">E, F — partial (lightweight Roadmap; informal migration planning).</w:t>
      </w:r>
    </w:p>
    <w:p>
      <w:pPr>
        <w:pStyle w:val="ListParagraph"/>
        <w:numPr>
          <w:ilvl w:val="0"/>
          <w:numId w:val="2"/>
        </w:numPr>
        <w:spacing w:after="80" w:line="280"/>
      </w:pPr>
      <w:r>
        <w:t xml:space="preserve">G — partial (lightweight reviews; heavy reliance on Fitness Functions).</w:t>
      </w:r>
    </w:p>
    <w:p>
      <w:pPr>
        <w:pStyle w:val="ListParagraph"/>
        <w:numPr>
          <w:ilvl w:val="0"/>
          <w:numId w:val="2"/>
        </w:numPr>
        <w:spacing w:after="80" w:line="280"/>
      </w:pPr>
      <w:r>
        <w:t xml:space="preserve">H — partial. Periodic review rather than continuous.</w:t>
      </w:r>
    </w:p>
    <w:p>
      <w:pPr>
        <w:pStyle w:val="Heading2"/>
        <w:spacing w:after="160" w:before="280"/>
      </w:pPr>
      <w:r>
        <w:rPr>
          <w:b/>
          <w:bCs/>
          <w:color w:val="2E75B6"/>
        </w:rPr>
        <w:t xml:space="preserve">2.3 The Tailoring Decision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Acme Bank Tailored ADM Decision</w:t>
            </w:r>
          </w:p>
          <w:p>
            <w:pPr>
              <w:spacing w:after="60" w:line="280"/>
              <w:jc w:val="both"/>
            </w:pPr>
            <w:r>
              <w:t xml:space="preserve">Context: large regulated bank (Section 1). Pattern: full ADM with regulatory amplification.</w:t>
            </w:r>
          </w:p>
          <w:p>
            <w:pPr>
              <w:spacing w:after="60" w:line="280"/>
              <w:jc w:val="both"/>
            </w:pPr>
            <w:r>
              <w:t xml:space="preserve">Preliminary: FULL. Tailoring documented in the Architecture Practice Guide. Principles Catalogue maintained at version 4.2. Architecture Capability Framework instantiated as Hub &amp; Spoke (Module 12).</w:t>
            </w:r>
          </w:p>
          <w:p>
            <w:pPr>
              <w:spacing w:after="60" w:line="280"/>
              <w:jc w:val="both"/>
            </w:pPr>
            <w:r>
              <w:t xml:space="preserve">Phase A: FULL. Architecture Vision (typically 8-15 pages) and Statement of Architecture Work (typically 4-8 pages) produced for every engagement above £500k or affecting Tier 1 capabilities.</w:t>
            </w:r>
          </w:p>
          <w:p>
            <w:pPr>
              <w:spacing w:after="60" w:line="280"/>
              <w:jc w:val="both"/>
            </w:pPr>
            <w:r>
              <w:t xml:space="preserve">Phases B/C/D: FULL. Architecture Definition Documents per BDAT domain. ADD Business + ADD Data + ADD Application + ADD Technology — four documents per significant engagement.</w:t>
            </w:r>
          </w:p>
          <w:p>
            <w:pPr>
              <w:spacing w:after="60" w:line="280"/>
              <w:jc w:val="both"/>
            </w:pPr>
            <w:r>
              <w:t xml:space="preserve">Phases E/F: FULL. Architecture Roadmap with Capability Increments; detailed Migration Plan; budget alignment.</w:t>
            </w:r>
          </w:p>
          <w:p>
            <w:pPr>
              <w:spacing w:after="60" w:line="280"/>
              <w:jc w:val="both"/>
            </w:pPr>
            <w:r>
              <w:t xml:space="preserve">Phase G: FULL. Architecture Compliance Reviews at three points per delivery project (initial design, mid-build, pre-production). Fitness Functions added to automate routine compliance.</w:t>
            </w:r>
          </w:p>
          <w:p>
            <w:pPr>
              <w:spacing w:after="60" w:line="280"/>
              <w:jc w:val="both"/>
            </w:pPr>
            <w:r>
              <w:t xml:space="preserve">Phase H: FULL. Continuous architecture management; quarterly Repository review; annual ACMM self-assessment.</w:t>
            </w:r>
          </w:p>
          <w:p>
            <w:pPr>
              <w:spacing w:after="60" w:line="280"/>
              <w:jc w:val="both"/>
            </w:pPr>
            <w:r>
              <w:t xml:space="preserve">Tailoring: regulatory amplification means substantial weight on Phase G (PRA expectations); lightweight engagements (under £200k) use selective Phase A only with ADRs in place of full ADD set.</w:t>
            </w:r>
          </w:p>
          <w:p>
            <w:pPr>
              <w:spacing w:after="60" w:line="280"/>
              <w:jc w:val="both"/>
            </w:pPr>
            <w:r>
              <w:t xml:space="preserve">This documented tailoring is what actually runs. Engagements deviate only via explicit dispensation from the Chief Architect.</w:t>
            </w:r>
          </w:p>
        </w:tc>
      </w:tr>
    </w:tbl>
    <w:p>
      <w:r>
        <w:br w:type="page"/>
      </w:r>
    </w:p>
    <w:p>
      <w:pPr>
        <w:pStyle w:val="Heading1"/>
        <w:spacing w:after="200" w:before="360"/>
      </w:pPr>
      <w:r>
        <w:rPr>
          <w:b/>
          <w:bCs/>
          <w:color w:val="1F4E78"/>
        </w:rPr>
        <w:t xml:space="preserve">3. Architecture Board Charter and Reporting Line</w:t>
      </w:r>
    </w:p>
    <w:p>
      <w:pPr>
        <w:spacing w:after="120" w:line="300"/>
        <w:jc w:val="both"/>
      </w:pPr>
      <w:r>
        <w:t xml:space="preserve">Module 12 covered the Architecture Board as part of the Capability Framework. This component of the design specifies the Board's charter — what it decides, who sits on it, who it reports to — for the specific enterprise.</w:t>
      </w:r>
    </w:p>
    <w:p>
      <w:pPr>
        <w:pStyle w:val="Heading2"/>
        <w:spacing w:after="160" w:before="280"/>
      </w:pPr>
      <w:r>
        <w:rPr>
          <w:b/>
          <w:bCs/>
          <w:color w:val="2E75B6"/>
        </w:rPr>
        <w:t xml:space="preserve">3.1 The Charter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Board Charter: </w:t>
            </w:r>
            <w:r>
              <w:t xml:space="preserve">The formal document establishing the Architecture Board's authority, scope, membership, decision rights, and accountability. Specifies: what decisions the Board takes; what decisions are escalated; what decisions are delegated; who chairs the Board; who its members are; what reporting line the Board has into executive governance; what cadence it operates on.</w:t>
            </w:r>
          </w:p>
        </w:tc>
      </w:tr>
    </w:tbl>
    <w:p>
      <w:pPr>
        <w:pStyle w:val="Heading2"/>
        <w:spacing w:after="160" w:before="280"/>
      </w:pPr>
      <w:r>
        <w:rPr>
          <w:b/>
          <w:bCs/>
          <w:color w:val="2E75B6"/>
        </w:rPr>
        <w:t xml:space="preserve">3.2 Standard Charter Sections</w:t>
      </w:r>
    </w:p>
    <w:p>
      <w:pPr>
        <w:pStyle w:val="ListParagraph"/>
        <w:numPr>
          <w:ilvl w:val="0"/>
          <w:numId w:val="3"/>
        </w:numPr>
        <w:spacing w:after="80" w:line="280"/>
      </w:pPr>
      <w:r>
        <w:t xml:space="preserve">Purpose — what the Board exists to achieve in plain language.</w:t>
      </w:r>
    </w:p>
    <w:p>
      <w:pPr>
        <w:pStyle w:val="ListParagraph"/>
        <w:numPr>
          <w:ilvl w:val="0"/>
          <w:numId w:val="3"/>
        </w:numPr>
        <w:spacing w:after="80" w:line="280"/>
      </w:pPr>
      <w:r>
        <w:t xml:space="preserve">Authority — what the Board is empowered to decide; what it can require of delivery teams; what is outside its authority.</w:t>
      </w:r>
    </w:p>
    <w:p>
      <w:pPr>
        <w:pStyle w:val="ListParagraph"/>
        <w:numPr>
          <w:ilvl w:val="0"/>
          <w:numId w:val="3"/>
        </w:numPr>
        <w:spacing w:after="80" w:line="280"/>
      </w:pPr>
      <w:r>
        <w:t xml:space="preserve">Scope — what architectural domains are within the Board's remit (typically all of BDAT, with security and sustainability as cross-cutting).</w:t>
      </w:r>
    </w:p>
    <w:p>
      <w:pPr>
        <w:pStyle w:val="ListParagraph"/>
        <w:numPr>
          <w:ilvl w:val="0"/>
          <w:numId w:val="3"/>
        </w:numPr>
        <w:spacing w:after="80" w:line="280"/>
      </w:pPr>
      <w:r>
        <w:t xml:space="preserve">Membership — who is on the Board; what attendance is expected; how members are appointed.</w:t>
      </w:r>
    </w:p>
    <w:p>
      <w:pPr>
        <w:pStyle w:val="ListParagraph"/>
        <w:numPr>
          <w:ilvl w:val="0"/>
          <w:numId w:val="3"/>
        </w:numPr>
        <w:spacing w:after="80" w:line="280"/>
      </w:pPr>
      <w:r>
        <w:t xml:space="preserve">Chair and Secretary — who chairs; who runs the secretariat; how decisions are minuted.</w:t>
      </w:r>
    </w:p>
    <w:p>
      <w:pPr>
        <w:pStyle w:val="ListParagraph"/>
        <w:numPr>
          <w:ilvl w:val="0"/>
          <w:numId w:val="3"/>
        </w:numPr>
        <w:spacing w:after="80" w:line="280"/>
      </w:pPr>
      <w:r>
        <w:t xml:space="preserve">Reporting line — who the Board reports to (typically Chief Architect → CIO/CTO; some enterprises route through a Technology Committee or directly to Executive Committee).</w:t>
      </w:r>
    </w:p>
    <w:p>
      <w:pPr>
        <w:pStyle w:val="ListParagraph"/>
        <w:numPr>
          <w:ilvl w:val="0"/>
          <w:numId w:val="3"/>
        </w:numPr>
        <w:spacing w:after="80" w:line="280"/>
      </w:pPr>
      <w:r>
        <w:t xml:space="preserve">Decision types and process — what is approved by majority; what requires consensus; what is escalated to executive.</w:t>
      </w:r>
    </w:p>
    <w:p>
      <w:pPr>
        <w:pStyle w:val="ListParagraph"/>
        <w:numPr>
          <w:ilvl w:val="0"/>
          <w:numId w:val="3"/>
        </w:numPr>
        <w:spacing w:after="80" w:line="280"/>
      </w:pPr>
      <w:r>
        <w:t xml:space="preserve">Cadence — how frequently the Board meets (typically monthly; weekly for high-velocity contexts).</w:t>
      </w:r>
    </w:p>
    <w:p>
      <w:pPr>
        <w:pStyle w:val="ListParagraph"/>
        <w:numPr>
          <w:ilvl w:val="0"/>
          <w:numId w:val="3"/>
        </w:numPr>
        <w:spacing w:after="80" w:line="280"/>
      </w:pPr>
      <w:r>
        <w:t xml:space="preserve">Compliance Review process — how the Board engages with delivery projects under Phase G governance.</w:t>
      </w:r>
    </w:p>
    <w:p>
      <w:pPr>
        <w:pStyle w:val="ListParagraph"/>
        <w:numPr>
          <w:ilvl w:val="0"/>
          <w:numId w:val="3"/>
        </w:numPr>
        <w:spacing w:after="80" w:line="280"/>
      </w:pPr>
      <w:r>
        <w:t xml:space="preserve">Dispensation process — how exceptions are requested, evaluated, and time-bounded.</w:t>
      </w:r>
    </w:p>
    <w:p>
      <w:pPr>
        <w:pStyle w:val="Heading2"/>
        <w:spacing w:after="160" w:before="280"/>
      </w:pPr>
      <w:r>
        <w:rPr>
          <w:b/>
          <w:bCs/>
          <w:color w:val="2E75B6"/>
        </w:rPr>
        <w:t xml:space="preserve">3.3 Reporting Line Variations</w:t>
      </w:r>
    </w:p>
    <w:p>
      <w:pPr>
        <w:spacing w:after="120" w:line="300"/>
        <w:jc w:val="both"/>
      </w:pPr>
      <w:r>
        <w:t xml:space="preserve">The reporting line determines the Board's authority and influence. Three common patterns:</w:t>
      </w:r>
    </w:p>
    <w:p>
      <w:pPr>
        <w:pStyle w:val="ListParagraph"/>
        <w:numPr>
          <w:ilvl w:val="0"/>
          <w:numId w:val="2"/>
        </w:numPr>
        <w:spacing w:after="80" w:line="280"/>
      </w:pPr>
      <w:r>
        <w:t xml:space="preserve">Reports to CIO/CTO — most common in IT-driven enterprises. Architecture is part of the IT function; the Board operates within IT's overall accountability.</w:t>
      </w:r>
    </w:p>
    <w:p>
      <w:pPr>
        <w:pStyle w:val="ListParagraph"/>
        <w:numPr>
          <w:ilvl w:val="0"/>
          <w:numId w:val="2"/>
        </w:numPr>
        <w:spacing w:after="80" w:line="280"/>
      </w:pPr>
      <w:r>
        <w:t xml:space="preserve">Reports to a Technology Committee at executive level — common in regulated industries. The Board feeds architectural decisions into a committee that includes risk, security, finance, and executive sponsors.</w:t>
      </w:r>
    </w:p>
    <w:p>
      <w:pPr>
        <w:pStyle w:val="ListParagraph"/>
        <w:numPr>
          <w:ilvl w:val="0"/>
          <w:numId w:val="2"/>
        </w:numPr>
        <w:spacing w:after="80" w:line="280"/>
      </w:pPr>
      <w:r>
        <w:t xml:space="preserve">Reports to Executive Committee directly — rare; reserved for enterprises where architecture is seen as strategically central. Provides the strongest authority but also the highest visibility.</w:t>
      </w:r>
    </w:p>
    <w:p>
      <w:pPr>
        <w:pStyle w:val="Heading2"/>
        <w:spacing w:after="160" w:before="280"/>
      </w:pPr>
      <w:r>
        <w:rPr>
          <w:b/>
          <w:bCs/>
          <w:color w:val="2E75B6"/>
        </w:rPr>
        <w:t xml:space="preserve">3.4 Charter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Acme Bank Architecture Board Charter (Compact Form)</w:t>
            </w:r>
          </w:p>
          <w:p>
            <w:pPr>
              <w:spacing w:after="60" w:line="280"/>
              <w:jc w:val="both"/>
            </w:pPr>
            <w:r>
              <w:t xml:space="preserve">Purpose: To provide enterprise architectural governance ensuring that IT systems align with the bank's strategy, comply with regulation, and operate as a coherent estate.</w:t>
            </w:r>
          </w:p>
          <w:p>
            <w:pPr>
              <w:spacing w:after="60" w:line="280"/>
              <w:jc w:val="both"/>
            </w:pPr>
            <w:r>
              <w:t xml:space="preserve">Authority: Approves the Architecture Principles Catalogue. Approves all Tier 1 (most significant) architectural decisions. Approves dispensations from Principles or Standards. Mandates Compliance Reviews on projects above £500k or affecting Tier 1 capabilities.</w:t>
            </w:r>
          </w:p>
          <w:p>
            <w:pPr>
              <w:spacing w:after="60" w:line="280"/>
              <w:jc w:val="both"/>
            </w:pPr>
            <w:r>
              <w:t xml:space="preserve">Scope: All four BDAT domains. Security and sustainability cross-cutting. Excluded: pure operational decisions (ITIL Change Enablement domain).</w:t>
            </w:r>
          </w:p>
          <w:p>
            <w:pPr>
              <w:spacing w:after="60" w:line="280"/>
              <w:jc w:val="both"/>
            </w:pPr>
            <w:r>
              <w:t xml:space="preserve">Membership: Chief Architect (chair), Domain Heads (Business, Data, Application, Technology), CISO representative, Head of Operations, two business-facing senior architects (rotating). 9 voting members; quorum 5.</w:t>
            </w:r>
          </w:p>
          <w:p>
            <w:pPr>
              <w:spacing w:after="60" w:line="280"/>
              <w:jc w:val="both"/>
            </w:pPr>
            <w:r>
              <w:t xml:space="preserve">Reporting line: Chief Architect → CIO; Architecture Board reports through the Technology Committee for executive visibility.</w:t>
            </w:r>
          </w:p>
          <w:p>
            <w:pPr>
              <w:spacing w:after="60" w:line="280"/>
              <w:jc w:val="both"/>
            </w:pPr>
            <w:r>
              <w:t xml:space="preserve">Decision types: Routine (Chief Architect approves directly with Board notification); Significant (Board majority); Strategic (Board consensus + Technology Committee endorsement).</w:t>
            </w:r>
          </w:p>
          <w:p>
            <w:pPr>
              <w:spacing w:after="60" w:line="280"/>
              <w:jc w:val="both"/>
            </w:pPr>
            <w:r>
              <w:t xml:space="preserve">Cadence: Full Board monthly. Compliance Review subgroup weekly. Strategic decisions can be tabled out-of-cycle for next meeting.</w:t>
            </w:r>
          </w:p>
          <w:p>
            <w:pPr>
              <w:spacing w:after="60" w:line="280"/>
              <w:jc w:val="both"/>
            </w:pPr>
            <w:r>
              <w:t xml:space="preserve">This charter is documented, signed by the CIO, and reviewed annually for continued fit.</w:t>
            </w:r>
          </w:p>
        </w:tc>
      </w:tr>
    </w:tbl>
    <w:p>
      <w:r>
        <w:br w:type="page"/>
      </w:r>
    </w:p>
    <w:p>
      <w:pPr>
        <w:pStyle w:val="Heading1"/>
        <w:spacing w:after="200" w:before="360"/>
      </w:pPr>
      <w:r>
        <w:rPr>
          <w:b/>
          <w:bCs/>
          <w:color w:val="1F4E78"/>
        </w:rPr>
        <w:t xml:space="preserve">4. Top-15 Architecture Principles Across BDAT</w:t>
      </w:r>
    </w:p>
    <w:p>
      <w:pPr>
        <w:spacing w:after="120" w:line="300"/>
        <w:jc w:val="both"/>
      </w:pPr>
      <w:r>
        <w:t xml:space="preserve">Module 15 covered Architecture Principles in the standard four-part format. This component of the design produces the actual catalogue — typically 12-20 principles spanning the four BDAT domains plus cross-cutting concerns. Fifteen is a typical target: enough to cover the major architectural commitments without becoming unwieldy.</w:t>
      </w:r>
    </w:p>
    <w:p>
      <w:pPr>
        <w:pStyle w:val="Heading2"/>
        <w:spacing w:after="160" w:before="280"/>
      </w:pPr>
      <w:r>
        <w:rPr>
          <w:b/>
          <w:bCs/>
          <w:color w:val="2E75B6"/>
        </w:rPr>
        <w:t xml:space="preserve">4.1 The Catalogue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Top-15 Architecture Principles Catalogue: </w:t>
            </w:r>
            <w:r>
              <w:t xml:space="preserve">The enterprise's set of 12-20 architecture principles, distributed approximately as: 3-4 Business principles; 3-4 Data principles; 2-3 Application principles; 2-3 Technology principles; 2-3 cross-cutting principles (security, sustainability). Each in standard four-part format (Name, Statement, Rationale, Implications). Established in Preliminary Phase; reviewed annually; revised through Phase H.</w:t>
            </w:r>
          </w:p>
        </w:tc>
      </w:tr>
    </w:tbl>
    <w:p>
      <w:pPr>
        <w:pStyle w:val="Heading2"/>
        <w:spacing w:after="160" w:before="280"/>
      </w:pPr>
      <w:r>
        <w:rPr>
          <w:b/>
          <w:bCs/>
          <w:color w:val="2E75B6"/>
        </w:rPr>
        <w:t xml:space="preserve">4.2 A Worked Top-15</w:t>
      </w:r>
    </w:p>
    <w:p>
      <w:pPr>
        <w:spacing w:after="120" w:line="300"/>
        <w:jc w:val="both"/>
      </w:pPr>
      <w:r>
        <w:t xml:space="preserve">A representative Top-15 for a regulated enterprise might include:</w:t>
      </w:r>
    </w:p>
    <w:p>
      <w:pPr>
        <w:pStyle w:val="Heading3"/>
        <w:spacing w:after="120" w:before="220"/>
      </w:pPr>
      <w:r>
        <w:rPr>
          <w:b/>
          <w:bCs/>
          <w:color w:val="404040"/>
        </w:rPr>
        <w:t xml:space="preserve">Business Principles</w:t>
      </w:r>
    </w:p>
    <w:p>
      <w:pPr>
        <w:pStyle w:val="ListParagraph"/>
        <w:numPr>
          <w:ilvl w:val="0"/>
          <w:numId w:val="3"/>
        </w:numPr>
        <w:spacing w:after="80" w:line="280"/>
      </w:pPr>
      <w:r>
        <w:t xml:space="preserve">Compliance with Law — Architecture decisions comply with applicable laws and regulations; legal compliance is a constraint, not a target.</w:t>
      </w:r>
    </w:p>
    <w:p>
      <w:pPr>
        <w:pStyle w:val="ListParagraph"/>
        <w:numPr>
          <w:ilvl w:val="0"/>
          <w:numId w:val="3"/>
        </w:numPr>
        <w:spacing w:after="80" w:line="280"/>
      </w:pPr>
      <w:r>
        <w:t xml:space="preserve">Maximise Benefit to the Enterprise — Architecture decisions are made for enterprise outcomes, not local optimisation.</w:t>
      </w:r>
    </w:p>
    <w:p>
      <w:pPr>
        <w:pStyle w:val="ListParagraph"/>
        <w:numPr>
          <w:ilvl w:val="0"/>
          <w:numId w:val="3"/>
        </w:numPr>
        <w:spacing w:after="80" w:line="280"/>
      </w:pPr>
      <w:r>
        <w:t xml:space="preserve">Common Vocabulary and Data Definitions — The enterprise speaks a single language about its capabilities, processes, and information.</w:t>
      </w:r>
    </w:p>
    <w:p>
      <w:pPr>
        <w:pStyle w:val="ListParagraph"/>
        <w:numPr>
          <w:ilvl w:val="0"/>
          <w:numId w:val="3"/>
        </w:numPr>
        <w:spacing w:after="80" w:line="280"/>
      </w:pPr>
      <w:r>
        <w:t xml:space="preserve">Business Continuity — Critical capabilities continue to function in degraded conditions; resilience is designed in.</w:t>
      </w:r>
    </w:p>
    <w:p>
      <w:pPr>
        <w:pStyle w:val="Heading3"/>
        <w:spacing w:after="120" w:before="220"/>
      </w:pPr>
      <w:r>
        <w:rPr>
          <w:b/>
          <w:bCs/>
          <w:color w:val="404040"/>
        </w:rPr>
        <w:t xml:space="preserve">Data Principles</w:t>
      </w:r>
    </w:p>
    <w:p>
      <w:pPr>
        <w:pStyle w:val="ListParagraph"/>
        <w:numPr>
          <w:ilvl w:val="0"/>
          <w:numId w:val="3"/>
        </w:numPr>
        <w:spacing w:after="80" w:line="280"/>
      </w:pPr>
      <w:r>
        <w:t xml:space="preserve">Information is an Asset — Information has value to the enterprise and is managed accordingly (the worked example from Module 15).</w:t>
      </w:r>
    </w:p>
    <w:p>
      <w:pPr>
        <w:pStyle w:val="ListParagraph"/>
        <w:numPr>
          <w:ilvl w:val="0"/>
          <w:numId w:val="3"/>
        </w:numPr>
        <w:spacing w:after="80" w:line="280"/>
      </w:pPr>
      <w:r>
        <w:t xml:space="preserve">Data is Shared — Data is shared across the enterprise unless specific policy requires restriction.</w:t>
      </w:r>
    </w:p>
    <w:p>
      <w:pPr>
        <w:pStyle w:val="ListParagraph"/>
        <w:numPr>
          <w:ilvl w:val="0"/>
          <w:numId w:val="3"/>
        </w:numPr>
        <w:spacing w:after="80" w:line="280"/>
      </w:pPr>
      <w:r>
        <w:t xml:space="preserve">Data Trustee — Every data entity has a named accountable data owner.</w:t>
      </w:r>
    </w:p>
    <w:p>
      <w:pPr>
        <w:pStyle w:val="ListParagraph"/>
        <w:numPr>
          <w:ilvl w:val="0"/>
          <w:numId w:val="3"/>
        </w:numPr>
        <w:spacing w:after="80" w:line="280"/>
      </w:pPr>
      <w:r>
        <w:t xml:space="preserve">Privacy by Design — Personal data handling complies with privacy by design principles by default.</w:t>
      </w:r>
    </w:p>
    <w:p>
      <w:pPr>
        <w:pStyle w:val="Heading3"/>
        <w:spacing w:after="120" w:before="220"/>
      </w:pPr>
      <w:r>
        <w:rPr>
          <w:b/>
          <w:bCs/>
          <w:color w:val="404040"/>
        </w:rPr>
        <w:t xml:space="preserve">Application Principles</w:t>
      </w:r>
    </w:p>
    <w:p>
      <w:pPr>
        <w:pStyle w:val="ListParagraph"/>
        <w:numPr>
          <w:ilvl w:val="0"/>
          <w:numId w:val="3"/>
        </w:numPr>
        <w:spacing w:after="80" w:line="280"/>
      </w:pPr>
      <w:r>
        <w:t xml:space="preserve">Common Use Applications — Cross-enterprise applications are preferred over duplicative ones.</w:t>
      </w:r>
    </w:p>
    <w:p>
      <w:pPr>
        <w:pStyle w:val="ListParagraph"/>
        <w:numPr>
          <w:ilvl w:val="0"/>
          <w:numId w:val="3"/>
        </w:numPr>
        <w:spacing w:after="80" w:line="280"/>
      </w:pPr>
      <w:r>
        <w:t xml:space="preserve">Cloud-First — New workloads default to cloud-native deployment unless explicitly justified otherwise.</w:t>
      </w:r>
    </w:p>
    <w:p>
      <w:pPr>
        <w:pStyle w:val="ListParagraph"/>
        <w:numPr>
          <w:ilvl w:val="0"/>
          <w:numId w:val="3"/>
        </w:numPr>
        <w:spacing w:after="80" w:line="280"/>
      </w:pPr>
      <w:r>
        <w:t xml:space="preserve">API-First — Capabilities are exposed through governed APIs as the default integration mechanism.</w:t>
      </w:r>
    </w:p>
    <w:p>
      <w:pPr>
        <w:pStyle w:val="Heading3"/>
        <w:spacing w:after="120" w:before="220"/>
      </w:pPr>
      <w:r>
        <w:rPr>
          <w:b/>
          <w:bCs/>
          <w:color w:val="404040"/>
        </w:rPr>
        <w:t xml:space="preserve">Technology Principles</w:t>
      </w:r>
    </w:p>
    <w:p>
      <w:pPr>
        <w:pStyle w:val="ListParagraph"/>
        <w:numPr>
          <w:ilvl w:val="0"/>
          <w:numId w:val="3"/>
        </w:numPr>
        <w:spacing w:after="80" w:line="280"/>
      </w:pPr>
      <w:r>
        <w:t xml:space="preserve">Control Technical Diversity — Technology choices are constrained to a managed set; new technologies require explicit approval.</w:t>
      </w:r>
    </w:p>
    <w:p>
      <w:pPr>
        <w:pStyle w:val="ListParagraph"/>
        <w:numPr>
          <w:ilvl w:val="0"/>
          <w:numId w:val="3"/>
        </w:numPr>
        <w:spacing w:after="80" w:line="280"/>
      </w:pPr>
      <w:r>
        <w:t xml:space="preserve">Buy Before Build — Commercial off-the-shelf or SaaS solutions are preferred over custom build for non-differentiating capabilities.</w:t>
      </w:r>
    </w:p>
    <w:p>
      <w:pPr>
        <w:pStyle w:val="Heading3"/>
        <w:spacing w:after="120" w:before="220"/>
      </w:pPr>
      <w:r>
        <w:rPr>
          <w:b/>
          <w:bCs/>
          <w:color w:val="404040"/>
        </w:rPr>
        <w:t xml:space="preserve">Cross-Cutting</w:t>
      </w:r>
    </w:p>
    <w:p>
      <w:pPr>
        <w:pStyle w:val="ListParagraph"/>
        <w:numPr>
          <w:ilvl w:val="0"/>
          <w:numId w:val="3"/>
        </w:numPr>
        <w:spacing w:after="80" w:line="280"/>
      </w:pPr>
      <w:r>
        <w:t xml:space="preserve">Security by Design — Security is integrated across all architectural decisions, not retrofitted.</w:t>
      </w:r>
    </w:p>
    <w:p>
      <w:pPr>
        <w:pStyle w:val="ListParagraph"/>
        <w:numPr>
          <w:ilvl w:val="0"/>
          <w:numId w:val="3"/>
        </w:numPr>
        <w:spacing w:after="80" w:line="280"/>
      </w:pPr>
      <w:r>
        <w:t xml:space="preserve">Sustainability — Architecture decisions consider their carbon impact; cloud region selection and resource utilisation are optimised.</w:t>
      </w:r>
    </w:p>
    <w:p>
      <w:pPr>
        <w:pStyle w:val="Heading2"/>
        <w:spacing w:after="160" w:before="280"/>
      </w:pPr>
      <w:r>
        <w:rPr>
          <w:b/>
          <w:bCs/>
          <w:color w:val="2E75B6"/>
        </w:rPr>
        <w:t xml:space="preserve">4.3 The Top-15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4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4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Principle</w:t>
            </w:r>
          </w:p>
        </w:tc>
        <w:tc>
          <w:tcPr>
            <w:tcW w:type="dxa" w:w="4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Domain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Compliance with Law</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Maximise Benefit to the Enterprise</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Common Vocabulary and Data Definitions</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Business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Continuity</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Information is an Asset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 is Shared</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 Trustee</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Data</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Privacy by Design</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Data</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9</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Common Use Applications</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Cloud-First</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11</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API-First</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12</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Control Technical Diversity</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13</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Buy Before Build</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Technology</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14</w:t>
            </w:r>
          </w:p>
        </w:tc>
        <w:tc>
          <w:tcPr>
            <w:tcW w:type="dxa" w:w="4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Security by Design</w:t>
            </w:r>
          </w:p>
        </w:tc>
        <w:tc>
          <w:tcPr>
            <w:tcW w:type="dxa" w:w="4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Cross-cutting</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15</w:t>
            </w:r>
          </w:p>
        </w:tc>
        <w:tc>
          <w:tcPr>
            <w:tcW w:type="dxa" w:w="4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Sustainability</w:t>
            </w:r>
          </w:p>
        </w:tc>
        <w:tc>
          <w:tcPr>
            <w:tcW w:type="dxa" w:w="4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Cross-cutting</w:t>
            </w:r>
          </w:p>
        </w:tc>
      </w:tr>
    </w:tbl>
    <w:p>
      <w:pPr>
        <w:pStyle w:val="Heading2"/>
        <w:spacing w:after="160" w:before="280"/>
      </w:pPr>
      <w:r>
        <w:rPr>
          <w:b/>
          <w:bCs/>
          <w:color w:val="2E75B6"/>
        </w:rPr>
        <w:t xml:space="preserve">4.4 Each Principle in Full Form</w:t>
      </w:r>
    </w:p>
    <w:p>
      <w:pPr>
        <w:spacing w:after="120" w:line="300"/>
        <w:jc w:val="both"/>
      </w:pPr>
      <w:r>
        <w:t xml:space="preserve">Each principle in the catalogue is fully specified in the four-part format. As an example, Principle 10 (Cloud-First) was worked in Module 20:</w:t>
      </w:r>
    </w:p>
    <w:p>
      <w:pPr>
        <w:pStyle w:val="ListParagraph"/>
        <w:numPr>
          <w:ilvl w:val="0"/>
          <w:numId w:val="2"/>
        </w:numPr>
        <w:spacing w:after="80" w:line="280"/>
      </w:pPr>
      <w:r>
        <w:t xml:space="preserve">Name: Cloud-First.</w:t>
      </w:r>
    </w:p>
    <w:p>
      <w:pPr>
        <w:pStyle w:val="ListParagraph"/>
        <w:numPr>
          <w:ilvl w:val="0"/>
          <w:numId w:val="2"/>
        </w:numPr>
        <w:spacing w:after="80" w:line="280"/>
      </w:pPr>
      <w:r>
        <w:t xml:space="preserve">Statement: New workloads will be designed for and deployed to cloud-native managed platforms. Alternative deployments require explicit approval based on a documented case for exception.</w:t>
      </w:r>
    </w:p>
    <w:p>
      <w:pPr>
        <w:pStyle w:val="ListParagraph"/>
        <w:numPr>
          <w:ilvl w:val="0"/>
          <w:numId w:val="2"/>
        </w:numPr>
        <w:spacing w:after="80" w:line="280"/>
      </w:pPr>
      <w:r>
        <w:t xml:space="preserve">Rationale: Cloud-native platforms deliver elasticity, operational efficiency, modern feature sets, and cost models not achievable with traditional on-premise infrastructure.</w:t>
      </w:r>
    </w:p>
    <w:p>
      <w:pPr>
        <w:pStyle w:val="ListParagraph"/>
        <w:numPr>
          <w:ilvl w:val="0"/>
          <w:numId w:val="2"/>
        </w:numPr>
        <w:spacing w:after="80" w:line="280"/>
      </w:pPr>
      <w:r>
        <w:t xml:space="preserve">Implications: (1) Architecture engagements design for cloud-native patterns by default. (2) Phase D references the corporate cloud landing zone. (3) Workloads not designed for cloud-native operation trigger explicit Phase E disposition decisions. (4) DevOps and cloud-native skills development. (5) Sovereignty/regulatory exceptions require explicit approval.</w:t>
      </w:r>
    </w:p>
    <w:p>
      <w:pPr>
        <w:spacing w:after="120" w:line="300"/>
        <w:jc w:val="both"/>
      </w:pPr>
      <w:r>
        <w:t xml:space="preserve">Each of the 15 principles in the catalogue is similarly elaborated. The full catalogue is typically a 30-50 page document.</w:t>
      </w:r>
    </w:p>
    <w:p>
      <w:r>
        <w:br w:type="page"/>
      </w:r>
    </w:p>
    <w:p>
      <w:pPr>
        <w:pStyle w:val="Heading1"/>
        <w:spacing w:after="200" w:before="360"/>
      </w:pPr>
      <w:r>
        <w:rPr>
          <w:b/>
          <w:bCs/>
          <w:color w:val="1F4E78"/>
        </w:rPr>
        <w:t xml:space="preserve">5. ACMM Target Level + 18-Month Improvement Plan</w:t>
      </w:r>
    </w:p>
    <w:p>
      <w:pPr>
        <w:spacing w:after="120" w:line="300"/>
        <w:jc w:val="both"/>
      </w:pPr>
      <w:r>
        <w:t xml:space="preserve">Module 13 covered the Architecture Capability Maturity Model with its six levels (0-5) across nine characteristics. This component of the design specifies the maturity target — typically Level 3 or Level 4 — and the 18-month plan to reach it.</w:t>
      </w:r>
    </w:p>
    <w:p>
      <w:pPr>
        <w:pStyle w:val="Heading2"/>
        <w:spacing w:after="160" w:before="280"/>
      </w:pPr>
      <w:r>
        <w:rPr>
          <w:b/>
          <w:bCs/>
          <w:color w:val="2E75B6"/>
        </w:rPr>
        <w:t xml:space="preserve">5.1 Target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ACMM Target with 18-Month Plan: </w:t>
            </w:r>
            <w:r>
              <w:t xml:space="preserve">The committed maturity level to reach in 18 months, with explicit work packages that move each ACMM characteristic from current to target. Typical targets: Level 3 (Defined) for enterprises currently at Level 1-2; Level 4 (Managed) for enterprises currently at Level 3. Skipping levels (Level 1 to Level 4 in one cycle) is rarely successful and not recommended.</w:t>
            </w:r>
          </w:p>
        </w:tc>
      </w:tr>
    </w:tbl>
    <w:p>
      <w:pPr>
        <w:pStyle w:val="Heading2"/>
        <w:spacing w:after="160" w:before="280"/>
      </w:pPr>
      <w:r>
        <w:rPr>
          <w:b/>
          <w:bCs/>
          <w:color w:val="2E75B6"/>
        </w:rPr>
        <w:t xml:space="preserve">5.2 The 18-Month Improvement Plan Structure</w:t>
      </w:r>
    </w:p>
    <w:p>
      <w:pPr>
        <w:spacing w:after="120" w:line="300"/>
        <w:jc w:val="both"/>
      </w:pPr>
      <w:r>
        <w:t xml:space="preserve">A typical improvement plan for an enterprise at Level 2 targeting Level 3 in 18 months covers:</w:t>
      </w:r>
    </w:p>
    <w:p>
      <w:pPr>
        <w:pStyle w:val="Heading3"/>
        <w:spacing w:after="120" w:before="220"/>
      </w:pPr>
      <w:r>
        <w:rPr>
          <w:b/>
          <w:bCs/>
          <w:color w:val="404040"/>
        </w:rPr>
        <w:t xml:space="preserve">Months 1-3 — Foundation</w:t>
      </w:r>
    </w:p>
    <w:p>
      <w:pPr>
        <w:pStyle w:val="ListParagraph"/>
        <w:numPr>
          <w:ilvl w:val="0"/>
          <w:numId w:val="2"/>
        </w:numPr>
        <w:spacing w:after="80" w:line="280"/>
      </w:pPr>
      <w:r>
        <w:t xml:space="preserve">Establish or strengthen Architecture Board with documented charter (Section 3).</w:t>
      </w:r>
    </w:p>
    <w:p>
      <w:pPr>
        <w:pStyle w:val="ListParagraph"/>
        <w:numPr>
          <w:ilvl w:val="0"/>
          <w:numId w:val="2"/>
        </w:numPr>
        <w:spacing w:after="80" w:line="280"/>
      </w:pPr>
      <w:r>
        <w:t xml:space="preserve">Publish Top-15 Architecture Principles Catalogue (Section 4).</w:t>
      </w:r>
    </w:p>
    <w:p>
      <w:pPr>
        <w:pStyle w:val="ListParagraph"/>
        <w:numPr>
          <w:ilvl w:val="0"/>
          <w:numId w:val="2"/>
        </w:numPr>
        <w:spacing w:after="80" w:line="280"/>
      </w:pPr>
      <w:r>
        <w:t xml:space="preserve">Deploy basic Architecture Repository (Module 11) — typically a tool deployment alongside content migration.</w:t>
      </w:r>
    </w:p>
    <w:p>
      <w:pPr>
        <w:pStyle w:val="ListParagraph"/>
        <w:numPr>
          <w:ilvl w:val="0"/>
          <w:numId w:val="2"/>
        </w:numPr>
        <w:spacing w:after="80" w:line="280"/>
      </w:pPr>
      <w:r>
        <w:t xml:space="preserve">Establish basic ACMM measurement baseline.</w:t>
      </w:r>
    </w:p>
    <w:p>
      <w:pPr>
        <w:pStyle w:val="Heading3"/>
        <w:spacing w:after="120" w:before="220"/>
      </w:pPr>
      <w:r>
        <w:rPr>
          <w:b/>
          <w:bCs/>
          <w:color w:val="404040"/>
        </w:rPr>
        <w:t xml:space="preserve">Months 4-9 — Substance</w:t>
      </w:r>
    </w:p>
    <w:p>
      <w:pPr>
        <w:pStyle w:val="ListParagraph"/>
        <w:numPr>
          <w:ilvl w:val="0"/>
          <w:numId w:val="2"/>
        </w:numPr>
        <w:spacing w:after="80" w:line="280"/>
      </w:pPr>
      <w:r>
        <w:t xml:space="preserve">Run first formal TOGAF engagement using the tailored ADM (Section 2).</w:t>
      </w:r>
    </w:p>
    <w:p>
      <w:pPr>
        <w:pStyle w:val="ListParagraph"/>
        <w:numPr>
          <w:ilvl w:val="0"/>
          <w:numId w:val="2"/>
        </w:numPr>
        <w:spacing w:after="80" w:line="280"/>
      </w:pPr>
      <w:r>
        <w:t xml:space="preserve">Establish Architecture Compliance Review process; conduct first reviews.</w:t>
      </w:r>
    </w:p>
    <w:p>
      <w:pPr>
        <w:pStyle w:val="ListParagraph"/>
        <w:numPr>
          <w:ilvl w:val="0"/>
          <w:numId w:val="2"/>
        </w:numPr>
        <w:spacing w:after="80" w:line="280"/>
      </w:pPr>
      <w:r>
        <w:t xml:space="preserve">Build initial Architecture Repository content — Capability Map, Information Map, Application Portfolio.</w:t>
      </w:r>
    </w:p>
    <w:p>
      <w:pPr>
        <w:pStyle w:val="ListParagraph"/>
        <w:numPr>
          <w:ilvl w:val="0"/>
          <w:numId w:val="2"/>
        </w:numPr>
        <w:spacing w:after="80" w:line="280"/>
      </w:pPr>
      <w:r>
        <w:t xml:space="preserve">Establish ADR practice across delivery teams (typically achieves 50-70% adoption in this period).</w:t>
      </w:r>
    </w:p>
    <w:p>
      <w:pPr>
        <w:pStyle w:val="Heading3"/>
        <w:spacing w:after="120" w:before="220"/>
      </w:pPr>
      <w:r>
        <w:rPr>
          <w:b/>
          <w:bCs/>
          <w:color w:val="404040"/>
        </w:rPr>
        <w:t xml:space="preserve">Months 10-15 — Embed</w:t>
      </w:r>
    </w:p>
    <w:p>
      <w:pPr>
        <w:pStyle w:val="ListParagraph"/>
        <w:numPr>
          <w:ilvl w:val="0"/>
          <w:numId w:val="2"/>
        </w:numPr>
        <w:spacing w:after="80" w:line="280"/>
      </w:pPr>
      <w:r>
        <w:t xml:space="preserve">Multiple TOGAF engagements running in parallel.</w:t>
      </w:r>
    </w:p>
    <w:p>
      <w:pPr>
        <w:pStyle w:val="ListParagraph"/>
        <w:numPr>
          <w:ilvl w:val="0"/>
          <w:numId w:val="2"/>
        </w:numPr>
        <w:spacing w:after="80" w:line="280"/>
      </w:pPr>
      <w:r>
        <w:t xml:space="preserve">Compliance Reviews integrated into delivery governance.</w:t>
      </w:r>
    </w:p>
    <w:p>
      <w:pPr>
        <w:pStyle w:val="ListParagraph"/>
        <w:numPr>
          <w:ilvl w:val="0"/>
          <w:numId w:val="2"/>
        </w:numPr>
        <w:spacing w:after="80" w:line="280"/>
      </w:pPr>
      <w:r>
        <w:t xml:space="preserve">Architecture Capability Framework operational (Hub &amp; Spoke if recommended — Module 12).</w:t>
      </w:r>
    </w:p>
    <w:p>
      <w:pPr>
        <w:pStyle w:val="ListParagraph"/>
        <w:numPr>
          <w:ilvl w:val="0"/>
          <w:numId w:val="2"/>
        </w:numPr>
        <w:spacing w:after="80" w:line="280"/>
      </w:pPr>
      <w:r>
        <w:t xml:space="preserve">Communities of Practice established (Module 21).</w:t>
      </w:r>
    </w:p>
    <w:p>
      <w:pPr>
        <w:pStyle w:val="Heading3"/>
        <w:spacing w:after="120" w:before="220"/>
      </w:pPr>
      <w:r>
        <w:rPr>
          <w:b/>
          <w:bCs/>
          <w:color w:val="404040"/>
        </w:rPr>
        <w:t xml:space="preserve">Months 16-18 — Consolidate</w:t>
      </w:r>
    </w:p>
    <w:p>
      <w:pPr>
        <w:pStyle w:val="ListParagraph"/>
        <w:numPr>
          <w:ilvl w:val="0"/>
          <w:numId w:val="2"/>
        </w:numPr>
        <w:spacing w:after="80" w:line="280"/>
      </w:pPr>
      <w:r>
        <w:t xml:space="preserve">Re-assess ACMM — confirm Level 3 across most characteristics.</w:t>
      </w:r>
    </w:p>
    <w:p>
      <w:pPr>
        <w:pStyle w:val="ListParagraph"/>
        <w:numPr>
          <w:ilvl w:val="0"/>
          <w:numId w:val="2"/>
        </w:numPr>
        <w:spacing w:after="80" w:line="280"/>
      </w:pPr>
      <w:r>
        <w:t xml:space="preserve">Identify weaker characteristics and plan next 18-month cycle.</w:t>
      </w:r>
    </w:p>
    <w:p>
      <w:pPr>
        <w:pStyle w:val="ListParagraph"/>
        <w:numPr>
          <w:ilvl w:val="0"/>
          <w:numId w:val="2"/>
        </w:numPr>
        <w:spacing w:after="80" w:line="280"/>
      </w:pPr>
      <w:r>
        <w:t xml:space="preserve">Publish first annual EA value report (Section 10).</w:t>
      </w:r>
    </w:p>
    <w:p>
      <w:pPr>
        <w:pStyle w:val="Heading2"/>
        <w:spacing w:after="160" w:before="280"/>
      </w:pPr>
      <w:r>
        <w:rPr>
          <w:b/>
          <w:bCs/>
          <w:color w:val="2E75B6"/>
        </w:rPr>
        <w:t xml:space="preserve">5.3 The Plan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2700"/>
        <w:gridCol w:w="38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11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Months</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Focus</w:t>
            </w:r>
          </w:p>
        </w:tc>
        <w:tc>
          <w:tcPr>
            <w:tcW w:type="dxa" w:w="38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Key Outputs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w:t>
            </w:r>
          </w:p>
        </w:tc>
        <w:tc>
          <w:tcPr>
            <w:tcW w:type="dxa" w:w="1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1-3</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Establish basic apparatus</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Board charter; Principles Catalogue; Repository; baseline measurement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Substance</w:t>
            </w:r>
          </w:p>
        </w:tc>
        <w:tc>
          <w:tcPr>
            <w:tcW w:type="dxa" w:w="11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4-9</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Run first engagements; build content</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First TOGAF engagement; Compliance Reviews; initial Repository content; ADR adoption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Embed</w:t>
            </w:r>
          </w:p>
        </w:tc>
        <w:tc>
          <w:tcPr>
            <w:tcW w:type="dxa" w:w="1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10-15</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Multiple engagements; integrated governance</w:t>
            </w:r>
          </w:p>
        </w:tc>
        <w:tc>
          <w:tcPr>
            <w:tcW w:type="dxa" w:w="38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Parallel engagements; Hub &amp; Spoke operational; CoPs; integrated reviews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Consolidate</w:t>
            </w:r>
          </w:p>
        </w:tc>
        <w:tc>
          <w:tcPr>
            <w:tcW w:type="dxa" w:w="11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16-18</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Confirm maturity; plan next cycle</w:t>
            </w:r>
          </w:p>
        </w:tc>
        <w:tc>
          <w:tcPr>
            <w:tcW w:type="dxa" w:w="38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ACMM re-assessment; next-cycle plan; first value report</w:t>
            </w:r>
          </w:p>
        </w:tc>
      </w:tr>
    </w:tbl>
    <w:p>
      <w:pPr>
        <w:pStyle w:val="Heading2"/>
        <w:spacing w:after="160" w:before="280"/>
      </w:pPr>
      <w:r>
        <w:rPr>
          <w:b/>
          <w:bCs/>
          <w:color w:val="2E75B6"/>
        </w:rPr>
        <w:t xml:space="preserve">5.4 Why 18 Months</w:t>
      </w:r>
    </w:p>
    <w:p>
      <w:pPr>
        <w:spacing w:after="120" w:line="300"/>
        <w:jc w:val="both"/>
      </w:pPr>
      <w:r>
        <w:t xml:space="preserve">The 18-month horizon is deliberate. Shorter (6-12 months) is too compressed — capability change at organisational scale takes time. Longer (24+ months) loses momentum and accountability — the people who started the plan are different from those finishing it. 18 months allows substantial maturity progress, three to four formal engagements, and natural alignment with annual planning cycles. Most enterprises run successive 18-month improvement cycles, each targeting one ACMM level above the current.</w:t>
      </w:r>
    </w:p>
    <w:p>
      <w:r>
        <w:br w:type="page"/>
      </w:r>
    </w:p>
    <w:p>
      <w:pPr>
        <w:pStyle w:val="Heading1"/>
        <w:spacing w:after="200" w:before="360"/>
      </w:pPr>
      <w:r>
        <w:rPr>
          <w:b/>
          <w:bCs/>
          <w:color w:val="1F4E78"/>
        </w:rPr>
        <w:t xml:space="preserve">6. Funding Model Recommendation</w:t>
      </w:r>
    </w:p>
    <w:p>
      <w:pPr>
        <w:spacing w:after="120" w:line="300"/>
        <w:jc w:val="both"/>
      </w:pPr>
      <w:r>
        <w:t xml:space="preserve">Module 12 covered the funding models for the architecture function. This component of the design specifies which funding model the EA practice operates on, and why.</w:t>
      </w:r>
    </w:p>
    <w:p>
      <w:pPr>
        <w:pStyle w:val="Heading2"/>
        <w:spacing w:after="160" w:before="280"/>
      </w:pPr>
      <w:r>
        <w:rPr>
          <w:b/>
          <w:bCs/>
          <w:color w:val="2E75B6"/>
        </w:rPr>
        <w:t xml:space="preserve">6.1 The Three Funding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Function Funding Models: </w:t>
            </w:r>
            <w:r>
              <w:t xml:space="preserve">Three recurring patterns: (1) Project-based — architecture costs allocated to projects that consume architectural support; (2) Capability-based — architecture funded as part of capability portfolios; (3) Central overhead — architecture funded as a corporate function from central budget. Module 12 covered each. Capability-based is increasingly the recommended modern default; central overhead is the most common historical model.</w:t>
            </w:r>
          </w:p>
        </w:tc>
      </w:tr>
    </w:tbl>
    <w:p>
      <w:pPr>
        <w:pStyle w:val="Heading2"/>
        <w:spacing w:after="160" w:before="280"/>
      </w:pPr>
      <w:r>
        <w:rPr>
          <w:b/>
          <w:bCs/>
          <w:color w:val="2E75B6"/>
        </w:rPr>
        <w:t xml:space="preserve">6.2 The Three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2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Model</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Funding Source</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Strengths</w:t>
            </w:r>
          </w:p>
        </w:tc>
        <w:tc>
          <w:tcPr>
            <w:tcW w:type="dxa" w:w="2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Weaknesses</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Project-based</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Cost charged to projects consuming architecture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Tight project alignment; visible cost</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Disincentivises strategic architecture (no project will fund it); produces feast/famine cycles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Capability-based</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Funded from capability portfolios at strategic level</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 tactical balance; aligned with capability-based planning</w:t>
            </w:r>
          </w:p>
        </w:tc>
        <w:tc>
          <w:tcPr>
            <w:tcW w:type="dxa" w:w="2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Requires mature capability-based budgeting; complex allocation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Central overhead</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Corporate function budget</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Stable funding; protected from project pressures</w:t>
            </w:r>
          </w:p>
        </w:tc>
        <w:tc>
          <w:tcPr>
            <w:tcW w:type="dxa" w:w="2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Disconnected from value delivered; vulnerable in budget cuts</w:t>
            </w:r>
          </w:p>
        </w:tc>
      </w:tr>
    </w:tbl>
    <w:p>
      <w:pPr>
        <w:pStyle w:val="Heading2"/>
        <w:spacing w:after="160" w:before="280"/>
      </w:pPr>
      <w:r>
        <w:rPr>
          <w:b/>
          <w:bCs/>
          <w:color w:val="2E75B6"/>
        </w:rPr>
        <w:t xml:space="preserve">6.3 Recommendation by Context</w:t>
      </w:r>
    </w:p>
    <w:p>
      <w:pPr>
        <w:spacing w:after="120" w:line="300"/>
        <w:jc w:val="both"/>
      </w:pPr>
      <w:r>
        <w:t xml:space="preserve">The right funding model varies with context (tying back to Section 1):</w:t>
      </w:r>
    </w:p>
    <w:p>
      <w:pPr>
        <w:pStyle w:val="ListParagraph"/>
        <w:numPr>
          <w:ilvl w:val="0"/>
          <w:numId w:val="2"/>
        </w:numPr>
        <w:spacing w:after="80" w:line="280"/>
      </w:pPr>
      <w:r>
        <w:t xml:space="preserve">Mature enterprises with capability-based planning — Capability-based funding. Recommended modern default. Module 18's capability-based planning gives this its operating substrate.</w:t>
      </w:r>
    </w:p>
    <w:p>
      <w:pPr>
        <w:pStyle w:val="ListParagraph"/>
        <w:numPr>
          <w:ilvl w:val="0"/>
          <w:numId w:val="2"/>
        </w:numPr>
        <w:spacing w:after="80" w:line="280"/>
      </w:pPr>
      <w:r>
        <w:t xml:space="preserve">Less mature enterprises lacking capability-based planning — Central overhead, transitioning to capability-based as capability-based planning matures.</w:t>
      </w:r>
    </w:p>
    <w:p>
      <w:pPr>
        <w:pStyle w:val="ListParagraph"/>
        <w:numPr>
          <w:ilvl w:val="0"/>
          <w:numId w:val="2"/>
        </w:numPr>
        <w:spacing w:after="80" w:line="280"/>
      </w:pPr>
      <w:r>
        <w:t xml:space="preserve">Enterprises with strong project finance discipline — Hybrid: central overhead for strategic architecture; project-based charging for engagement-specific work.</w:t>
      </w:r>
    </w:p>
    <w:p>
      <w:pPr>
        <w:pStyle w:val="ListParagraph"/>
        <w:numPr>
          <w:ilvl w:val="0"/>
          <w:numId w:val="2"/>
        </w:numPr>
        <w:spacing w:after="80" w:line="280"/>
      </w:pPr>
      <w:r>
        <w:t xml:space="preserve">Avoid pure project-based — produces strategic architecture starvation that surfaces years later as expensive remediation.</w:t>
      </w:r>
    </w:p>
    <w:p>
      <w:pPr>
        <w:pStyle w:val="Heading2"/>
        <w:spacing w:after="160" w:before="280"/>
      </w:pPr>
      <w:r>
        <w:rPr>
          <w:b/>
          <w:bCs/>
          <w:color w:val="2E75B6"/>
        </w:rPr>
        <w:t xml:space="preserve">6.4 Funding Decision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Acme Bank Funding Model</w:t>
            </w:r>
          </w:p>
          <w:p>
            <w:pPr>
              <w:spacing w:after="60" w:line="280"/>
              <w:jc w:val="both"/>
            </w:pPr>
            <w:r>
              <w:t xml:space="preserve">Recommendation: Hybrid model with capability-based as primary, central overhead for strategic.</w:t>
            </w:r>
          </w:p>
          <w:p>
            <w:pPr>
              <w:spacing w:after="60" w:line="280"/>
              <w:jc w:val="both"/>
            </w:pPr>
            <w:r>
              <w:t xml:space="preserve">Rationale: Acme has mature capability-based planning at the Tier 1 capability level. Strategic architecture work (Capability Maps, cross-cutting standards, Architecture Repository content) is funded from central overhead — approximately 40% of architecture function budget. Engagement-specific architecture work is funded from the relevant capability portfolio — approximately 60% of budget.</w:t>
            </w:r>
          </w:p>
          <w:p>
            <w:pPr>
              <w:spacing w:after="60" w:line="280"/>
              <w:jc w:val="both"/>
            </w:pPr>
            <w:r>
              <w:t xml:space="preserve">Allocation mechanism: At annual planning, the architecture function commits its strategic outputs (Principles updates, reference architecture refreshes, Repository improvements) against central overhead. Engagement-specific work is bid into capability portfolio cycles by the Solution Architect responsible.</w:t>
            </w:r>
          </w:p>
          <w:p>
            <w:pPr>
              <w:spacing w:after="60" w:line="280"/>
              <w:jc w:val="both"/>
            </w:pPr>
            <w:r>
              <w:t xml:space="preserve">Visibility: Architecture function reports on both strategic outputs (against overhead allocation) and engagement contributions (against capability allocations) quarterly. The combined reporting prevents the strategic work from disappearing into invisibility.</w:t>
            </w:r>
          </w:p>
          <w:p>
            <w:pPr>
              <w:spacing w:after="60" w:line="280"/>
              <w:jc w:val="both"/>
            </w:pPr>
            <w:r>
              <w:t xml:space="preserve">This funding model has been stable for three years and is reviewed annually against the EA Value Scorecard (Section 10).</w:t>
            </w:r>
          </w:p>
        </w:tc>
      </w:tr>
    </w:tbl>
    <w:p>
      <w:r>
        <w:br w:type="page"/>
      </w:r>
    </w:p>
    <w:p>
      <w:pPr>
        <w:pStyle w:val="Heading1"/>
        <w:spacing w:after="200" w:before="360"/>
      </w:pPr>
      <w:r>
        <w:rPr>
          <w:b/>
          <w:bCs/>
          <w:color w:val="1F4E78"/>
        </w:rPr>
        <w:t xml:space="preserve">7. Integration Plan with Adjacent Frameworks</w:t>
      </w:r>
    </w:p>
    <w:p>
      <w:pPr>
        <w:spacing w:after="120" w:line="300"/>
        <w:jc w:val="both"/>
      </w:pPr>
      <w:r>
        <w:t xml:space="preserve">Module 26 covered TOGAF's integration with adjacent frameworks. This component of the design specifies which adjacent frameworks are formally adopted, who owns each, and how the integrations work in practice for this specific enterprise.</w:t>
      </w:r>
    </w:p>
    <w:p>
      <w:pPr>
        <w:pStyle w:val="Heading2"/>
        <w:spacing w:after="160" w:before="280"/>
      </w:pPr>
      <w:r>
        <w:rPr>
          <w:b/>
          <w:bCs/>
          <w:color w:val="2E75B6"/>
        </w:rPr>
        <w:t xml:space="preserve">7.1 The Integration Plan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Adjacent Framework Integration Plan: </w:t>
            </w:r>
            <w:r>
              <w:t xml:space="preserve">The enterprise-specific specification of which adjacent frameworks are formally adopted; how each integrates with TOGAF; who is responsible for each; and what tooling and process supports the integration. Documents the boundary between TOGAF and each adjacent framework explicitly so that engagements deploy frameworks consistently rather than ad-hoc.</w:t>
            </w:r>
          </w:p>
        </w:tc>
      </w:tr>
    </w:tbl>
    <w:p>
      <w:pPr>
        <w:pStyle w:val="Heading2"/>
        <w:spacing w:after="160" w:before="280"/>
      </w:pPr>
      <w:r>
        <w:rPr>
          <w:b/>
          <w:bCs/>
          <w:color w:val="2E75B6"/>
        </w:rPr>
        <w:t xml:space="preserve">7.2 The Adjacent Frameworks Decision</w:t>
      </w:r>
    </w:p>
    <w:p>
      <w:pPr>
        <w:spacing w:after="120" w:line="300"/>
        <w:jc w:val="both"/>
      </w:pPr>
      <w:r>
        <w:t xml:space="preserve">Eight adjacent frameworks were covered in Module 26. For most enterprises, a subset is appropriate:</w:t>
      </w:r>
    </w:p>
    <w:p>
      <w:pPr>
        <w:pStyle w:val="Heading3"/>
        <w:spacing w:after="120" w:before="220"/>
      </w:pPr>
      <w:r>
        <w:rPr>
          <w:b/>
          <w:bCs/>
          <w:color w:val="404040"/>
        </w:rPr>
        <w:t xml:space="preserve">Always Adopted</w:t>
      </w:r>
    </w:p>
    <w:p>
      <w:pPr>
        <w:pStyle w:val="ListParagraph"/>
        <w:numPr>
          <w:ilvl w:val="0"/>
          <w:numId w:val="2"/>
        </w:numPr>
        <w:spacing w:after="80" w:line="280"/>
      </w:pPr>
      <w:r>
        <w:t xml:space="preserve">ArchiMate — visual notation. Universal recommendation; both Open Group standards.</w:t>
      </w:r>
    </w:p>
    <w:p>
      <w:pPr>
        <w:pStyle w:val="ListParagraph"/>
        <w:numPr>
          <w:ilvl w:val="0"/>
          <w:numId w:val="2"/>
        </w:numPr>
        <w:spacing w:after="80" w:line="280"/>
      </w:pPr>
      <w:r>
        <w:t xml:space="preserve">ADRs — decision records. Lightweight; benefits across all enterprise sizes.</w:t>
      </w:r>
    </w:p>
    <w:p>
      <w:pPr>
        <w:pStyle w:val="Heading3"/>
        <w:spacing w:after="120" w:before="220"/>
      </w:pPr>
      <w:r>
        <w:rPr>
          <w:b/>
          <w:bCs/>
          <w:color w:val="404040"/>
        </w:rPr>
        <w:t xml:space="preserve">Almost Always Adopted in Regulated / Large Enterprises</w:t>
      </w:r>
    </w:p>
    <w:p>
      <w:pPr>
        <w:pStyle w:val="ListParagraph"/>
        <w:numPr>
          <w:ilvl w:val="0"/>
          <w:numId w:val="2"/>
        </w:numPr>
        <w:spacing w:after="80" w:line="280"/>
      </w:pPr>
      <w:r>
        <w:t xml:space="preserve">ITIL 4 — IT operations. Universal in mature IT organisations.</w:t>
      </w:r>
    </w:p>
    <w:p>
      <w:pPr>
        <w:pStyle w:val="ListParagraph"/>
        <w:numPr>
          <w:ilvl w:val="0"/>
          <w:numId w:val="2"/>
        </w:numPr>
        <w:spacing w:after="80" w:line="280"/>
      </w:pPr>
      <w:r>
        <w:t xml:space="preserve">COBIT 2019 — IT governance. Required in regulated industries; APO03 specifies TOGAF alignment.</w:t>
      </w:r>
    </w:p>
    <w:p>
      <w:pPr>
        <w:pStyle w:val="ListParagraph"/>
        <w:numPr>
          <w:ilvl w:val="0"/>
          <w:numId w:val="2"/>
        </w:numPr>
        <w:spacing w:after="80" w:line="280"/>
      </w:pPr>
      <w:r>
        <w:t xml:space="preserve">SAFe (or equivalent) — Agile delivery scaling. Ubiquitous in enterprises with multiple delivery trains.</w:t>
      </w:r>
    </w:p>
    <w:p>
      <w:pPr>
        <w:pStyle w:val="Heading3"/>
        <w:spacing w:after="120" w:before="220"/>
      </w:pPr>
      <w:r>
        <w:rPr>
          <w:b/>
          <w:bCs/>
          <w:color w:val="404040"/>
        </w:rPr>
        <w:t xml:space="preserve">Adopted Where Domain Depth Required</w:t>
      </w:r>
    </w:p>
    <w:p>
      <w:pPr>
        <w:pStyle w:val="ListParagraph"/>
        <w:numPr>
          <w:ilvl w:val="0"/>
          <w:numId w:val="2"/>
        </w:numPr>
        <w:spacing w:after="80" w:line="280"/>
      </w:pPr>
      <w:r>
        <w:t xml:space="preserve">SABSA — security architecture depth. Adopted where regulated or where security is strategic.</w:t>
      </w:r>
    </w:p>
    <w:p>
      <w:pPr>
        <w:pStyle w:val="ListParagraph"/>
        <w:numPr>
          <w:ilvl w:val="0"/>
          <w:numId w:val="2"/>
        </w:numPr>
        <w:spacing w:after="80" w:line="280"/>
      </w:pPr>
      <w:r>
        <w:t xml:space="preserve">BIZBOK — business architecture depth. Adopted where dedicated Business Architects exist.</w:t>
      </w:r>
    </w:p>
    <w:p>
      <w:pPr>
        <w:pStyle w:val="ListParagraph"/>
        <w:numPr>
          <w:ilvl w:val="0"/>
          <w:numId w:val="2"/>
        </w:numPr>
        <w:spacing w:after="80" w:line="280"/>
      </w:pPr>
      <w:r>
        <w:t xml:space="preserve">DAMA-DMBOK — data management depth. Adopted where data is a strategic asset and Data Architects are dedicated.</w:t>
      </w:r>
    </w:p>
    <w:p>
      <w:pPr>
        <w:pStyle w:val="Heading2"/>
        <w:spacing w:after="160" w:before="280"/>
      </w:pPr>
      <w:r>
        <w:rPr>
          <w:b/>
          <w:bCs/>
          <w:color w:val="2E75B6"/>
        </w:rPr>
        <w:t xml:space="preserve">7.3 Integration Plan Structure</w:t>
      </w:r>
    </w:p>
    <w:p>
      <w:pPr>
        <w:spacing w:after="120" w:line="300"/>
        <w:jc w:val="both"/>
      </w:pPr>
      <w:r>
        <w:t xml:space="preserve">For each adopted framework, the plan specifies:</w:t>
      </w:r>
    </w:p>
    <w:p>
      <w:pPr>
        <w:pStyle w:val="ListParagraph"/>
        <w:numPr>
          <w:ilvl w:val="0"/>
          <w:numId w:val="3"/>
        </w:numPr>
        <w:spacing w:after="80" w:line="280"/>
      </w:pPr>
      <w:r>
        <w:t xml:space="preserve">Adoption rationale — why this framework is adopted in this enterprise.</w:t>
      </w:r>
    </w:p>
    <w:p>
      <w:pPr>
        <w:pStyle w:val="ListParagraph"/>
        <w:numPr>
          <w:ilvl w:val="0"/>
          <w:numId w:val="3"/>
        </w:numPr>
        <w:spacing w:after="80" w:line="280"/>
      </w:pPr>
      <w:r>
        <w:t xml:space="preserve">Integration points with TOGAF — which TOGAF phases or artefacts the framework feeds into or consumes from.</w:t>
      </w:r>
    </w:p>
    <w:p>
      <w:pPr>
        <w:pStyle w:val="ListParagraph"/>
        <w:numPr>
          <w:ilvl w:val="0"/>
          <w:numId w:val="3"/>
        </w:numPr>
        <w:spacing w:after="80" w:line="280"/>
      </w:pPr>
      <w:r>
        <w:t xml:space="preserve">Ownership — which role or team is accountable for the framework's correct application.</w:t>
      </w:r>
    </w:p>
    <w:p>
      <w:pPr>
        <w:pStyle w:val="ListParagraph"/>
        <w:numPr>
          <w:ilvl w:val="0"/>
          <w:numId w:val="3"/>
        </w:numPr>
        <w:spacing w:after="80" w:line="280"/>
      </w:pPr>
      <w:r>
        <w:t xml:space="preserve">Tooling — what tools support the integration (EA platform, CMDB, governance tooling, etc.).</w:t>
      </w:r>
    </w:p>
    <w:p>
      <w:pPr>
        <w:pStyle w:val="ListParagraph"/>
        <w:numPr>
          <w:ilvl w:val="0"/>
          <w:numId w:val="3"/>
        </w:numPr>
        <w:spacing w:after="80" w:line="280"/>
      </w:pPr>
      <w:r>
        <w:t xml:space="preserve">Skills and certifications — what certifications are expected for relevant roles.</w:t>
      </w:r>
    </w:p>
    <w:p>
      <w:pPr>
        <w:pStyle w:val="ListParagraph"/>
        <w:numPr>
          <w:ilvl w:val="0"/>
          <w:numId w:val="3"/>
        </w:numPr>
        <w:spacing w:after="80" w:line="280"/>
      </w:pPr>
      <w:r>
        <w:t xml:space="preserve">Review cadence — when the framework's adoption is reviewed for continued fit.</w:t>
      </w:r>
    </w:p>
    <w:p>
      <w:pPr>
        <w:pStyle w:val="Heading2"/>
        <w:spacing w:after="160" w:before="280"/>
      </w:pPr>
      <w:r>
        <w:rPr>
          <w:b/>
          <w:bCs/>
          <w:color w:val="2E75B6"/>
        </w:rPr>
        <w:t xml:space="preserve">7.4 Worked Integration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Acme Bank Integration Plan (Compact)</w:t>
            </w:r>
          </w:p>
          <w:p>
            <w:pPr>
              <w:spacing w:after="60" w:line="280"/>
              <w:jc w:val="both"/>
            </w:pPr>
            <w:r>
              <w:t xml:space="preserve">ArchiMate 3.2: Universal notation for all TOGAF artefacts. Owner: Chief Architect. Tooling: BiZZdesign HoriZZon. Skills: all architects expected to be ArchiMate-fluent.</w:t>
            </w:r>
          </w:p>
          <w:p>
            <w:pPr>
              <w:spacing w:after="60" w:line="280"/>
              <w:jc w:val="both"/>
            </w:pPr>
            <w:r>
              <w:t xml:space="preserve">ITIL 4: IT operations and Phase G/H integration. Owner: Head of Operations. Tooling: ServiceNow. Integration: CMDB linked to Architecture Repository (twice-yearly reconciliation). Skills: ITIL 4 Foundation expected for IT leadership.</w:t>
            </w:r>
          </w:p>
          <w:p>
            <w:pPr>
              <w:spacing w:after="60" w:line="280"/>
              <w:jc w:val="both"/>
            </w:pPr>
            <w:r>
              <w:t xml:space="preserve">COBIT 2019: IT governance baseline. Owner: CIO and Head of IT Risk. Integration: APO03 fulfilled by TOGAF practice; quarterly governance reporting includes TOGAF metrics. Skills: COBIT 2019 Foundation for IT governance roles.</w:t>
            </w:r>
          </w:p>
          <w:p>
            <w:pPr>
              <w:spacing w:after="60" w:line="280"/>
              <w:jc w:val="both"/>
            </w:pPr>
            <w:r>
              <w:t xml:space="preserve">SAFe 6.0: Delivery scaling. Owner: Head of Delivery + System Architects per ART. Integration: Phase A ↔ PI Planning; Phase G ↔ System Demo. Skills: SAFe 6.0 certifications across delivery roles.</w:t>
            </w:r>
          </w:p>
          <w:p>
            <w:pPr>
              <w:spacing w:after="60" w:line="280"/>
              <w:jc w:val="both"/>
            </w:pPr>
            <w:r>
              <w:t xml:space="preserve">SABSA: Security depth. Owner: CISO and Lead Security Architect. Integration: SABSA layers within TOGAF phases (Module 19). Skills: SABSA Chartered Architect for senior security architects.</w:t>
            </w:r>
          </w:p>
          <w:p>
            <w:pPr>
              <w:spacing w:after="60" w:line="280"/>
              <w:jc w:val="both"/>
            </w:pPr>
            <w:r>
              <w:t xml:space="preserve">BIZBOK: Adopted for Business Architecture only. Owner: Head of Business Architecture. Integration: Industry banking Capability Maps adopted as starting points; tailored to Acme. Skills: CBA certification for Business Architects.</w:t>
            </w:r>
          </w:p>
          <w:p>
            <w:pPr>
              <w:spacing w:after="60" w:line="280"/>
              <w:jc w:val="both"/>
            </w:pPr>
            <w:r>
              <w:t xml:space="preserve">DAMA-DMBOK: Adopted for data architecture depth. Owner: Chief Data Officer + Data Architects. Integration: 11 knowledge areas inform Phase C-Data work. Skills: CDMP for Data Architects.</w:t>
            </w:r>
          </w:p>
          <w:p>
            <w:pPr>
              <w:spacing w:after="60" w:line="280"/>
              <w:jc w:val="both"/>
            </w:pPr>
            <w:r>
              <w:t xml:space="preserve">All seven adjacent frameworks operational. Annual review confirms continued fit; new frameworks (e.g., Team Topologies) considered as needs emerge.</w:t>
            </w:r>
          </w:p>
        </w:tc>
      </w:tr>
    </w:tbl>
    <w:p>
      <w:r>
        <w:br w:type="page"/>
      </w:r>
    </w:p>
    <w:p>
      <w:pPr>
        <w:pStyle w:val="Heading1"/>
        <w:spacing w:after="200" w:before="360"/>
      </w:pPr>
      <w:r>
        <w:rPr>
          <w:b/>
          <w:bCs/>
          <w:color w:val="1F4E78"/>
        </w:rPr>
        <w:t xml:space="preserve">8. Anti-Pattern Guard List</w:t>
      </w:r>
    </w:p>
    <w:p>
      <w:pPr>
        <w:spacing w:after="120" w:line="300"/>
        <w:jc w:val="both"/>
      </w:pPr>
      <w:r>
        <w:t xml:space="preserve">Module 21 named three anti-patterns (BDUF in Agile Clothing, Governance Theatre, Standards Graveyard); Module 13 identified three ACMM anti-patterns; Module 15 covered Principle quality criteria preventing related failures. This component of the design consolidates the recurring failure modes into a guard list — ten behaviours the EA practice deliberately prevents.</w:t>
      </w:r>
    </w:p>
    <w:p>
      <w:pPr>
        <w:pStyle w:val="Heading2"/>
        <w:spacing w:after="160" w:before="280"/>
      </w:pPr>
      <w:r>
        <w:rPr>
          <w:b/>
          <w:bCs/>
          <w:color w:val="2E75B6"/>
        </w:rPr>
        <w:t xml:space="preserve">8.1 The Ten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Anti-Pattern Guard List: </w:t>
            </w:r>
            <w:r>
              <w:t xml:space="preserve">A consolidated list of ten behaviours the EA practice deliberately prevents. Each anti-pattern has a recognition signal and a prevention mechanism. The guard list is published, reviewed periodically, and used to assess whether the EA practice is operating healthily.</w:t>
            </w:r>
          </w:p>
        </w:tc>
      </w:tr>
    </w:tbl>
    <w:p>
      <w:pPr>
        <w:pStyle w:val="Heading2"/>
        <w:spacing w:after="160" w:before="280"/>
      </w:pPr>
      <w:r>
        <w:rPr>
          <w:b/>
          <w:bCs/>
          <w:color w:val="2E75B6"/>
        </w:rPr>
        <w:t xml:space="preserve">8.2 The Ten Anti-Patterns Defined</w:t>
      </w:r>
    </w:p>
    <w:p>
      <w:pPr>
        <w:pStyle w:val="ListParagraph"/>
        <w:numPr>
          <w:ilvl w:val="0"/>
          <w:numId w:val="3"/>
        </w:numPr>
        <w:spacing w:after="80" w:line="280"/>
      </w:pPr>
      <w:r>
        <w:t xml:space="preserve">BDUF in Agile Clothing — large up-front documents produced before delivery; Agile vocabulary applied to waterfall practice. Prevention: just-enough/just-in-time architecture (Module 21); embedded architects.</w:t>
      </w:r>
    </w:p>
    <w:p>
      <w:pPr>
        <w:pStyle w:val="ListParagraph"/>
        <w:numPr>
          <w:ilvl w:val="0"/>
          <w:numId w:val="3"/>
        </w:numPr>
        <w:spacing w:after="80" w:line="280"/>
      </w:pPr>
      <w:r>
        <w:t xml:space="preserve">Governance Theatre — Architecture Boards rubber-stamp; Compliance Reviews 100% pass; standards unread. Prevention: Fitness Functions automating routine compliance; outcome-based metrics; Board agendas on consequential decisions.</w:t>
      </w:r>
    </w:p>
    <w:p>
      <w:pPr>
        <w:pStyle w:val="ListParagraph"/>
        <w:numPr>
          <w:ilvl w:val="0"/>
          <w:numId w:val="3"/>
        </w:numPr>
        <w:spacing w:after="80" w:line="280"/>
      </w:pPr>
      <w:r>
        <w:t xml:space="preserve">Standards Graveyard — published standards no one follows; substantial library with no usage analytics. Prevention: Architecture-as-Code with automated enforcement; embedded architects; bottom-up standards through CoPs; periodic pruning.</w:t>
      </w:r>
    </w:p>
    <w:p>
      <w:pPr>
        <w:pStyle w:val="ListParagraph"/>
        <w:numPr>
          <w:ilvl w:val="0"/>
          <w:numId w:val="3"/>
        </w:numPr>
        <w:spacing w:after="80" w:line="280"/>
      </w:pPr>
      <w:r>
        <w:t xml:space="preserve">Ivory Tower Architecture — architects disconnected from delivery, designing systems they never have to operate. Prevention: embedded architect rotation; on-call obligations; "eat your own dog food" practice.</w:t>
      </w:r>
    </w:p>
    <w:p>
      <w:pPr>
        <w:pStyle w:val="ListParagraph"/>
        <w:numPr>
          <w:ilvl w:val="0"/>
          <w:numId w:val="3"/>
        </w:numPr>
        <w:spacing w:after="80" w:line="280"/>
      </w:pPr>
      <w:r>
        <w:t xml:space="preserve">Cargo Cult Architecture — adopting practices observed in successful enterprises (Netflix, Google, Spotify) without understanding their context. Prevention: "understand the why before adopting the what"; tailoring; explicit rationale in ADRs.</w:t>
      </w:r>
    </w:p>
    <w:p>
      <w:pPr>
        <w:pStyle w:val="ListParagraph"/>
        <w:numPr>
          <w:ilvl w:val="0"/>
          <w:numId w:val="3"/>
        </w:numPr>
        <w:spacing w:after="80" w:line="280"/>
      </w:pPr>
      <w:r>
        <w:t xml:space="preserve">Process Over Substance — architecture work produces complete artefacts that don't deliver business outcomes. Prevention: outcome metrics on the EA Value Scorecard (Section 10); challenging artefact production that doesn't connect to business value.</w:t>
      </w:r>
    </w:p>
    <w:p>
      <w:pPr>
        <w:pStyle w:val="ListParagraph"/>
        <w:numPr>
          <w:ilvl w:val="0"/>
          <w:numId w:val="3"/>
        </w:numPr>
        <w:spacing w:after="80" w:line="280"/>
      </w:pPr>
      <w:r>
        <w:t xml:space="preserve">Vendor-Driven Architecture — strategy effectively set by major vendors' product roadmaps rather than by enterprise strategy. Prevention: vendor-neutral Principles (Module 15); evaluation against business needs not vendor capability roadmaps.</w:t>
      </w:r>
    </w:p>
    <w:p>
      <w:pPr>
        <w:pStyle w:val="ListParagraph"/>
        <w:numPr>
          <w:ilvl w:val="0"/>
          <w:numId w:val="3"/>
        </w:numPr>
        <w:spacing w:after="80" w:line="280"/>
      </w:pPr>
      <w:r>
        <w:t xml:space="preserve">Architectural Drift Tolerated — known divergences from architecture remain unaddressed for months or years. Prevention: dispensation register with explicit time bounds; periodic drift review; remediation funded as part of capability planning.</w:t>
      </w:r>
    </w:p>
    <w:p>
      <w:pPr>
        <w:pStyle w:val="ListParagraph"/>
        <w:numPr>
          <w:ilvl w:val="0"/>
          <w:numId w:val="3"/>
        </w:numPr>
        <w:spacing w:after="80" w:line="280"/>
      </w:pPr>
      <w:r>
        <w:t xml:space="preserve">Re-architecture Avoidance — the architecture has visibly outgrown its original assumptions but no one initiates major re-architecture. Prevention: Module 8's three change classes (Simplification / Incremental / Re-architecting) used explicitly; regular Phase H assessment.</w:t>
      </w:r>
    </w:p>
    <w:p>
      <w:pPr>
        <w:pStyle w:val="ListParagraph"/>
        <w:numPr>
          <w:ilvl w:val="0"/>
          <w:numId w:val="3"/>
        </w:numPr>
        <w:spacing w:after="80" w:line="280"/>
      </w:pPr>
      <w:r>
        <w:t xml:space="preserve">Skills Graveyard — architects' skills lag the architecture function's needs; investment in development is sporadic. Prevention: Skills Framework alignment with current needs (Module 14); explicit development plans; commitment to T-shaped careers.</w:t>
      </w:r>
    </w:p>
    <w:p>
      <w:pPr>
        <w:pStyle w:val="Heading2"/>
        <w:spacing w:after="160" w:before="280"/>
      </w:pPr>
      <w:r>
        <w:rPr>
          <w:b/>
          <w:bCs/>
          <w:color w:val="2E75B6"/>
        </w:rPr>
        <w:t xml:space="preserve">8.3 The Ten Anti-Patterns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Anti-Pattern</w:t>
            </w:r>
          </w:p>
        </w:tc>
        <w:tc>
          <w:tcPr>
            <w:tcW w:type="dxa" w:w="5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Prevention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BDUF in Agile Clothing</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Just-enough/just-in-time; embedded architects</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2</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Governance Theatre</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Fitness Functions; outcome metrics; consequential agendas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3</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Standards Graveyard</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Architecture-as-Code; bottom-up standards via CoPs; pruning</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4</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Ivory Tower Architecture</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Embedded rotation; on-call obligations; dog-fooding</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5</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Cargo Cult Architecture</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Understand-the-why-first; tailoring; ADRs document rationale</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Process Over Substance</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Outcome metrics; challenge non-connecting artefacts</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7</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Vendor-Driven Architecture</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Vendor-neutral Principles; needs-driven evaluation</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8</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Architectural Drift Tolerated</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Time-bound dispensations; drift review; funded remediation</w:t>
            </w:r>
          </w:p>
        </w:tc>
      </w:tr>
      <w:tr>
        <w:tc>
          <w:tcPr>
            <w:tcW w:type="dxa" w:w="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9</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Re-architecture Avoidance</w:t>
            </w:r>
          </w:p>
        </w:tc>
        <w:tc>
          <w:tcPr>
            <w:tcW w:type="dxa" w:w="5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Explicit change classes; regular Phase H assessment</w:t>
            </w:r>
          </w:p>
        </w:tc>
      </w:tr>
      <w:tr>
        <w:tc>
          <w:tcPr>
            <w:tcW w:type="dxa" w:w="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Skills Graveyard</w:t>
            </w:r>
          </w:p>
        </w:tc>
        <w:tc>
          <w:tcPr>
            <w:tcW w:type="dxa" w:w="5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Skills Framework alignment; explicit development plans; T-shaped careers</w:t>
            </w:r>
          </w:p>
        </w:tc>
      </w:tr>
    </w:tbl>
    <w:p>
      <w:r>
        <w:br w:type="page"/>
      </w:r>
    </w:p>
    <w:p>
      <w:pPr>
        <w:pStyle w:val="Heading1"/>
        <w:spacing w:after="200" w:before="360"/>
      </w:pPr>
      <w:r>
        <w:rPr>
          <w:b/>
          <w:bCs/>
          <w:color w:val="1F4E78"/>
        </w:rPr>
        <w:t xml:space="preserve">9. First 90-Day Plan with Visible Early Wins</w:t>
      </w:r>
    </w:p>
    <w:p>
      <w:pPr>
        <w:spacing w:after="120" w:line="300"/>
        <w:jc w:val="both"/>
      </w:pPr>
      <w:r>
        <w:t xml:space="preserve">Standing up or relaunching an EA practice produces uncertainty among stakeholders. A clear first 90-day plan with visible early wins establishes credibility and momentum. This component of the design specifies what happens in the first three months — including specifically what visible outcomes will be delivered.</w:t>
      </w:r>
    </w:p>
    <w:p>
      <w:pPr>
        <w:pStyle w:val="Heading2"/>
        <w:spacing w:after="160" w:before="280"/>
      </w:pPr>
      <w:r>
        <w:rPr>
          <w:b/>
          <w:bCs/>
          <w:color w:val="2E75B6"/>
        </w:rPr>
        <w:t xml:space="preserve">9.1 The 90-Day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First 90-Day Plan: </w:t>
            </w:r>
            <w:r>
              <w:t xml:space="preserve">The detailed plan for the first three months of the EA practice (or relaunch). Structured into three 30-day phases: (1) Days 1-30 — Discovery and listening; (2) Days 31-60 — Foundation and first commitments; (3) Days 61-90 — First visible outputs and early wins. Each 30-day phase has explicit deliverables. Visible early wins are essential — the practice must demonstrate value within 90 days to secure ongoing support.</w:t>
            </w:r>
          </w:p>
        </w:tc>
      </w:tr>
    </w:tbl>
    <w:p>
      <w:pPr>
        <w:pStyle w:val="Heading2"/>
        <w:spacing w:after="160" w:before="280"/>
      </w:pPr>
      <w:r>
        <w:rPr>
          <w:b/>
          <w:bCs/>
          <w:color w:val="2E75B6"/>
        </w:rPr>
        <w:t xml:space="preserve">9.2 Days 1-30 — Discovery and Listening</w:t>
      </w:r>
    </w:p>
    <w:p>
      <w:pPr>
        <w:spacing w:after="120" w:line="300"/>
        <w:jc w:val="both"/>
      </w:pPr>
      <w:r>
        <w:t xml:space="preserve">The first 30 days are deliberately not output-heavy. Time is spent understanding the context:</w:t>
      </w:r>
    </w:p>
    <w:p>
      <w:pPr>
        <w:pStyle w:val="ListParagraph"/>
        <w:numPr>
          <w:ilvl w:val="0"/>
          <w:numId w:val="2"/>
        </w:numPr>
        <w:spacing w:after="80" w:line="280"/>
      </w:pPr>
      <w:r>
        <w:t xml:space="preserve">Stakeholder interviews — meeting the principal stakeholders (CIO, Heads of Domain, CISO, key business sponsors) to understand their concerns, expectations, and current pain points.</w:t>
      </w:r>
    </w:p>
    <w:p>
      <w:pPr>
        <w:pStyle w:val="ListParagraph"/>
        <w:numPr>
          <w:ilvl w:val="0"/>
          <w:numId w:val="2"/>
        </w:numPr>
        <w:spacing w:after="80" w:line="280"/>
      </w:pPr>
      <w:r>
        <w:t xml:space="preserve">Inventory of current state — what architecture artefacts exist; what is in the Repository (if any); what governance happens; what works and what doesn't.</w:t>
      </w:r>
    </w:p>
    <w:p>
      <w:pPr>
        <w:pStyle w:val="ListParagraph"/>
        <w:numPr>
          <w:ilvl w:val="0"/>
          <w:numId w:val="2"/>
        </w:numPr>
        <w:spacing w:after="80" w:line="280"/>
      </w:pPr>
      <w:r>
        <w:t xml:space="preserve">ACMM baseline assessment — honest current-state assessment against the nine ACMM characteristics (Module 13).</w:t>
      </w:r>
    </w:p>
    <w:p>
      <w:pPr>
        <w:pStyle w:val="ListParagraph"/>
        <w:numPr>
          <w:ilvl w:val="0"/>
          <w:numId w:val="2"/>
        </w:numPr>
        <w:spacing w:after="80" w:line="280"/>
      </w:pPr>
      <w:r>
        <w:t xml:space="preserve">Identification of in-flight engagements — what architecture work is happening now; who owns it; what status.</w:t>
      </w:r>
    </w:p>
    <w:p>
      <w:pPr>
        <w:pStyle w:val="ListParagraph"/>
        <w:numPr>
          <w:ilvl w:val="0"/>
          <w:numId w:val="2"/>
        </w:numPr>
        <w:spacing w:after="80" w:line="280"/>
      </w:pPr>
      <w:r>
        <w:t xml:space="preserve">Initial diagnosis — three to five priority gaps that the EA practice will address.</w:t>
      </w:r>
    </w:p>
    <w:p>
      <w:pPr>
        <w:spacing w:after="120" w:line="300"/>
        <w:jc w:val="both"/>
      </w:pPr>
      <w:r>
        <w:t xml:space="preserve">Output of Days 1-30: a Discovery Report summarising findings, including the ACMM baseline and the priority gaps. Shared with the executive sponsor for alignment.</w:t>
      </w:r>
    </w:p>
    <w:p>
      <w:pPr>
        <w:pStyle w:val="Heading2"/>
        <w:spacing w:after="160" w:before="280"/>
      </w:pPr>
      <w:r>
        <w:rPr>
          <w:b/>
          <w:bCs/>
          <w:color w:val="2E75B6"/>
        </w:rPr>
        <w:t xml:space="preserve">9.3 Days 31-60 — Foundation and First Commitments</w:t>
      </w:r>
    </w:p>
    <w:p>
      <w:pPr>
        <w:spacing w:after="120" w:line="300"/>
        <w:jc w:val="both"/>
      </w:pPr>
      <w:r>
        <w:t xml:space="preserve">With understanding established, the second 30 days build foundation:</w:t>
      </w:r>
    </w:p>
    <w:p>
      <w:pPr>
        <w:pStyle w:val="ListParagraph"/>
        <w:numPr>
          <w:ilvl w:val="0"/>
          <w:numId w:val="2"/>
        </w:numPr>
        <w:spacing w:after="80" w:line="280"/>
      </w:pPr>
      <w:r>
        <w:t xml:space="preserve">Architecture Board chartered (Section 3) and first meeting held.</w:t>
      </w:r>
    </w:p>
    <w:p>
      <w:pPr>
        <w:pStyle w:val="ListParagraph"/>
        <w:numPr>
          <w:ilvl w:val="0"/>
          <w:numId w:val="2"/>
        </w:numPr>
        <w:spacing w:after="80" w:line="280"/>
      </w:pPr>
      <w:r>
        <w:t xml:space="preserve">Top-15 Principles Catalogue published (Section 4) — possibly initial v0.9 with revision after first quarter of use.</w:t>
      </w:r>
    </w:p>
    <w:p>
      <w:pPr>
        <w:pStyle w:val="ListParagraph"/>
        <w:numPr>
          <w:ilvl w:val="0"/>
          <w:numId w:val="2"/>
        </w:numPr>
        <w:spacing w:after="80" w:line="280"/>
      </w:pPr>
      <w:r>
        <w:t xml:space="preserve">Tailored ADM documented (Section 2) — the Practice Guide describing how architecture will work.</w:t>
      </w:r>
    </w:p>
    <w:p>
      <w:pPr>
        <w:pStyle w:val="ListParagraph"/>
        <w:numPr>
          <w:ilvl w:val="0"/>
          <w:numId w:val="2"/>
        </w:numPr>
        <w:spacing w:after="80" w:line="280"/>
      </w:pPr>
      <w:r>
        <w:t xml:space="preserve">First formal engagement scoped — typically a high-visibility engagement aligned with strategic priority, sized to deliver visible outcome by Day 90.</w:t>
      </w:r>
    </w:p>
    <w:p>
      <w:pPr>
        <w:pStyle w:val="ListParagraph"/>
        <w:numPr>
          <w:ilvl w:val="0"/>
          <w:numId w:val="2"/>
        </w:numPr>
        <w:spacing w:after="80" w:line="280"/>
      </w:pPr>
      <w:r>
        <w:t xml:space="preserve">90-day plan published — establishing what the practice commits to deliver, with visible accountability.</w:t>
      </w:r>
    </w:p>
    <w:p>
      <w:pPr>
        <w:spacing w:after="120" w:line="300"/>
        <w:jc w:val="both"/>
      </w:pPr>
      <w:r>
        <w:t xml:space="preserve">Output of Days 31-60: foundation artefacts published; first engagement underway; commitments visible.</w:t>
      </w:r>
    </w:p>
    <w:p>
      <w:pPr>
        <w:pStyle w:val="Heading2"/>
        <w:spacing w:after="160" w:before="280"/>
      </w:pPr>
      <w:r>
        <w:rPr>
          <w:b/>
          <w:bCs/>
          <w:color w:val="2E75B6"/>
        </w:rPr>
        <w:t xml:space="preserve">9.4 Days 61-90 — First Visible Outputs and Early Wins</w:t>
      </w:r>
    </w:p>
    <w:p>
      <w:pPr>
        <w:spacing w:after="120" w:line="300"/>
        <w:jc w:val="both"/>
      </w:pPr>
      <w:r>
        <w:t xml:space="preserve">The third 30 days produce visible outputs that demonstrate the practice's value:</w:t>
      </w:r>
    </w:p>
    <w:p>
      <w:pPr>
        <w:pStyle w:val="ListParagraph"/>
        <w:numPr>
          <w:ilvl w:val="0"/>
          <w:numId w:val="2"/>
        </w:numPr>
        <w:spacing w:after="80" w:line="280"/>
      </w:pPr>
      <w:r>
        <w:t xml:space="preserve">First engagement's Phase A complete — Architecture Vision and Statement of Architecture Work signed off, demonstrating the ADM in action.</w:t>
      </w:r>
    </w:p>
    <w:p>
      <w:pPr>
        <w:pStyle w:val="ListParagraph"/>
        <w:numPr>
          <w:ilvl w:val="0"/>
          <w:numId w:val="2"/>
        </w:numPr>
        <w:spacing w:after="80" w:line="280"/>
      </w:pPr>
      <w:r>
        <w:t xml:space="preserve">First Compliance Review conducted on a delivery project — showing operational governance.</w:t>
      </w:r>
    </w:p>
    <w:p>
      <w:pPr>
        <w:pStyle w:val="ListParagraph"/>
        <w:numPr>
          <w:ilvl w:val="0"/>
          <w:numId w:val="2"/>
        </w:numPr>
        <w:spacing w:after="80" w:line="280"/>
      </w:pPr>
      <w:r>
        <w:t xml:space="preserve">First ADRs published in shared archive — demonstrating the decision-recording practice.</w:t>
      </w:r>
    </w:p>
    <w:p>
      <w:pPr>
        <w:pStyle w:val="ListParagraph"/>
        <w:numPr>
          <w:ilvl w:val="0"/>
          <w:numId w:val="2"/>
        </w:numPr>
        <w:spacing w:after="80" w:line="280"/>
      </w:pPr>
      <w:r>
        <w:t xml:space="preserve">Revised Principles Catalogue (v1.0) — incorporating feedback from first month of use.</w:t>
      </w:r>
    </w:p>
    <w:p>
      <w:pPr>
        <w:pStyle w:val="ListParagraph"/>
        <w:numPr>
          <w:ilvl w:val="0"/>
          <w:numId w:val="2"/>
        </w:numPr>
        <w:spacing w:after="80" w:line="280"/>
      </w:pPr>
      <w:r>
        <w:t xml:space="preserve">First quarterly Architecture Board report — covering principal decisions, dispensations, and progress against the 18-month plan.</w:t>
      </w:r>
    </w:p>
    <w:p>
      <w:pPr>
        <w:pStyle w:val="ListParagraph"/>
        <w:numPr>
          <w:ilvl w:val="0"/>
          <w:numId w:val="2"/>
        </w:numPr>
        <w:spacing w:after="80" w:line="280"/>
      </w:pPr>
      <w:r>
        <w:t xml:space="preserve">Visible early wins celebrated — explicit communication of what the EA practice has delivered in 90 days.</w:t>
      </w:r>
    </w:p>
    <w:p>
      <w:pPr>
        <w:pStyle w:val="Heading2"/>
        <w:spacing w:after="160" w:before="280"/>
      </w:pPr>
      <w:r>
        <w:rPr>
          <w:b/>
          <w:bCs/>
          <w:color w:val="2E75B6"/>
        </w:rPr>
        <w:t xml:space="preserve">9.5 The 90-Day Plan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500"/>
        <w:gridCol w:w="4260"/>
      </w:tblGrid>
      <w:tr>
        <w:trPr>
          <w:tblHeader/>
        </w:trPr>
        <w:tc>
          <w:tcPr>
            <w:tcW w:type="dxa" w:w="11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Days</w:t>
            </w:r>
          </w:p>
        </w:tc>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Phase</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Focus</w:t>
            </w:r>
          </w:p>
        </w:tc>
        <w:tc>
          <w:tcPr>
            <w:tcW w:type="dxa" w:w="42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Key Outputs</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1-30</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Discovery</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Listen and understand</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Stakeholder interviews; ACMM baseline; Discovery Report; priority gaps</w:t>
            </w:r>
          </w:p>
        </w:tc>
      </w:tr>
      <w:tr>
        <w:tc>
          <w:tcPr>
            <w:tcW w:type="dxa" w:w="11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31-60</w:t>
            </w:r>
          </w:p>
        </w:tc>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Foundation</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Build apparatus and commit</w:t>
            </w:r>
          </w:p>
        </w:tc>
        <w:tc>
          <w:tcPr>
            <w:tcW w:type="dxa" w:w="42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Board chartered; Principles published; ADM documented; first engagement scoped; 90-day plan published</w:t>
            </w:r>
          </w:p>
        </w:tc>
      </w:tr>
      <w:tr>
        <w:tc>
          <w:tcPr>
            <w:tcW w:type="dxa" w:w="11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61-90</w:t>
            </w:r>
          </w:p>
        </w:tc>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Outputs</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Visible early wins</w:t>
            </w:r>
          </w:p>
        </w:tc>
        <w:tc>
          <w:tcPr>
            <w:tcW w:type="dxa" w:w="42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First Phase A complete; first Compliance Review; ADRs published; v1.0 Principles; first Board report</w:t>
            </w:r>
          </w:p>
        </w:tc>
      </w:tr>
    </w:tbl>
    <w:p>
      <w:pPr>
        <w:pStyle w:val="Heading2"/>
        <w:spacing w:after="160" w:before="280"/>
      </w:pPr>
      <w:r>
        <w:rPr>
          <w:b/>
          <w:bCs/>
          <w:color w:val="2E75B6"/>
        </w:rPr>
        <w:t xml:space="preserve">9.6 What Counts as a Visible Early Win</w:t>
      </w:r>
    </w:p>
    <w:p>
      <w:pPr>
        <w:spacing w:after="120" w:line="300"/>
        <w:jc w:val="both"/>
      </w:pPr>
      <w:r>
        <w:t xml:space="preserve">Three signs distinguish a visible early win:</w:t>
      </w:r>
    </w:p>
    <w:p>
      <w:pPr>
        <w:pStyle w:val="ListParagraph"/>
        <w:numPr>
          <w:ilvl w:val="0"/>
          <w:numId w:val="3"/>
        </w:numPr>
        <w:spacing w:after="80" w:line="280"/>
      </w:pPr>
      <w:r>
        <w:t xml:space="preserve">Specific — "reduced approval time for major architecture decisions from 6 weeks to 2 weeks" not "improved governance".</w:t>
      </w:r>
    </w:p>
    <w:p>
      <w:pPr>
        <w:pStyle w:val="ListParagraph"/>
        <w:numPr>
          <w:ilvl w:val="0"/>
          <w:numId w:val="3"/>
        </w:numPr>
        <w:spacing w:after="80" w:line="280"/>
      </w:pPr>
      <w:r>
        <w:t xml:space="preserve">Visible to non-architects — recognised by delivery teams, business sponsors, and executives without explanation.</w:t>
      </w:r>
    </w:p>
    <w:p>
      <w:pPr>
        <w:pStyle w:val="ListParagraph"/>
        <w:numPr>
          <w:ilvl w:val="0"/>
          <w:numId w:val="3"/>
        </w:numPr>
        <w:spacing w:after="80" w:line="280"/>
      </w:pPr>
      <w:r>
        <w:t xml:space="preserve">Attributable to the EA practice — would not have happened without the practice's specific contribution.</w:t>
      </w:r>
    </w:p>
    <w:p>
      <w:pPr>
        <w:spacing w:after="120" w:line="300"/>
        <w:jc w:val="both"/>
      </w:pPr>
      <w:r>
        <w:t xml:space="preserve">Avoid claiming wins that fail any of these tests; over-claiming damages credibility and is itself an anti-pattern.</w:t>
      </w:r>
    </w:p>
    <w:p>
      <w:r>
        <w:br w:type="page"/>
      </w:r>
    </w:p>
    <w:p>
      <w:pPr>
        <w:pStyle w:val="Heading1"/>
        <w:spacing w:after="200" w:before="360"/>
      </w:pPr>
      <w:r>
        <w:rPr>
          <w:b/>
          <w:bCs/>
          <w:color w:val="1F4E78"/>
        </w:rPr>
        <w:t xml:space="preserve">10. EA Value Scorecard with 5 Outcome Metrics</w:t>
      </w:r>
    </w:p>
    <w:p>
      <w:pPr>
        <w:spacing w:after="120" w:line="300"/>
        <w:jc w:val="both"/>
      </w:pPr>
      <w:r>
        <w:t xml:space="preserve">Module 12 covered metrics for the architecture function — distinguishing vanity metrics from outcome metrics. This component of the design produces the specific value scorecard the practice will be measured against. Five outcome metrics is a typical target — enough to capture different value dimensions, few enough to focus attention.</w:t>
      </w:r>
    </w:p>
    <w:p>
      <w:pPr>
        <w:pStyle w:val="Heading2"/>
        <w:spacing w:after="160" w:before="280"/>
      </w:pPr>
      <w:r>
        <w:rPr>
          <w:b/>
          <w:bCs/>
          <w:color w:val="2E75B6"/>
        </w:rPr>
        <w:t xml:space="preserve">10.1 The Scorecard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EA Value Scorecard: </w:t>
            </w:r>
            <w:r>
              <w:t xml:space="preserve">The set of five outcome metrics by which the EA practice's value is publicly measured. Each metric is outcome-focused (about business or operational value delivered), measurable (quantitative or quantifiable), reported (typically quarterly), and accountable (the architecture function owns improving it). Together the five capture the principal dimensions of architectural value.</w:t>
            </w:r>
          </w:p>
        </w:tc>
      </w:tr>
    </w:tbl>
    <w:p>
      <w:pPr>
        <w:pStyle w:val="Heading2"/>
        <w:spacing w:after="160" w:before="280"/>
      </w:pPr>
      <w:r>
        <w:rPr>
          <w:b/>
          <w:bCs/>
          <w:color w:val="2E75B6"/>
        </w:rPr>
        <w:t xml:space="preserve">10.2 Five Recommended Metrics</w:t>
      </w:r>
    </w:p>
    <w:p>
      <w:pPr>
        <w:pStyle w:val="Heading3"/>
        <w:spacing w:after="120" w:before="220"/>
      </w:pPr>
      <w:r>
        <w:rPr>
          <w:b/>
          <w:bCs/>
          <w:color w:val="404040"/>
        </w:rPr>
        <w:t xml:space="preserve">Metric 1: Architecture-Compliant Delivery Rate</w:t>
      </w:r>
    </w:p>
    <w:p>
      <w:pPr>
        <w:spacing w:after="120" w:line="300"/>
        <w:jc w:val="both"/>
      </w:pPr>
      <w:r>
        <w:t xml:space="preserve">Percentage of delivery projects passing Architecture Compliance Review at first attempt. Captures the practice's effectiveness at producing architectures that delivery teams can actually deliver against. Healthy enterprises typically run 80-95%; below 70% suggests problems either in the architecture (impractical) or in the engagement model (architects disconnected from delivery).</w:t>
      </w:r>
    </w:p>
    <w:p>
      <w:pPr>
        <w:pStyle w:val="Heading3"/>
        <w:spacing w:after="120" w:before="220"/>
      </w:pPr>
      <w:r>
        <w:rPr>
          <w:b/>
          <w:bCs/>
          <w:color w:val="404040"/>
        </w:rPr>
        <w:t xml:space="preserve">Metric 2: Time to Architectural Decision</w:t>
      </w:r>
    </w:p>
    <w:p>
      <w:pPr>
        <w:spacing w:after="120" w:line="300"/>
        <w:jc w:val="both"/>
      </w:pPr>
      <w:r>
        <w:t xml:space="preserve">Median time from architectural question raised to ADR published. Measures the practice's responsiveness. Healthy enterprises typically operate in days for routine decisions and weeks for significant decisions; multi-month decision times signal Governance Theatre or process overload.</w:t>
      </w:r>
    </w:p>
    <w:p>
      <w:pPr>
        <w:pStyle w:val="Heading3"/>
        <w:spacing w:after="120" w:before="220"/>
      </w:pPr>
      <w:r>
        <w:rPr>
          <w:b/>
          <w:bCs/>
          <w:color w:val="404040"/>
        </w:rPr>
        <w:t xml:space="preserve">Metric 3: Capability Maturity Progress</w:t>
      </w:r>
    </w:p>
    <w:p>
      <w:pPr>
        <w:spacing w:after="120" w:line="300"/>
        <w:jc w:val="both"/>
      </w:pPr>
      <w:r>
        <w:t xml:space="preserve">Net change in average ACMM maturity across the nine characteristics, year over year. Measures the practice's ability to mature itself and the broader architecture capability. Healthy enterprises in maturation cycles see 0.3-0.5 average level improvement per year.</w:t>
      </w:r>
    </w:p>
    <w:p>
      <w:pPr>
        <w:pStyle w:val="Heading3"/>
        <w:spacing w:after="120" w:before="220"/>
      </w:pPr>
      <w:r>
        <w:rPr>
          <w:b/>
          <w:bCs/>
          <w:color w:val="404040"/>
        </w:rPr>
        <w:t xml:space="preserve">Metric 4: Strategic Capability Investment Allocation</w:t>
      </w:r>
    </w:p>
    <w:p>
      <w:pPr>
        <w:spacing w:after="120" w:line="300"/>
        <w:jc w:val="both"/>
      </w:pPr>
      <w:r>
        <w:t xml:space="preserve">Percentage of new investment going to strategically-important capabilities (red on the Heat Map — Module 15). Measures whether the practice's prioritisation work translates into actual investment. Healthy enterprises see 60%+ of new investment in red capabilities; substantially less suggests Heat Map is not driving decisions.</w:t>
      </w:r>
    </w:p>
    <w:p>
      <w:pPr>
        <w:pStyle w:val="Heading3"/>
        <w:spacing w:after="120" w:before="220"/>
      </w:pPr>
      <w:r>
        <w:rPr>
          <w:b/>
          <w:bCs/>
          <w:color w:val="404040"/>
        </w:rPr>
        <w:t xml:space="preserve">Metric 5: Architectural Debt Trend</w:t>
      </w:r>
    </w:p>
    <w:p>
      <w:pPr>
        <w:spacing w:after="120" w:line="300"/>
        <w:jc w:val="both"/>
      </w:pPr>
      <w:r>
        <w:t xml:space="preserve">Trajectory of architectural debt — measured through dispensation count, deprecated component count, or aggregate technical debt scoring. Measures whether the practice is reducing or accumulating debt. Healthy enterprises show flat or declining trends; substantial debt accumulation signals Re-architecture Avoidance (Section 8 anti-pattern).</w:t>
      </w:r>
    </w:p>
    <w:p>
      <w:pPr>
        <w:pStyle w:val="Heading2"/>
        <w:spacing w:after="160" w:before="280"/>
      </w:pPr>
      <w:r>
        <w:rPr>
          <w:b/>
          <w:bCs/>
          <w:color w:val="2E75B6"/>
        </w:rPr>
        <w:t xml:space="preserve">10.3 The Five Metrics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Metric</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Measures</w:t>
            </w:r>
          </w:p>
        </w:tc>
        <w:tc>
          <w:tcPr>
            <w:tcW w:type="dxa" w:w="3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Healthy Range</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Architecture-Compliant Delivery Rate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 of projects passing Compliance Review first attempt</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80-95%</w:t>
            </w:r>
          </w:p>
        </w:tc>
      </w:tr>
      <w:tr>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Time to Architectural Decision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Median ADR turnaround time</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Days for routine; weeks for significant</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Capability Maturity Progress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Net ACMM improvement year-on-year</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0.3-0.5 levels per year in maturation cycles</w:t>
            </w:r>
          </w:p>
        </w:tc>
      </w:tr>
      <w:tr>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Strategic Capability Investment Allocation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 of new investment in red-capability work</w:t>
            </w:r>
          </w:p>
        </w:tc>
        <w:tc>
          <w:tcPr>
            <w:tcW w:type="dxa" w:w="3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60%+ in red; suggests Heat Map driving decisions</w:t>
            </w:r>
          </w:p>
        </w:tc>
      </w:tr>
      <w:tr>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Architectural Debt Trend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Direction of debt: dispensations, deprecations, scoring</w:t>
            </w:r>
          </w:p>
        </w:tc>
        <w:tc>
          <w:tcPr>
            <w:tcW w:type="dxa" w:w="3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Flat or declining over time</w:t>
            </w:r>
          </w:p>
        </w:tc>
      </w:tr>
    </w:tbl>
    <w:p>
      <w:pPr>
        <w:pStyle w:val="Heading2"/>
        <w:spacing w:after="160" w:before="280"/>
      </w:pPr>
      <w:r>
        <w:rPr>
          <w:b/>
          <w:bCs/>
          <w:color w:val="2E75B6"/>
        </w:rPr>
        <w:t xml:space="preserve">10.4 Reporting and Use</w:t>
      </w:r>
    </w:p>
    <w:p>
      <w:pPr>
        <w:spacing w:after="120" w:line="300"/>
        <w:jc w:val="both"/>
      </w:pPr>
      <w:r>
        <w:t xml:space="preserve">The scorecard is published quarterly to the Architecture Board and through it to executive committees. Each metric has:</w:t>
      </w:r>
    </w:p>
    <w:p>
      <w:pPr>
        <w:pStyle w:val="ListParagraph"/>
        <w:numPr>
          <w:ilvl w:val="0"/>
          <w:numId w:val="2"/>
        </w:numPr>
        <w:spacing w:after="80" w:line="280"/>
      </w:pPr>
      <w:r>
        <w:t xml:space="preserve">Current value, target value, and trend.</w:t>
      </w:r>
    </w:p>
    <w:p>
      <w:pPr>
        <w:pStyle w:val="ListParagraph"/>
        <w:numPr>
          <w:ilvl w:val="0"/>
          <w:numId w:val="2"/>
        </w:numPr>
        <w:spacing w:after="80" w:line="280"/>
      </w:pPr>
      <w:r>
        <w:t xml:space="preserve">Commentary on movement and contributing factors.</w:t>
      </w:r>
    </w:p>
    <w:p>
      <w:pPr>
        <w:pStyle w:val="ListParagraph"/>
        <w:numPr>
          <w:ilvl w:val="0"/>
          <w:numId w:val="2"/>
        </w:numPr>
        <w:spacing w:after="80" w:line="280"/>
      </w:pPr>
      <w:r>
        <w:t xml:space="preserve">Specific actions if outside healthy range.</w:t>
      </w:r>
    </w:p>
    <w:p>
      <w:pPr>
        <w:pStyle w:val="ListParagraph"/>
        <w:numPr>
          <w:ilvl w:val="0"/>
          <w:numId w:val="2"/>
        </w:numPr>
        <w:spacing w:after="80" w:line="280"/>
      </w:pPr>
      <w:r>
        <w:t xml:space="preserve">Annual targets aligned with the 18-month maturity plan.</w:t>
      </w:r>
    </w:p>
    <w:p>
      <w:pPr>
        <w:spacing w:after="120" w:line="300"/>
        <w:jc w:val="both"/>
      </w:pPr>
      <w:r>
        <w:t xml:space="preserve">The scorecard's purpose is twofold: external (demonstrating EA value to the rest of the enterprise) and internal (focusing the practice's attention on outcomes that matter rather than activities that can be confused with progress).</w:t>
      </w:r>
    </w:p>
    <w:p>
      <w:r>
        <w:br w:type="page"/>
      </w:r>
    </w:p>
    <w:p>
      <w:pPr>
        <w:pStyle w:val="Heading1"/>
        <w:spacing w:after="200" w:before="360"/>
      </w:pPr>
      <w:r>
        <w:rPr>
          <w:b/>
          <w:bCs/>
          <w:color w:val="1F4E78"/>
        </w:rPr>
        <w:t xml:space="preserve">11. Summary and Review</w:t>
      </w:r>
    </w:p>
    <w:p>
      <w:pPr>
        <w:pStyle w:val="Heading2"/>
        <w:spacing w:after="160" w:before="280"/>
      </w:pPr>
      <w:r>
        <w:rPr>
          <w:b/>
          <w:bCs/>
          <w:color w:val="2E75B6"/>
        </w:rPr>
        <w:t xml:space="preserve">11.1 The Big Picture</w:t>
      </w:r>
    </w:p>
    <w:p>
      <w:pPr>
        <w:spacing w:after="120" w:line="300"/>
        <w:jc w:val="both"/>
      </w:pPr>
      <w:r>
        <w:t xml:space="preserve">Module 27 has covered the capstone synthesis — designing an enterprise architecture practice for a specific context. Ten components compose the design: organisational context profile (size, industry, regulatory regime, current maturity); tailored ADM specifying full / partial / skipped per phase; Architecture Board charter and reporting line; Top-15 Architecture Principles across BDAT; ACMM target with 18-month improvement plan; funding model recommendation; integration plan with adjacent frameworks; anti-pattern guard list of ten behaviours to prevent; first 90-day plan with visible early wins; EA value scorecard with five outcome metrics. Each component draws on multiple earlier modules; together they produce a complete, defensible, executable design that adapts TOGAF to the specific enterprise context. This is the synthesis test of the entire study guide: not just knowing the framework but designing its instantiation for a specific real context.</w:t>
      </w:r>
    </w:p>
    <w:p>
      <w:pPr>
        <w:pStyle w:val="Heading2"/>
        <w:spacing w:after="160" w:before="280"/>
      </w:pPr>
      <w:r>
        <w:rPr>
          <w:b/>
          <w:bCs/>
          <w:color w:val="2E75B6"/>
        </w:rPr>
        <w:t xml:space="preserve">11.2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Component</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Captures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Context Profile</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Size, industry, regulatory regime, current ACMM maturity. Calibrates everything else.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Tailored ADM</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Per-phase decision: full / partial / skipped. Documented in Practice Guide.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Board Charter</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Authority, scope, membership, chair, reporting line, decision types, cadence.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Top-15 Architecture Principles</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Distributed across BDAT plus cross-cutting (security, sustainability). 4-part format each.</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ACMM Target + 18-Month Plan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Typically Level 3 from 1-2 or Level 4 from 3. Foundation / Substance / Embed / Consolidate phases.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Funding Model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Capability-based recommended modern default; central overhead for strategic; avoid pure project-based.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Integration Plan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Which adjacent frameworks (Module 26); ownership; tooling; skills/certifications.</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Anti-Pattern Guard List</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10 behaviours to prevent including BDUF in Agile Clothing, Governance Theatre, Standards Graveyard.</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First 90-Day Plan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Discovery (1-30) → Foundation (31-60) → Outputs (61-90). Visible early wins essential.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 Value Scorecard</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5 outcome metrics: Compliant Delivery Rate; Decision Time; Maturity Progress; Investment Allocation; Debt Trend.</w:t>
            </w:r>
          </w:p>
        </w:tc>
      </w:tr>
    </w:tbl>
    <w:p>
      <w:pPr>
        <w:pStyle w:val="Heading2"/>
        <w:spacing w:after="160" w:before="280"/>
      </w:pPr>
      <w:r>
        <w:rPr>
          <w:b/>
          <w:bCs/>
          <w:color w:val="2E75B6"/>
        </w:rPr>
        <w:t xml:space="preserve">11.3 Self-Test Questions</w:t>
      </w:r>
    </w:p>
    <w:p>
      <w:pPr>
        <w:pStyle w:val="ListParagraph"/>
        <w:numPr>
          <w:ilvl w:val="0"/>
          <w:numId w:val="3"/>
        </w:numPr>
        <w:spacing w:after="80" w:line="280"/>
      </w:pPr>
      <w:r>
        <w:t xml:space="preserve">Name the four dimensions of the organisational context profile.</w:t>
      </w:r>
    </w:p>
    <w:p>
      <w:pPr>
        <w:pStyle w:val="ListParagraph"/>
        <w:numPr>
          <w:ilvl w:val="0"/>
          <w:numId w:val="3"/>
        </w:numPr>
        <w:spacing w:after="80" w:line="280"/>
      </w:pPr>
      <w:r>
        <w:t xml:space="preserve">Distinguish full / partial / skipped tailoring of ADM phases. Which is appropriate for which contexts?</w:t>
      </w:r>
    </w:p>
    <w:p>
      <w:pPr>
        <w:pStyle w:val="ListParagraph"/>
        <w:numPr>
          <w:ilvl w:val="0"/>
          <w:numId w:val="3"/>
        </w:numPr>
        <w:spacing w:after="80" w:line="280"/>
      </w:pPr>
      <w:r>
        <w:t xml:space="preserve">Name the principal sections of an Architecture Board Charter.</w:t>
      </w:r>
    </w:p>
    <w:p>
      <w:pPr>
        <w:pStyle w:val="ListParagraph"/>
        <w:numPr>
          <w:ilvl w:val="0"/>
          <w:numId w:val="3"/>
        </w:numPr>
        <w:spacing w:after="80" w:line="280"/>
      </w:pPr>
      <w:r>
        <w:t xml:space="preserve">Why are 12-20 principles a typical target? What is a typical distribution across BDAT plus cross-cutting?</w:t>
      </w:r>
    </w:p>
    <w:p>
      <w:pPr>
        <w:pStyle w:val="ListParagraph"/>
        <w:numPr>
          <w:ilvl w:val="0"/>
          <w:numId w:val="3"/>
        </w:numPr>
        <w:spacing w:after="80" w:line="280"/>
      </w:pPr>
      <w:r>
        <w:t xml:space="preserve">State the four phases of an 18-month ACMM improvement plan and what each focuses on.</w:t>
      </w:r>
    </w:p>
    <w:p>
      <w:pPr>
        <w:pStyle w:val="ListParagraph"/>
        <w:numPr>
          <w:ilvl w:val="0"/>
          <w:numId w:val="3"/>
        </w:numPr>
        <w:spacing w:after="80" w:line="280"/>
      </w:pPr>
      <w:r>
        <w:t xml:space="preserve">Name the three funding models. Which is the recommended modern default? Which should be avoided?</w:t>
      </w:r>
    </w:p>
    <w:p>
      <w:pPr>
        <w:pStyle w:val="ListParagraph"/>
        <w:numPr>
          <w:ilvl w:val="0"/>
          <w:numId w:val="3"/>
        </w:numPr>
        <w:spacing w:after="80" w:line="280"/>
      </w:pPr>
      <w:r>
        <w:t xml:space="preserve">For a regulated mid-sized enterprise, name three adjacent frameworks that should always be adopted and three that should be adopted where domain depth is required.</w:t>
      </w:r>
    </w:p>
    <w:p>
      <w:pPr>
        <w:pStyle w:val="ListParagraph"/>
        <w:numPr>
          <w:ilvl w:val="0"/>
          <w:numId w:val="3"/>
        </w:numPr>
        <w:spacing w:after="80" w:line="280"/>
      </w:pPr>
      <w:r>
        <w:t xml:space="preserve">Name five of the ten anti-patterns in the guard list and the prevention mechanism for each.</w:t>
      </w:r>
    </w:p>
    <w:p>
      <w:pPr>
        <w:pStyle w:val="ListParagraph"/>
        <w:numPr>
          <w:ilvl w:val="0"/>
          <w:numId w:val="3"/>
        </w:numPr>
        <w:spacing w:after="80" w:line="280"/>
      </w:pPr>
      <w:r>
        <w:t xml:space="preserve">Sketch the first 90-day plan: name each 30-day phase and three outputs from each.</w:t>
      </w:r>
    </w:p>
    <w:p>
      <w:pPr>
        <w:pStyle w:val="ListParagraph"/>
        <w:numPr>
          <w:ilvl w:val="0"/>
          <w:numId w:val="3"/>
        </w:numPr>
        <w:spacing w:after="80" w:line="280"/>
      </w:pPr>
      <w:r>
        <w:t xml:space="preserve">Name the five metrics on the EA Value Scorecard with the healthy range for each.</w:t>
      </w:r>
    </w:p>
    <w:p>
      <w:pPr>
        <w:pStyle w:val="Heading2"/>
        <w:spacing w:after="160" w:before="280"/>
      </w:pPr>
      <w:r>
        <w:rPr>
          <w:b/>
          <w:bCs/>
          <w:color w:val="2E75B6"/>
        </w:rPr>
        <w:t xml:space="preserve">11.4 Closing Note</w:t>
      </w:r>
    </w:p>
    <w:p>
      <w:pPr>
        <w:spacing w:after="120" w:line="300"/>
        <w:jc w:val="both"/>
      </w:pPr>
      <w:r>
        <w:t xml:space="preserve">Module 27 has provided the synthesis. The remaining modules turn to certification preparation. With this capstone complete, the study guide has covered the full TOGAF body of knowledge — content, limitations, integrations, and synthesis. Make sure you can recite the ten components of the EA practice design; explain how each draws on earlier modules; and produce a defensible design for an enterprise context different from any worked example. With this capability, you are operating as a senior architect rather than just a TOGAF certification holder. The design components in this module are what real practice produces; the rest of the study guide is the foundation that makes producing them well possible.</w:t>
      </w:r>
    </w:p>
    <w:p>
      <w:pPr>
        <w:spacing w:after="120" w:line="300"/>
        <w:jc w:val="both"/>
      </w:pPr>
      <w:r>
        <w:t xml:space="preserve">This capstone closes the substantive content of the study guide. The next modules cover certification preparation — exam structure, what is tested, study strategies — supporting the formal certification track that runs in parallel with the substantive practitioner development the previous modules have built.</w:t>
      </w:r>
    </w:p>
    <w:p>
      <w:pPr>
        <w:spacing w:after="120"/>
      </w:pPr>
      <w:r>
        <w:t xml:space="preserve"/>
      </w:r>
    </w:p>
    <w:p>
      <w:pPr>
        <w:spacing w:before="400"/>
        <w:jc w:val="center"/>
      </w:pPr>
      <w:r>
        <w:rPr>
          <w:i/>
          <w:iCs/>
          <w:color w:val="808080"/>
        </w:rPr>
        <w:t xml:space="preserve">— End of Module 27 — Capstone Complete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27: Capstone — Design Your EA Practice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27 Capstone Study Guide</dc:title>
  <dc:creator>Claude</dc:creator>
  <dc:description>Capstone synthesis: designing an EA practice for a specific context</dc:description>
  <cp:lastModifiedBy>Un-named</cp:lastModifiedBy>
  <cp:revision>1</cp:revision>
  <dcterms:created xsi:type="dcterms:W3CDTF">2026-05-03T04:16:25.113Z</dcterms:created>
  <dcterms:modified xsi:type="dcterms:W3CDTF">2026-05-03T04:16:25.128Z</dcterms:modified>
</cp:coreProperties>
</file>

<file path=docProps/custom.xml><?xml version="1.0" encoding="utf-8"?>
<Properties xmlns="http://schemas.openxmlformats.org/officeDocument/2006/custom-properties" xmlns:vt="http://schemas.openxmlformats.org/officeDocument/2006/docPropsVTypes"/>
</file>