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4E78"/>
          <w:sz w:val="96"/>
          <w:szCs w:val="96"/>
        </w:rPr>
        <w:t xml:space="preserve">TOGAF</w:t>
      </w:r>
    </w:p>
    <w:p>
      <w:pPr>
        <w:spacing w:after="400"/>
        <w:jc w:val="center"/>
      </w:pPr>
      <w:r>
        <w:rPr>
          <w:b/>
          <w:bCs/>
          <w:color w:val="2E75B6"/>
          <w:sz w:val="44"/>
          <w:szCs w:val="44"/>
        </w:rPr>
        <w:t xml:space="preserve">Enterprise Architecture Study Guide</w:t>
      </w:r>
    </w:p>
    <w:p>
      <w:pPr>
        <w:spacing w:after="1600"/>
        <w:jc w:val="center"/>
      </w:pPr>
      <w:r>
        <w:rPr>
          <w:i/>
          <w:iCs/>
          <w:color w:val="595959"/>
          <w:sz w:val="36"/>
          <w:szCs w:val="36"/>
        </w:rPr>
        <w:t xml:space="preserve">Module 28: Certification Preparation</w:t>
      </w:r>
    </w:p>
    <w:p>
      <w:pPr>
        <w:spacing w:after="200"/>
        <w:jc w:val="center"/>
      </w:pPr>
      <w:r>
        <w:rPr>
          <w:color w:val="595959"/>
          <w:sz w:val="28"/>
          <w:szCs w:val="28"/>
        </w:rPr>
        <w:t xml:space="preserve">Foundation L1 · Practitioner L2 · Combined Exam</w:t>
      </w:r>
    </w:p>
    <w:p>
      <w:pPr>
        <w:spacing w:after="200"/>
        <w:jc w:val="center"/>
      </w:pPr>
      <w:r>
        <w:rPr>
          <w:color w:val="808080"/>
          <w:sz w:val="22"/>
          <w:szCs w:val="22"/>
        </w:rPr>
        <w:t xml:space="preserve">Mnemonics · Common Traps · 40-Term Glossary · Study Strategy</w:t>
      </w:r>
    </w:p>
    <w:p>
      <w:pPr>
        <w:spacing w:before="2400"/>
        <w:jc w:val="center"/>
      </w:pPr>
      <w:r>
        <w:rPr>
          <w:i/>
          <w:iCs/>
          <w:color w:val="808080"/>
          <w:sz w:val="22"/>
          <w:szCs w:val="22"/>
        </w:rPr>
        <w:t xml:space="preserve">Aligned with TOGAF® Standard, 10th Edition (The Open Group)</w:t>
      </w:r>
    </w:p>
    <w:p>
      <w:r>
        <w:br w:type="page"/>
      </w:r>
    </w:p>
    <w:p>
      <w:pPr>
        <w:pStyle w:val="Heading1"/>
        <w:spacing w:after="200" w:before="360"/>
      </w:pPr>
      <w:r>
        <w:rPr>
          <w:b/>
          <w:bCs/>
          <w:color w:val="1F4E78"/>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color w:val="1F4E78"/>
        </w:rPr>
        <w:t xml:space="preserve">Introduction to Module 28</w:t>
      </w:r>
    </w:p>
    <w:p>
      <w:pPr>
        <w:spacing w:after="120" w:line="300"/>
        <w:jc w:val="both"/>
      </w:pPr>
      <w:r>
        <w:t xml:space="preserve">Module 27 closed the substantive content of the study guide with the capstone synthesis. Module 28 turns to certification preparation: how to convert the knowledge built across the previous 27 modules into the formal credential issued by The Open Group. The credential — TOGAF Enterprise Architecture Foundation (Level 1) and TOGAF Enterprise Architecture Practitioner (Level 2) — is the recognised industry credential and increasingly an explicit requirement for senior architecture roles in regulated industries and large enterprises.</w:t>
      </w:r>
    </w:p>
    <w:p>
      <w:pPr>
        <w:spacing w:after="120" w:line="300"/>
        <w:jc w:val="both"/>
      </w:pPr>
      <w:r>
        <w:t xml:space="preserve">This module is more practical than reflective. It covers what is in the exams, how scoring works, what the topic weights are, what mnemonics help with rote memorisation, what common traps trip up candidates, what terms must be memorable, and what study strategy maximises pass probability. Where the previous 27 modules built understanding, this module builds exam readiness.</w:t>
      </w:r>
    </w:p>
    <w:p>
      <w:pPr>
        <w:spacing w:after="120" w:line="300"/>
        <w:jc w:val="both"/>
      </w:pPr>
      <w:r>
        <w:t xml:space="preserve">The most important meta-point: the certification exams are passable for any candidate who has worked through the substantive content of this study guide, completed sufficient practice questions, and approached the exam with appropriate strategy. They are not, contrary to some practitioner mythology, tests of arcane TOGAF trivia. They test recognition of named structures, understanding of the framework's logic, and (in the Practitioner exam) judgement about applying the framework to scenarios. All three competencies are what this study guide has been building.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Important — Verify Current Exam Details Before Booking</w:t>
            </w:r>
          </w:p>
          <w:p>
            <w:pPr>
              <w:spacing w:after="60" w:line="280"/>
              <w:jc w:val="both"/>
            </w:pPr>
            <w:r>
              <w:t xml:space="preserve">Exam details (pass marks, question counts, durations, prices, format) are set and periodically revised by The Open Group. The figures in this module reflect the current data sheet from The Open Group as of the date this study guide was produced, but candidates should always verify the most current details directly at certification.opengroup.org before booking. Note in particular that some third-party study sites quote a 55% pass mark for Foundation; The Open Group's own data sheet specifies 60% (24 of 40 correct). When sources conflict, The Open Group is authoritative.</w:t>
            </w:r>
          </w:p>
        </w:tc>
      </w:tr>
    </w:tbl>
    <w:p>
      <w:r>
        <w:br w:type="page"/>
      </w:r>
    </w:p>
    <w:p>
      <w:pPr>
        <w:pStyle w:val="Heading1"/>
        <w:spacing w:after="200" w:before="360"/>
      </w:pPr>
      <w:r>
        <w:rPr>
          <w:b/>
          <w:bCs/>
          <w:color w:val="1F4E78"/>
        </w:rPr>
        <w:t xml:space="preserve">1. The Foundation Exam (Level 1)</w:t>
      </w:r>
    </w:p>
    <w:p>
      <w:pPr>
        <w:spacing w:after="120" w:line="300"/>
        <w:jc w:val="both"/>
      </w:pPr>
      <w:r>
        <w:t xml:space="preserve">The Foundation exam validates basic understanding of the TOGAF Standard — its terminology, structure, and the ADM at the conceptual level. It is the prerequisite for Practitioner; you cannot achieve the full Enterprise Architecture Practitioner certification without holding (or simultaneously passing) Foundation.</w:t>
      </w:r>
    </w:p>
    <w:p>
      <w:pPr>
        <w:pStyle w:val="Heading2"/>
        <w:spacing w:after="160" w:before="280"/>
      </w:pPr>
      <w:r>
        <w:rPr>
          <w:b/>
          <w:bCs/>
          <w:color w:val="2E75B6"/>
        </w:rPr>
        <w:t xml:space="preserve">1.1 Foundation Exam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Foundation Exam (Level 1) — Format: </w:t>
            </w:r>
            <w:r>
              <w:t xml:space="preserve">40 simple multiple-choice questions. 60 minutes time limit. CLOSED book. Pass mark: 60% (24 of 40 correct). Each question awards 1 point for correct answer; no points for incorrect or blank. Delivered through Pearson VUE (online proctored or test centre). Tests Level 1 Learning Outcomes — recognition and basic understanding of the TOGAF Standard.</w:t>
            </w:r>
          </w:p>
        </w:tc>
      </w:tr>
    </w:tbl>
    <w:p>
      <w:pPr>
        <w:pStyle w:val="Heading2"/>
        <w:spacing w:after="160" w:before="280"/>
      </w:pPr>
      <w:r>
        <w:rPr>
          <w:b/>
          <w:bCs/>
          <w:color w:val="2E75B6"/>
        </w:rPr>
        <w:t xml:space="preserve">1.2 Foundation Question Style</w:t>
      </w:r>
    </w:p>
    <w:p>
      <w:pPr>
        <w:spacing w:after="120" w:line="300"/>
        <w:jc w:val="both"/>
      </w:pPr>
      <w:r>
        <w:t xml:space="preserve">Foundation questions test recognition and understanding. A typical question presents a TOGAF concept and asks for its correct definition, or describes a concept and asks for its name, or presents a small scenario and asks which TOGAF construct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Sample Foundation-Style Question</w:t>
            </w:r>
          </w:p>
          <w:p>
            <w:pPr>
              <w:spacing w:after="60" w:line="280"/>
              <w:jc w:val="both"/>
            </w:pPr>
            <w:r>
              <w:t xml:space="preserve">Q: Which of the following best describes the purpose of the Architecture Repository?</w:t>
            </w:r>
          </w:p>
          <w:p>
            <w:pPr>
              <w:spacing w:after="60" w:line="280"/>
              <w:jc w:val="both"/>
            </w:pPr>
            <w:r>
              <w:t xml:space="preserve">A. To store source code for production systems</w:t>
            </w:r>
          </w:p>
          <w:p>
            <w:pPr>
              <w:spacing w:after="60" w:line="280"/>
              <w:jc w:val="both"/>
            </w:pPr>
            <w:r>
              <w:t xml:space="preserve">B. To hold the various outputs and supporting content of architectural activity within the enterprise</w:t>
            </w:r>
          </w:p>
          <w:p>
            <w:pPr>
              <w:spacing w:after="60" w:line="280"/>
              <w:jc w:val="both"/>
            </w:pPr>
            <w:r>
              <w:t xml:space="preserve">C. To replace the Configuration Management Database (CMDB)</w:t>
            </w:r>
          </w:p>
          <w:p>
            <w:pPr>
              <w:spacing w:after="60" w:line="280"/>
              <w:jc w:val="both"/>
            </w:pPr>
            <w:r>
              <w:t xml:space="preserve">D. To document financial budgets for architecture projects</w:t>
            </w:r>
          </w:p>
          <w:p>
            <w:pPr>
              <w:spacing w:after="60" w:line="280"/>
              <w:jc w:val="both"/>
            </w:pPr>
            <w:r>
              <w:t xml:space="preserve">Best answer: B. The Architecture Repository holds the outputs and supporting content of architectural activity. A is wrong (Repository is not a code store). C is wrong (the Repository is distinct from the CMDB). D is wrong (it is not a financial system).</w:t>
            </w:r>
          </w:p>
          <w:p>
            <w:pPr>
              <w:spacing w:after="60" w:line="280"/>
              <w:jc w:val="both"/>
            </w:pPr>
            <w:r>
              <w:t xml:space="preserve">This is typical Foundation: testing recognition of the Architecture Repository's purpose with three plausible-sounding distractors.</w:t>
            </w:r>
          </w:p>
        </w:tc>
      </w:tr>
    </w:tbl>
    <w:p>
      <w:pPr>
        <w:pStyle w:val="Heading2"/>
        <w:spacing w:after="160" w:before="280"/>
      </w:pPr>
      <w:r>
        <w:rPr>
          <w:b/>
          <w:bCs/>
          <w:color w:val="2E75B6"/>
        </w:rPr>
        <w:t xml:space="preserve">1.3 Foundation Topic Weights</w:t>
      </w:r>
    </w:p>
    <w:p>
      <w:pPr>
        <w:spacing w:after="120" w:line="300"/>
        <w:jc w:val="both"/>
      </w:pPr>
      <w:r>
        <w:t xml:space="preserve">The Foundation exam covers six topic areas with approximate weightings. Knowing the weights helps allocate study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rPr>
          <w:tblHeader/>
        </w:trPr>
        <w:tc>
          <w:tcPr>
            <w:tcW w:type="dxa" w:w="4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Topic Area</w:t>
            </w:r>
          </w:p>
        </w:tc>
        <w:tc>
          <w:tcPr>
            <w:tcW w:type="dxa" w:w="1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Weight</w:t>
            </w:r>
          </w:p>
        </w:tc>
        <w:tc>
          <w:tcPr>
            <w:tcW w:type="dxa" w:w="33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Approx. Questions</w:t>
            </w:r>
          </w:p>
        </w:tc>
      </w:tr>
      <w:tr>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Basic Concepts (introduction, scope, history)</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~15%</w:t>
            </w:r>
          </w:p>
        </w:tc>
        <w:tc>
          <w:tcPr>
            <w:tcW w:type="dxa" w:w="3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6 questions</w:t>
            </w:r>
          </w:p>
        </w:tc>
      </w:tr>
      <w:tr>
        <w:tc>
          <w:tcPr>
            <w:tcW w:type="dxa" w:w="4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Core Concepts (Continuum, Repository, Framework)</w:t>
            </w:r>
          </w:p>
        </w:tc>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~25%</w:t>
            </w:r>
          </w:p>
        </w:tc>
        <w:tc>
          <w:tcPr>
            <w:tcW w:type="dxa" w:w="33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10 questions</w:t>
            </w:r>
          </w:p>
        </w:tc>
      </w:tr>
      <w:tr>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ADM (phases A-H, Preliminary, iteration)</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~25%</w:t>
            </w:r>
          </w:p>
        </w:tc>
        <w:tc>
          <w:tcPr>
            <w:tcW w:type="dxa" w:w="3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10 questions</w:t>
            </w:r>
          </w:p>
        </w:tc>
      </w:tr>
      <w:tr>
        <w:tc>
          <w:tcPr>
            <w:tcW w:type="dxa" w:w="4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ADM Techniques (Principles, Stakeholder, Gap Analysis, etc.)</w:t>
            </w:r>
          </w:p>
        </w:tc>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~10%</w:t>
            </w:r>
          </w:p>
        </w:tc>
        <w:tc>
          <w:tcPr>
            <w:tcW w:type="dxa" w:w="33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4 questions</w:t>
            </w:r>
          </w:p>
        </w:tc>
      </w:tr>
      <w:tr>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Content Framework (artefacts, ABBs)</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~10%</w:t>
            </w:r>
          </w:p>
        </w:tc>
        <w:tc>
          <w:tcPr>
            <w:tcW w:type="dxa" w:w="3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4 questions</w:t>
            </w:r>
          </w:p>
        </w:tc>
      </w:tr>
      <w:tr>
        <w:tc>
          <w:tcPr>
            <w:tcW w:type="dxa" w:w="4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Capability Framework (Board, governance, ACMM)</w:t>
            </w:r>
          </w:p>
        </w:tc>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~15%</w:t>
            </w:r>
          </w:p>
        </w:tc>
        <w:tc>
          <w:tcPr>
            <w:tcW w:type="dxa" w:w="33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6 questions</w:t>
            </w:r>
          </w:p>
        </w:tc>
      </w:tr>
    </w:tbl>
    <w:p>
      <w:pPr>
        <w:spacing w:after="120" w:line="300"/>
        <w:jc w:val="both"/>
      </w:pPr>
      <w:r>
        <w:t xml:space="preserve">The weightings imply that approximately half the questions test ADM and core concepts. A candidate who knows the ADM phases cold and recognises the four Continuum classes, six Repository categories, and the BDAT structure already has a strong base.</w:t>
      </w:r>
    </w:p>
    <w:p>
      <w:pPr>
        <w:pStyle w:val="Heading2"/>
        <w:spacing w:after="160" w:before="280"/>
      </w:pPr>
      <w:r>
        <w:rPr>
          <w:b/>
          <w:bCs/>
          <w:color w:val="2E75B6"/>
        </w:rPr>
        <w:t xml:space="preserve">1.4 Foundation Pass Probability</w:t>
      </w:r>
    </w:p>
    <w:p>
      <w:pPr>
        <w:spacing w:after="120" w:line="300"/>
        <w:jc w:val="both"/>
      </w:pPr>
      <w:r>
        <w:t xml:space="preserve">Empirically, candidates who:</w:t>
      </w:r>
    </w:p>
    <w:p>
      <w:pPr>
        <w:pStyle w:val="ListParagraph"/>
        <w:numPr>
          <w:ilvl w:val="0"/>
          <w:numId w:val="2"/>
        </w:numPr>
        <w:spacing w:after="80" w:line="280"/>
      </w:pPr>
      <w:r>
        <w:t xml:space="preserve">Have worked through structured study material covering all six topic areas;</w:t>
      </w:r>
    </w:p>
    <w:p>
      <w:pPr>
        <w:pStyle w:val="ListParagraph"/>
        <w:numPr>
          <w:ilvl w:val="0"/>
          <w:numId w:val="2"/>
        </w:numPr>
        <w:spacing w:after="80" w:line="280"/>
      </w:pPr>
      <w:r>
        <w:t xml:space="preserve">Have completed 60+ practice questions and consistently scored 85%+;</w:t>
      </w:r>
    </w:p>
    <w:p>
      <w:pPr>
        <w:pStyle w:val="ListParagraph"/>
        <w:numPr>
          <w:ilvl w:val="0"/>
          <w:numId w:val="2"/>
        </w:numPr>
        <w:spacing w:after="80" w:line="280"/>
      </w:pPr>
      <w:r>
        <w:t xml:space="preserve">Can recite the ADM phase order, the four Continuum classes, the six Repository categories, and the six ACMM levels from memory;</w:t>
      </w:r>
    </w:p>
    <w:p>
      <w:pPr>
        <w:spacing w:after="120" w:line="300"/>
        <w:jc w:val="both"/>
      </w:pPr>
      <w:r>
        <w:t xml:space="preserve">...pass Foundation reliably. Candidates skipping any of these typically need 2-3 attempts. The exam is fair but punishes superficial preparation.</w:t>
      </w:r>
    </w:p>
    <w:p>
      <w:r>
        <w:br w:type="page"/>
      </w:r>
    </w:p>
    <w:p>
      <w:pPr>
        <w:pStyle w:val="Heading1"/>
        <w:spacing w:after="200" w:before="360"/>
      </w:pPr>
      <w:r>
        <w:rPr>
          <w:b/>
          <w:bCs/>
          <w:color w:val="1F4E78"/>
        </w:rPr>
        <w:t xml:space="preserve">2. The Practitioner Exam (Level 2)</w:t>
      </w:r>
    </w:p>
    <w:p>
      <w:pPr>
        <w:spacing w:after="120" w:line="300"/>
        <w:jc w:val="both"/>
      </w:pPr>
      <w:r>
        <w:t xml:space="preserve">The Practitioner exam is the substantive credential — it tests application of TOGAF to scenarios rather than recognition of TOGAF facts. Where Foundation asks "what is X?", Practitioner asks "given this scenario, what should you do?" The format and scoring reflect this judgement-testing intent.</w:t>
      </w:r>
    </w:p>
    <w:p>
      <w:pPr>
        <w:pStyle w:val="Heading2"/>
        <w:spacing w:after="160" w:before="280"/>
      </w:pPr>
      <w:r>
        <w:rPr>
          <w:b/>
          <w:bCs/>
          <w:color w:val="2E75B6"/>
        </w:rPr>
        <w:t xml:space="preserve">2.1 Practitioner Exam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Practitioner Exam (Level 2) — Format: </w:t>
            </w:r>
            <w:r>
              <w:t xml:space="preserve">8 complex scenario-based questions. 90 minutes time limit. OPEN BOOK — an electronic copy of the TOGAF Standard is built into the exam interface, available only in this section. Pass mark: 60% (24 of maximum 40 points). Gradient scoring: each question can earn 5, 3, 1, or 0 points depending on the answer chosen. Delivered through Pearson VUE.</w:t>
            </w:r>
          </w:p>
        </w:tc>
      </w:tr>
    </w:tbl>
    <w:p>
      <w:pPr>
        <w:pStyle w:val="Heading2"/>
        <w:spacing w:after="160" w:before="280"/>
      </w:pPr>
      <w:r>
        <w:rPr>
          <w:b/>
          <w:bCs/>
          <w:color w:val="2E75B6"/>
        </w:rPr>
        <w:t xml:space="preserve">2.2 Gradient Scoring Explained</w:t>
      </w:r>
    </w:p>
    <w:p>
      <w:pPr>
        <w:spacing w:after="120" w:line="300"/>
        <w:jc w:val="both"/>
      </w:pPr>
      <w:r>
        <w:t xml:space="preserve">Practitioner uses gradient scoring — a critical detail that distinguishes it from Foundation:</w:t>
      </w:r>
    </w:p>
    <w:p>
      <w:pPr>
        <w:pStyle w:val="ListParagraph"/>
        <w:numPr>
          <w:ilvl w:val="0"/>
          <w:numId w:val="2"/>
        </w:numPr>
        <w:spacing w:after="80" w:line="280"/>
      </w:pPr>
      <w:r>
        <w:t xml:space="preserve">Best answer: 5 points.</w:t>
      </w:r>
    </w:p>
    <w:p>
      <w:pPr>
        <w:pStyle w:val="ListParagraph"/>
        <w:numPr>
          <w:ilvl w:val="0"/>
          <w:numId w:val="2"/>
        </w:numPr>
        <w:spacing w:after="80" w:line="280"/>
      </w:pPr>
      <w:r>
        <w:t xml:space="preserve">Second-best answer: 3 points.</w:t>
      </w:r>
    </w:p>
    <w:p>
      <w:pPr>
        <w:pStyle w:val="ListParagraph"/>
        <w:numPr>
          <w:ilvl w:val="0"/>
          <w:numId w:val="2"/>
        </w:numPr>
        <w:spacing w:after="80" w:line="280"/>
      </w:pPr>
      <w:r>
        <w:t xml:space="preserve">Third-best answer: 1 point.</w:t>
      </w:r>
    </w:p>
    <w:p>
      <w:pPr>
        <w:pStyle w:val="ListParagraph"/>
        <w:numPr>
          <w:ilvl w:val="0"/>
          <w:numId w:val="2"/>
        </w:numPr>
        <w:spacing w:after="80" w:line="280"/>
      </w:pPr>
      <w:r>
        <w:t xml:space="preserve">Distracter (wrong answer): 0 points.</w:t>
      </w:r>
    </w:p>
    <w:p>
      <w:pPr>
        <w:spacing w:after="120" w:line="300"/>
        <w:jc w:val="both"/>
      </w:pPr>
      <w:r>
        <w:t xml:space="preserve">With 8 questions × 5 maximum points, the maximum possible score is 40 points. Pass mark is 60% — 24 points or higher. The implication: you do not need to identify the best answer on every question. A second-best answer (3 points) on most questions still pass; a third-best (1 point) on some questions also contributes toward pass. This makes the Practitioner forgiving of nuanced judgement calls — but unforgiving of distracters that genuinely conflict with TOGAF.</w:t>
      </w:r>
    </w:p>
    <w:p>
      <w:pPr>
        <w:pStyle w:val="Heading2"/>
        <w:spacing w:after="160" w:before="280"/>
      </w:pPr>
      <w:r>
        <w:rPr>
          <w:b/>
          <w:bCs/>
          <w:color w:val="2E75B6"/>
        </w:rPr>
        <w:t xml:space="preserve">2.3 Practitioner Question Style</w:t>
      </w:r>
    </w:p>
    <w:p>
      <w:pPr>
        <w:spacing w:after="120" w:line="300"/>
        <w:jc w:val="both"/>
      </w:pPr>
      <w:r>
        <w:t xml:space="preserve">A Practitioner question presents a substantial scenario (typically 200-400 words) describing an enterprise context, an architectural challenge, and a specific decision point. Four answer options describe different responses; the candidate must judge which is best, second-best, third-best, and worst.</w:t>
      </w:r>
    </w:p>
    <w:p>
      <w:pPr>
        <w:spacing w:after="120" w:line="300"/>
        <w:jc w:val="both"/>
      </w:pPr>
      <w:r>
        <w:t xml:space="preserve">The scenario typically:</w:t>
      </w:r>
    </w:p>
    <w:p>
      <w:pPr>
        <w:pStyle w:val="ListParagraph"/>
        <w:numPr>
          <w:ilvl w:val="0"/>
          <w:numId w:val="2"/>
        </w:numPr>
        <w:spacing w:after="80" w:line="280"/>
      </w:pPr>
      <w:r>
        <w:t xml:space="preserve">Describes an organisation with specific characteristics — industry, size, regulatory regime, current architecture maturity (recognisable from Module 27).</w:t>
      </w:r>
    </w:p>
    <w:p>
      <w:pPr>
        <w:pStyle w:val="ListParagraph"/>
        <w:numPr>
          <w:ilvl w:val="0"/>
          <w:numId w:val="2"/>
        </w:numPr>
        <w:spacing w:after="80" w:line="280"/>
      </w:pPr>
      <w:r>
        <w:t xml:space="preserve">Sets up an ADM phase context — the team is in Phase B, or facing a Phase G compliance review, etc.</w:t>
      </w:r>
    </w:p>
    <w:p>
      <w:pPr>
        <w:pStyle w:val="ListParagraph"/>
        <w:numPr>
          <w:ilvl w:val="0"/>
          <w:numId w:val="2"/>
        </w:numPr>
        <w:spacing w:after="80" w:line="280"/>
      </w:pPr>
      <w:r>
        <w:t xml:space="preserve">Describes a specific challenge — stakeholder concern, technology choice, governance question, scope dispute.</w:t>
      </w:r>
    </w:p>
    <w:p>
      <w:pPr>
        <w:pStyle w:val="ListParagraph"/>
        <w:numPr>
          <w:ilvl w:val="0"/>
          <w:numId w:val="2"/>
        </w:numPr>
        <w:spacing w:after="80" w:line="280"/>
      </w:pPr>
      <w:r>
        <w:t xml:space="preserve">Presents four candidate responses — typically all four are plausible; only one captures the TOGAF-recommended approach.</w:t>
      </w:r>
    </w:p>
    <w:p>
      <w:pPr>
        <w:spacing w:after="120" w:line="300"/>
        <w:jc w:val="both"/>
      </w:pPr>
      <w:r>
        <w:t xml:space="preserve">Successful answers require both knowing TOGAF (which most candidates do by Practitioner stage) and reading carefully — the scenario contains specific facts that distinguish among the answers.</w:t>
      </w:r>
    </w:p>
    <w:p>
      <w:pPr>
        <w:pStyle w:val="Heading2"/>
        <w:spacing w:after="160" w:before="280"/>
      </w:pPr>
      <w:r>
        <w:rPr>
          <w:b/>
          <w:bCs/>
          <w:color w:val="2E75B6"/>
        </w:rPr>
        <w:t xml:space="preserve">2.4 Open-Book Strategy</w:t>
      </w:r>
    </w:p>
    <w:p>
      <w:pPr>
        <w:spacing w:after="120" w:line="300"/>
        <w:jc w:val="both"/>
      </w:pPr>
      <w:r>
        <w:t xml:space="preserve">Practitioner is open book — the TOGAF Standard is available within the exam interface. This is both a help and a trap:</w:t>
      </w:r>
    </w:p>
    <w:p>
      <w:pPr>
        <w:pStyle w:val="ListParagraph"/>
        <w:numPr>
          <w:ilvl w:val="0"/>
          <w:numId w:val="2"/>
        </w:numPr>
        <w:spacing w:after="80" w:line="280"/>
      </w:pPr>
      <w:r>
        <w:t xml:space="preserve">Help: any specific reference (the six compliance levels, the eleven artefacts, the four Continuum classes) can be looked up rather than memorised.</w:t>
      </w:r>
    </w:p>
    <w:p>
      <w:pPr>
        <w:pStyle w:val="ListParagraph"/>
        <w:numPr>
          <w:ilvl w:val="0"/>
          <w:numId w:val="2"/>
        </w:numPr>
        <w:spacing w:after="80" w:line="280"/>
      </w:pPr>
      <w:r>
        <w:t xml:space="preserve">Trap: looking up everything consumes time. With 8 questions in 90 minutes (~11 minutes per question), spending 5 minutes per question on Standard lookup leaves only 6 minutes for reading the scenario and choosing answers.</w:t>
      </w:r>
    </w:p>
    <w:p>
      <w:pPr>
        <w:spacing w:after="120" w:line="300"/>
        <w:jc w:val="both"/>
      </w:pPr>
      <w:r>
        <w:t xml:space="preserve">Effective open-book strategy: know enough to answer most questions without lookup; reserve lookup for ambiguous cases. The Standard is helpful for verification, not for substitute-for-knowledge.</w:t>
      </w:r>
    </w:p>
    <w:p>
      <w:pPr>
        <w:pStyle w:val="Heading2"/>
        <w:spacing w:after="160" w:before="280"/>
      </w:pPr>
      <w:r>
        <w:rPr>
          <w:b/>
          <w:bCs/>
          <w:color w:val="2E75B6"/>
        </w:rPr>
        <w:t xml:space="preserve">2.5 Tabbing the Open-Book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Pre-Exam Preparation: Tab Key Sections</w:t>
            </w:r>
          </w:p>
          <w:p>
            <w:pPr>
              <w:spacing w:after="60" w:line="280"/>
              <w:jc w:val="both"/>
            </w:pPr>
            <w:r>
              <w:t xml:space="preserve">Many practitioners benefit from mentally pre-tabbing the open-book Standard — knowing where in the document each major section lives — even though physical tabs are not used in an electronic exam. Specifically, locate and revise: ADM phase descriptions; the six Architecture Compliance Review levels; the six Architecture Repository content classes; the four Continuum classes; the six ACMM levels; the standard deliverable templates. These sections are queried disproportionately during the exam; knowing where to find them saves precious time.</w:t>
            </w:r>
          </w:p>
        </w:tc>
      </w:tr>
    </w:tbl>
    <w:p>
      <w:r>
        <w:br w:type="page"/>
      </w:r>
    </w:p>
    <w:p>
      <w:pPr>
        <w:pStyle w:val="Heading1"/>
        <w:spacing w:after="200" w:before="360"/>
      </w:pPr>
      <w:r>
        <w:rPr>
          <w:b/>
          <w:bCs/>
          <w:color w:val="1F4E78"/>
        </w:rPr>
        <w:t xml:space="preserve">3. The Combined Exam Option</w:t>
      </w:r>
    </w:p>
    <w:p>
      <w:pPr>
        <w:spacing w:after="120" w:line="300"/>
        <w:jc w:val="both"/>
      </w:pPr>
      <w:r>
        <w:t xml:space="preserve">Most candidates take the Foundation and Practitioner exams as a single combined exam rather than as two separate sittings. The combined exam is more efficient, less expensive than two separate exams, and is the standard route for candidates pursuing the full Enterprise Architecture Practitioner credential.</w:t>
      </w:r>
    </w:p>
    <w:p>
      <w:pPr>
        <w:pStyle w:val="Heading2"/>
        <w:spacing w:after="160" w:before="280"/>
      </w:pPr>
      <w:r>
        <w:rPr>
          <w:b/>
          <w:bCs/>
          <w:color w:val="2E75B6"/>
        </w:rPr>
        <w:t xml:space="preserve">3.1 Combined Exam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Combined Exam — TOGAF Enterprise Architecture: </w:t>
            </w:r>
            <w:r>
              <w:t xml:space="preserve">Both Part 1 (Foundation, 40 MCQs, 60 min, closed book) and Part 2 (Practitioner, 8 scenarios, 90 min, open book) in a single 150-minute sitting. Each part has its own time limit; once Part 1 is complete you cannot return to it. Open Book becomes available only in Part 2. Both must be passed at 60% to earn the credential. If only one is passed, the other can be retaken separately.</w:t>
            </w:r>
          </w:p>
        </w:tc>
      </w:tr>
    </w:tbl>
    <w:p>
      <w:pPr>
        <w:pStyle w:val="Heading2"/>
        <w:spacing w:after="160" w:before="280"/>
      </w:pPr>
      <w:r>
        <w:rPr>
          <w:b/>
          <w:bCs/>
          <w:color w:val="2E75B6"/>
        </w:rPr>
        <w:t xml:space="preserve">3.2 Combined Exam Strategy</w:t>
      </w:r>
    </w:p>
    <w:p>
      <w:pPr>
        <w:spacing w:after="120" w:line="300"/>
        <w:jc w:val="both"/>
      </w:pPr>
      <w:r>
        <w:t xml:space="preserve">The 150-minute combined sitting requires pacing:</w:t>
      </w:r>
    </w:p>
    <w:p>
      <w:pPr>
        <w:pStyle w:val="ListParagraph"/>
        <w:numPr>
          <w:ilvl w:val="0"/>
          <w:numId w:val="2"/>
        </w:numPr>
        <w:spacing w:after="80" w:line="280"/>
      </w:pPr>
      <w:r>
        <w:t xml:space="preserve">Part 1 (Foundation): aim for 40-50 minutes leaving 10-20 minutes review. Each question allows ~1.5 minutes.</w:t>
      </w:r>
    </w:p>
    <w:p>
      <w:pPr>
        <w:pStyle w:val="ListParagraph"/>
        <w:numPr>
          <w:ilvl w:val="0"/>
          <w:numId w:val="2"/>
        </w:numPr>
        <w:spacing w:after="80" w:line="280"/>
      </w:pPr>
      <w:r>
        <w:t xml:space="preserve">Transition: brief break to mentally reset; Part 1 cannot be revisited.</w:t>
      </w:r>
    </w:p>
    <w:p>
      <w:pPr>
        <w:pStyle w:val="ListParagraph"/>
        <w:numPr>
          <w:ilvl w:val="0"/>
          <w:numId w:val="2"/>
        </w:numPr>
        <w:spacing w:after="80" w:line="280"/>
      </w:pPr>
      <w:r>
        <w:t xml:space="preserve">Part 2 (Practitioner): pace at ~11 minutes per scenario question with the Standard becoming available.</w:t>
      </w:r>
    </w:p>
    <w:p>
      <w:pPr>
        <w:spacing w:after="120" w:line="300"/>
        <w:jc w:val="both"/>
      </w:pPr>
      <w:r>
        <w:t xml:space="preserve">Most candidates find Part 1 takes less time than Part 2's 60 minutes allotted, finishing with ~15 minutes spare. That spare time cannot be carried forward — Part 2's 90 minutes is its own envelope.</w:t>
      </w:r>
    </w:p>
    <w:p>
      <w:pPr>
        <w:pStyle w:val="Heading2"/>
        <w:spacing w:after="160" w:before="280"/>
      </w:pPr>
      <w:r>
        <w:rPr>
          <w:b/>
          <w:bCs/>
          <w:color w:val="2E75B6"/>
        </w:rPr>
        <w:t xml:space="preserve">3.3 Pass / Fail Outcomes from Combined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Result</w:t>
            </w:r>
          </w:p>
        </w:tc>
        <w:tc>
          <w:tcPr>
            <w:tcW w:type="dxa" w:w="40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Outcome</w:t>
            </w:r>
          </w:p>
        </w:tc>
        <w:tc>
          <w:tcPr>
            <w:tcW w:type="dxa" w:w="36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Action</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Pass both parts</w:t>
            </w:r>
          </w:p>
        </w:tc>
        <w:tc>
          <w:tcPr>
            <w:tcW w:type="dxa" w:w="4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Earn TOGAF Enterprise Architecture Practitioner credential (Level 2)</w:t>
            </w:r>
          </w:p>
        </w:tc>
        <w:tc>
          <w:tcPr>
            <w:tcW w:type="dxa" w:w="3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Receive credential; download digital badge from Credly</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Pass Part 1 only</w:t>
            </w:r>
          </w:p>
        </w:tc>
        <w:tc>
          <w:tcPr>
            <w:tcW w:type="dxa" w:w="4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Earn TOGAF Enterprise Architecture Foundation credential (Level 1)</w:t>
            </w:r>
          </w:p>
        </w:tc>
        <w:tc>
          <w:tcPr>
            <w:tcW w:type="dxa" w:w="3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Optionally retake Part 2 standalone for full Practitioner</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Pass Part 2 only</w:t>
            </w:r>
          </w:p>
        </w:tc>
        <w:tc>
          <w:tcPr>
            <w:tcW w:type="dxa" w:w="4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No credential awarded (Foundation is prerequisite)</w:t>
            </w:r>
          </w:p>
        </w:tc>
        <w:tc>
          <w:tcPr>
            <w:tcW w:type="dxa" w:w="3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Retake Part 1 standalone; Part 2 result remains valid</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Fail both parts</w:t>
            </w:r>
          </w:p>
        </w:tc>
        <w:tc>
          <w:tcPr>
            <w:tcW w:type="dxa" w:w="4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No credential awarded</w:t>
            </w:r>
          </w:p>
        </w:tc>
        <w:tc>
          <w:tcPr>
            <w:tcW w:type="dxa" w:w="3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Retake both — usually as combined exam again</w:t>
            </w:r>
          </w:p>
        </w:tc>
      </w:tr>
    </w:tbl>
    <w:p>
      <w:r>
        <w:br w:type="page"/>
      </w:r>
    </w:p>
    <w:p>
      <w:pPr>
        <w:pStyle w:val="Heading1"/>
        <w:spacing w:after="200" w:before="360"/>
      </w:pPr>
      <w:r>
        <w:rPr>
          <w:b/>
          <w:bCs/>
          <w:color w:val="1F4E78"/>
        </w:rPr>
        <w:t xml:space="preserve">4. Mnemonics for Rote Memorisation</w:t>
      </w:r>
    </w:p>
    <w:p>
      <w:pPr>
        <w:spacing w:after="120" w:line="300"/>
        <w:jc w:val="both"/>
      </w:pPr>
      <w:r>
        <w:t xml:space="preserve">Several TOGAF structures must be memorised for the Foundation exam in particular: the ADM phase order, the four Continuum classes, the six Repository content classes, the six ACMM levels. Mnemonics help retention. Several recurring mnemonics are widely used.</w:t>
      </w:r>
    </w:p>
    <w:p>
      <w:pPr>
        <w:pStyle w:val="Heading2"/>
        <w:spacing w:after="160" w:before="280"/>
      </w:pPr>
      <w:r>
        <w:rPr>
          <w:b/>
          <w:bCs/>
          <w:color w:val="2E75B6"/>
        </w:rPr>
        <w:t xml:space="preserve">4.1 ADM Phase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8"/>
              <w:left w:val="single" w:color="548235" w:sz="24"/>
              <w:bottom w:val="single" w:color="548235" w:sz="8"/>
              <w:right w:val="single" w:color="548235" w:sz="4"/>
            </w:tcBorders>
            <w:shd w:fill="E2EFDA" w:val="clear"/>
            <w:tcMar>
              <w:top w:type="dxa" w:w="160"/>
              <w:left w:type="dxa" w:w="200"/>
              <w:bottom w:type="dxa" w:w="160"/>
              <w:right w:type="dxa" w:w="200"/>
            </w:tcMar>
          </w:tcPr>
          <w:p>
            <w:pPr>
              <w:spacing w:after="80"/>
            </w:pPr>
            <w:r>
              <w:rPr>
                <w:b/>
                <w:bCs/>
                <w:color w:val="375623"/>
              </w:rPr>
              <w:t xml:space="preserve">🧠 ADM Phases — Preliminary + A through H</w:t>
            </w:r>
          </w:p>
          <w:p>
            <w:pPr>
              <w:spacing w:after="60" w:line="280"/>
              <w:jc w:val="both"/>
            </w:pPr>
            <w:r>
              <w:t xml:space="preserve">Preliminary → A → B → C → D → E → F → G → H, with Requirements Management cross-cutting throughout.</w:t>
            </w:r>
          </w:p>
          <w:p>
            <w:pPr>
              <w:spacing w:after="60" w:line="280"/>
              <w:jc w:val="both"/>
            </w:pPr>
            <w:r>
              <w:t xml:space="preserve">Mnemonic: "Please Aim Big, Cool Designers Engineer Magnificent Greatness, Holistically" — Preliminary, Architecture Vision, Business Architecture, Information Systems Architecture (Data + Application), Technology Architecture, Opportunities &amp; Solutions, Migration Planning, Implementation Governance, Architecture Change Management.</w:t>
            </w:r>
          </w:p>
          <w:p>
            <w:pPr>
              <w:spacing w:after="60" w:line="280"/>
              <w:jc w:val="both"/>
            </w:pPr>
            <w:r>
              <w:t xml:space="preserve">Or simpler: "Pre-A-B-C-D-E-F-G-H" said as a sing-song, with Requirements Management always in the centre.</w:t>
            </w:r>
          </w:p>
          <w:p>
            <w:pPr>
              <w:spacing w:after="60" w:line="280"/>
              <w:jc w:val="both"/>
            </w:pPr>
            <w:r>
              <w:t xml:space="preserve">Critical: Phase C is INFORMATION SYSTEMS Architecture — covers BOTH Data AND Application sub-phases. Many candidates confuse this — Data and Application are TWO domains within ONE phase (Phase C), not two separate phases.</w:t>
            </w:r>
          </w:p>
        </w:tc>
      </w:tr>
    </w:tbl>
    <w:p>
      <w:pPr>
        <w:pStyle w:val="Heading2"/>
        <w:spacing w:after="160" w:before="280"/>
      </w:pPr>
      <w:r>
        <w:rPr>
          <w:b/>
          <w:bCs/>
          <w:color w:val="2E75B6"/>
        </w:rPr>
        <w:t xml:space="preserve">4.2 BDAT — The Four Architecture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8"/>
              <w:left w:val="single" w:color="548235" w:sz="24"/>
              <w:bottom w:val="single" w:color="548235" w:sz="8"/>
              <w:right w:val="single" w:color="548235" w:sz="4"/>
            </w:tcBorders>
            <w:shd w:fill="E2EFDA" w:val="clear"/>
            <w:tcMar>
              <w:top w:type="dxa" w:w="160"/>
              <w:left w:type="dxa" w:w="200"/>
              <w:bottom w:type="dxa" w:w="160"/>
              <w:right w:type="dxa" w:w="200"/>
            </w:tcMar>
          </w:tcPr>
          <w:p>
            <w:pPr>
              <w:spacing w:after="80"/>
            </w:pPr>
            <w:r>
              <w:rPr>
                <w:b/>
                <w:bCs/>
                <w:color w:val="375623"/>
              </w:rPr>
              <w:t xml:space="preserve">🧠 BDAT — Four Architecture Domains</w:t>
            </w:r>
          </w:p>
          <w:p>
            <w:pPr>
              <w:spacing w:after="60" w:line="280"/>
              <w:jc w:val="both"/>
            </w:pPr>
            <w:r>
              <w:t xml:space="preserve">B-D-A-T — Business, Data, Application, Technology. Same order as ADM Phases B (Business), C-Data, C-App, D (Technology).</w:t>
            </w:r>
          </w:p>
          <w:p>
            <w:pPr>
              <w:spacing w:after="60" w:line="280"/>
              <w:jc w:val="both"/>
            </w:pPr>
            <w:r>
              <w:t xml:space="preserve">Pronounced "bee-dat" or just spelled out as letters.</w:t>
            </w:r>
          </w:p>
          <w:p>
            <w:pPr>
              <w:spacing w:after="60" w:line="280"/>
              <w:jc w:val="both"/>
            </w:pPr>
            <w:r>
              <w:t xml:space="preserve">Memorising BDAT lets you reconstruct the ADM phase content: "B" = Phase B (Business), "D" = Phase C-Data, "A" = Phase C-App, "T" = Phase D (Technology). The progression is from business outward to the technology that supports it.</w:t>
            </w:r>
          </w:p>
        </w:tc>
      </w:tr>
    </w:tbl>
    <w:p>
      <w:pPr>
        <w:pStyle w:val="Heading2"/>
        <w:spacing w:after="160" w:before="280"/>
      </w:pPr>
      <w:r>
        <w:rPr>
          <w:b/>
          <w:bCs/>
          <w:color w:val="2E75B6"/>
        </w:rPr>
        <w:t xml:space="preserve">4.3 The Four Continuum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8"/>
              <w:left w:val="single" w:color="548235" w:sz="24"/>
              <w:bottom w:val="single" w:color="548235" w:sz="8"/>
              <w:right w:val="single" w:color="548235" w:sz="4"/>
            </w:tcBorders>
            <w:shd w:fill="E2EFDA" w:val="clear"/>
            <w:tcMar>
              <w:top w:type="dxa" w:w="160"/>
              <w:left w:type="dxa" w:w="200"/>
              <w:bottom w:type="dxa" w:w="160"/>
              <w:right w:type="dxa" w:w="200"/>
            </w:tcMar>
          </w:tcPr>
          <w:p>
            <w:pPr>
              <w:spacing w:after="80"/>
            </w:pPr>
            <w:r>
              <w:rPr>
                <w:b/>
                <w:bCs/>
                <w:color w:val="375623"/>
              </w:rPr>
              <w:t xml:space="preserve">🧠 Enterprise Continuum — Four Classes</w:t>
            </w:r>
          </w:p>
          <w:p>
            <w:pPr>
              <w:spacing w:after="60" w:line="280"/>
              <w:jc w:val="both"/>
            </w:pPr>
            <w:r>
              <w:t xml:space="preserve">Foundation → Common Systems → Industry → Organisation-Specific.</w:t>
            </w:r>
          </w:p>
          <w:p>
            <w:pPr>
              <w:spacing w:after="60" w:line="280"/>
              <w:jc w:val="both"/>
            </w:pPr>
            <w:r>
              <w:t xml:space="preserve">Increasing in specificity from generic (Foundation) to specific (Organisation-Specific).</w:t>
            </w:r>
          </w:p>
          <w:p>
            <w:pPr>
              <w:spacing w:after="60" w:line="280"/>
              <w:jc w:val="both"/>
            </w:pPr>
            <w:r>
              <w:t xml:space="preserve">Mnemonic: "FCIO" pronounced "FY-see-oh" — Foundation, Common Systems, Industry, Organisation.</w:t>
            </w:r>
          </w:p>
          <w:p>
            <w:pPr>
              <w:spacing w:after="60" w:line="280"/>
              <w:jc w:val="both"/>
            </w:pPr>
            <w:r>
              <w:t xml:space="preserve">Or as a story: "From general (Foundation) to common (Common Systems) to industry (Industry) to your organisation (Organisation-Specific) — the funnel narrows."</w:t>
            </w:r>
          </w:p>
          <w:p>
            <w:pPr>
              <w:spacing w:after="60" w:line="280"/>
              <w:jc w:val="both"/>
            </w:pPr>
            <w:r>
              <w:t xml:space="preserve">Critical: TRM lives at FOUNDATION level (most generic). III-RM lives at COMMON SYSTEMS level (one tier more specific). Reference models like BIAN/eTOM/HL7/ARTS live at INDUSTRY level. The exam tests this placement frequently.</w:t>
            </w:r>
          </w:p>
        </w:tc>
      </w:tr>
    </w:tbl>
    <w:p>
      <w:pPr>
        <w:pStyle w:val="Heading2"/>
        <w:spacing w:after="160" w:before="280"/>
      </w:pPr>
      <w:r>
        <w:rPr>
          <w:b/>
          <w:bCs/>
          <w:color w:val="2E75B6"/>
        </w:rPr>
        <w:t xml:space="preserve">4.4 The Six Repository Content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8"/>
              <w:left w:val="single" w:color="548235" w:sz="24"/>
              <w:bottom w:val="single" w:color="548235" w:sz="8"/>
              <w:right w:val="single" w:color="548235" w:sz="4"/>
            </w:tcBorders>
            <w:shd w:fill="E2EFDA" w:val="clear"/>
            <w:tcMar>
              <w:top w:type="dxa" w:w="160"/>
              <w:left w:type="dxa" w:w="200"/>
              <w:bottom w:type="dxa" w:w="160"/>
              <w:right w:type="dxa" w:w="200"/>
            </w:tcMar>
          </w:tcPr>
          <w:p>
            <w:pPr>
              <w:spacing w:after="80"/>
            </w:pPr>
            <w:r>
              <w:rPr>
                <w:b/>
                <w:bCs/>
                <w:color w:val="375623"/>
              </w:rPr>
              <w:t xml:space="preserve">🧠 Architecture Repository — Six Content Classes</w:t>
            </w:r>
          </w:p>
          <w:p>
            <w:pPr>
              <w:spacing w:after="60" w:line="280"/>
              <w:jc w:val="both"/>
            </w:pPr>
            <w:r>
              <w:t xml:space="preserve">Architecture Metamodel; Architecture Capability; Architecture Landscape; Standards Information Base (SIB); Reference Library; Governance Log.</w:t>
            </w:r>
          </w:p>
          <w:p>
            <w:pPr>
              <w:spacing w:after="60" w:line="280"/>
              <w:jc w:val="both"/>
            </w:pPr>
            <w:r>
              <w:t xml:space="preserve">Mnemonic: "My Cat Likes Sleeping Right Generally" — Metamodel, Capability, Landscape, SIB, Reference Library, Governance Log.</w:t>
            </w:r>
          </w:p>
          <w:p>
            <w:pPr>
              <w:spacing w:after="60" w:line="280"/>
              <w:jc w:val="both"/>
            </w:pPr>
            <w:r>
              <w:t xml:space="preserve">Or grouped by purpose: "Structure (Metamodel + Capability), State (Landscape + SIB), Sources (Reference Library), Records (Governance Log)."</w:t>
            </w:r>
          </w:p>
          <w:p>
            <w:pPr>
              <w:spacing w:after="60" w:line="280"/>
              <w:jc w:val="both"/>
            </w:pPr>
            <w:r>
              <w:t xml:space="preserve">Critical distinctions: (1) The SIB holds STANDARDS the enterprise has adopted — these become MANDATORY. (2) The Reference Library holds REFERENCE MATERIAL — these are advisory, not mandatory. (3) The Governance Log holds DECISIONS and dispensations. Confusing these is a common Foundation trap.</w:t>
            </w:r>
          </w:p>
        </w:tc>
      </w:tr>
    </w:tbl>
    <w:p>
      <w:pPr>
        <w:pStyle w:val="Heading2"/>
        <w:spacing w:after="160" w:before="280"/>
      </w:pPr>
      <w:r>
        <w:rPr>
          <w:b/>
          <w:bCs/>
          <w:color w:val="2E75B6"/>
        </w:rPr>
        <w:t xml:space="preserve">4.5 The Six ACMM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8"/>
              <w:left w:val="single" w:color="548235" w:sz="24"/>
              <w:bottom w:val="single" w:color="548235" w:sz="8"/>
              <w:right w:val="single" w:color="548235" w:sz="4"/>
            </w:tcBorders>
            <w:shd w:fill="E2EFDA" w:val="clear"/>
            <w:tcMar>
              <w:top w:type="dxa" w:w="160"/>
              <w:left w:type="dxa" w:w="200"/>
              <w:bottom w:type="dxa" w:w="160"/>
              <w:right w:type="dxa" w:w="200"/>
            </w:tcMar>
          </w:tcPr>
          <w:p>
            <w:pPr>
              <w:spacing w:after="80"/>
            </w:pPr>
            <w:r>
              <w:rPr>
                <w:b/>
                <w:bCs/>
                <w:color w:val="375623"/>
              </w:rPr>
              <w:t xml:space="preserve">🧠 ACMM — Six Maturity Levels (0-5)</w:t>
            </w:r>
          </w:p>
          <w:p>
            <w:pPr>
              <w:spacing w:after="60" w:line="280"/>
              <w:jc w:val="both"/>
            </w:pPr>
            <w:r>
              <w:t xml:space="preserve">Level 0: None — no architecture practice.</w:t>
            </w:r>
          </w:p>
          <w:p>
            <w:pPr>
              <w:spacing w:after="60" w:line="280"/>
              <w:jc w:val="both"/>
            </w:pPr>
            <w:r>
              <w:t xml:space="preserve">Level 1: Initial — ad hoc, individual heroics.</w:t>
            </w:r>
          </w:p>
          <w:p>
            <w:pPr>
              <w:spacing w:after="60" w:line="280"/>
              <w:jc w:val="both"/>
            </w:pPr>
            <w:r>
              <w:t xml:space="preserve">Level 2: Under Development — basic processes emerging.</w:t>
            </w:r>
          </w:p>
          <w:p>
            <w:pPr>
              <w:spacing w:after="60" w:line="280"/>
              <w:jc w:val="both"/>
            </w:pPr>
            <w:r>
              <w:t xml:space="preserve">Level 3: Defined — documented, repeatable processes (the minimum viable level for most enterprises).</w:t>
            </w:r>
          </w:p>
          <w:p>
            <w:pPr>
              <w:spacing w:after="60" w:line="280"/>
              <w:jc w:val="both"/>
            </w:pPr>
            <w:r>
              <w:t xml:space="preserve">Level 4: Managed — measured and controlled.</w:t>
            </w:r>
          </w:p>
          <w:p>
            <w:pPr>
              <w:spacing w:after="60" w:line="280"/>
              <w:jc w:val="both"/>
            </w:pPr>
            <w:r>
              <w:t xml:space="preserve">Level 5: Measured — continuously improving.</w:t>
            </w:r>
          </w:p>
          <w:p>
            <w:pPr>
              <w:spacing w:after="60" w:line="280"/>
              <w:jc w:val="both"/>
            </w:pPr>
            <w:r>
              <w:t xml:space="preserve">Mnemonic: "None, Initial, Under-Dev, Defined, Managed, Measured" — said in order; or pronounce as 'NIUDMM' if you prefer initials.</w:t>
            </w:r>
          </w:p>
          <w:p>
            <w:pPr>
              <w:spacing w:after="60" w:line="280"/>
              <w:jc w:val="both"/>
            </w:pPr>
            <w:r>
              <w:t xml:space="preserve">Critical: Level 3 is the MINIMUM VIABLE for most enterprises. Skipping levels (Level 1 to Level 4) is rarely successful. Module 13 covered this in depth.</w:t>
            </w:r>
          </w:p>
        </w:tc>
      </w:tr>
    </w:tbl>
    <w:p>
      <w:pPr>
        <w:pStyle w:val="Heading2"/>
        <w:spacing w:after="160" w:before="280"/>
      </w:pPr>
      <w:r>
        <w:rPr>
          <w:b/>
          <w:bCs/>
          <w:color w:val="2E75B6"/>
        </w:rPr>
        <w:t xml:space="preserve">4.6 The Six Architecture Compliance Review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8"/>
              <w:left w:val="single" w:color="548235" w:sz="24"/>
              <w:bottom w:val="single" w:color="548235" w:sz="8"/>
              <w:right w:val="single" w:color="548235" w:sz="4"/>
            </w:tcBorders>
            <w:shd w:fill="E2EFDA" w:val="clear"/>
            <w:tcMar>
              <w:top w:type="dxa" w:w="160"/>
              <w:left w:type="dxa" w:w="200"/>
              <w:bottom w:type="dxa" w:w="160"/>
              <w:right w:type="dxa" w:w="200"/>
            </w:tcMar>
          </w:tcPr>
          <w:p>
            <w:pPr>
              <w:spacing w:after="80"/>
            </w:pPr>
            <w:r>
              <w:rPr>
                <w:b/>
                <w:bCs/>
                <w:color w:val="375623"/>
              </w:rPr>
              <w:t xml:space="preserve">🧠 Compliance Review Levels — Module 8</w:t>
            </w:r>
          </w:p>
          <w:p>
            <w:pPr>
              <w:spacing w:after="60" w:line="280"/>
              <w:jc w:val="both"/>
            </w:pPr>
            <w:r>
              <w:t xml:space="preserve">Six levels from highest non-compliance to highest compliance:</w:t>
            </w:r>
          </w:p>
          <w:p>
            <w:pPr>
              <w:spacing w:after="60" w:line="280"/>
              <w:jc w:val="both"/>
            </w:pPr>
            <w:r>
              <w:t xml:space="preserve">Irrelevant → Consistent → Compliant → Conformant → Fully Conformant → Non-Conformant.</w:t>
            </w:r>
          </w:p>
          <w:p>
            <w:pPr>
              <w:spacing w:after="60" w:line="280"/>
              <w:jc w:val="both"/>
            </w:pPr>
            <w:r>
              <w:t xml:space="preserve">Note: 'Non-Conformant' is the WORST and 'Fully Conformant' is the BEST. The two terms look similar — be careful.</w:t>
            </w:r>
          </w:p>
          <w:p>
            <w:pPr>
              <w:spacing w:after="60" w:line="280"/>
              <w:jc w:val="both"/>
            </w:pPr>
            <w:r>
              <w:t xml:space="preserve">Mnemonic: ICCC-FN — Irrelevant, Consistent, Compliant, Conformant, Fully-Conformant, Non-Conformant.</w:t>
            </w:r>
          </w:p>
          <w:p>
            <w:pPr>
              <w:spacing w:after="60" w:line="280"/>
              <w:jc w:val="both"/>
            </w:pPr>
            <w:r>
              <w:t xml:space="preserve">OR: think of it as four compliance levels (Irrelevant, Consistent, Compliant, Conformant) with two endpoints (Fully Conformant for full alignment; Non-Conformant for active divergence).</w:t>
            </w:r>
          </w:p>
        </w:tc>
      </w:tr>
    </w:tbl>
    <w:p>
      <w:pPr>
        <w:pStyle w:val="Heading2"/>
        <w:spacing w:after="160" w:before="280"/>
      </w:pPr>
      <w:r>
        <w:rPr>
          <w:b/>
          <w:bCs/>
          <w:color w:val="2E75B6"/>
        </w:rPr>
        <w:t xml:space="preserve">4.7 The Eleven Standard Deliverable Templates</w:t>
      </w:r>
    </w:p>
    <w:p>
      <w:pPr>
        <w:spacing w:after="120" w:line="300"/>
        <w:jc w:val="both"/>
      </w:pPr>
      <w:r>
        <w:t xml:space="preserve">Module 24 covered the eleven artefacts. The mnemonic for these is less crisp because the eleven do not have natural ordering, but grouping helps recall: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8"/>
              <w:left w:val="single" w:color="548235" w:sz="24"/>
              <w:bottom w:val="single" w:color="548235" w:sz="8"/>
              <w:right w:val="single" w:color="548235" w:sz="4"/>
            </w:tcBorders>
            <w:shd w:fill="E2EFDA" w:val="clear"/>
            <w:tcMar>
              <w:top w:type="dxa" w:w="160"/>
              <w:left w:type="dxa" w:w="200"/>
              <w:bottom w:type="dxa" w:w="160"/>
              <w:right w:type="dxa" w:w="200"/>
            </w:tcMar>
          </w:tcPr>
          <w:p>
            <w:pPr>
              <w:spacing w:after="80"/>
            </w:pPr>
            <w:r>
              <w:rPr>
                <w:b/>
                <w:bCs/>
                <w:color w:val="375623"/>
              </w:rPr>
              <w:t xml:space="preserve">🧠 Eleven Artefacts — Grouped</w:t>
            </w:r>
          </w:p>
          <w:p>
            <w:pPr>
              <w:spacing w:after="60" w:line="280"/>
              <w:jc w:val="both"/>
            </w:pPr>
            <w:r>
              <w:t xml:space="preserve">INITIATION (2): Architecture Vision; Statement of Architecture Work.</w:t>
            </w:r>
          </w:p>
          <w:p>
            <w:pPr>
              <w:spacing w:after="60" w:line="280"/>
              <w:jc w:val="both"/>
            </w:pPr>
            <w:r>
              <w:t xml:space="preserve">DESIGN (2): Architecture Definition Document; Architecture Requirements Specification.</w:t>
            </w:r>
          </w:p>
          <w:p>
            <w:pPr>
              <w:spacing w:after="60" w:line="280"/>
              <w:jc w:val="both"/>
            </w:pPr>
            <w:r>
              <w:t xml:space="preserve">ANALYSIS (3): Gap Analysis Table; Stakeholder Map / Matrix; Capability Heat Map.</w:t>
            </w:r>
          </w:p>
          <w:p>
            <w:pPr>
              <w:spacing w:after="60" w:line="280"/>
              <w:jc w:val="both"/>
            </w:pPr>
            <w:r>
              <w:t xml:space="preserve">GOVERNANCE (3): Architecture Principles Catalogue; Architecture Decision Record; Architecture Contract.</w:t>
            </w:r>
          </w:p>
          <w:p>
            <w:pPr>
              <w:spacing w:after="60" w:line="280"/>
              <w:jc w:val="both"/>
            </w:pPr>
            <w:r>
              <w:t xml:space="preserve">PLANNING (1): Architecture Roadmap.</w:t>
            </w:r>
          </w:p>
          <w:p>
            <w:pPr>
              <w:spacing w:after="60" w:line="280"/>
              <w:jc w:val="both"/>
            </w:pPr>
            <w:r>
              <w:t xml:space="preserve">Total: 2 + 2 + 3 + 3 + 1 = 11. Recalling the five categories (and the count per category) reconstructs the full set.</w:t>
            </w:r>
          </w:p>
        </w:tc>
      </w:tr>
    </w:tbl>
    <w:p>
      <w:r>
        <w:br w:type="page"/>
      </w:r>
    </w:p>
    <w:p>
      <w:pPr>
        <w:pStyle w:val="Heading1"/>
        <w:spacing w:after="200" w:before="360"/>
      </w:pPr>
      <w:r>
        <w:rPr>
          <w:b/>
          <w:bCs/>
          <w:color w:val="1F4E78"/>
        </w:rPr>
        <w:t xml:space="preserve">5. Common Exam Traps</w:t>
      </w:r>
    </w:p>
    <w:p>
      <w:pPr>
        <w:spacing w:after="120" w:line="300"/>
        <w:jc w:val="both"/>
      </w:pPr>
      <w:r>
        <w:t xml:space="preserve">Several specific confusions appear repeatedly in TOGAF exams as the basis for distracters that look correct but are not. Knowing the traps in advance lets you spot them when they appear. Eight recur most frequently.</w:t>
      </w:r>
    </w:p>
    <w:p>
      <w:pPr>
        <w:pStyle w:val="Heading2"/>
        <w:spacing w:after="160" w:before="280"/>
      </w:pPr>
      <w:r>
        <w:rPr>
          <w:b/>
          <w:bCs/>
          <w:color w:val="2E75B6"/>
        </w:rPr>
        <w:t xml:space="preserve">5.1 Trap 1: TRM as Taxonomy, Not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TRM Is a TAXONOMY, NOT an Architecture</w:t>
            </w:r>
          </w:p>
          <w:p>
            <w:pPr>
              <w:spacing w:after="60" w:line="280"/>
              <w:jc w:val="both"/>
            </w:pPr>
            <w:r>
              <w:t xml:space="preserve">The Technical Reference Model (TRM) is a TAXONOMY — a classification scheme for technology services. It is NOT itself a technology architecture. It tells you HOW to organise your technology architecture, not WHAT your technology architecture should be.</w:t>
            </w:r>
          </w:p>
          <w:p>
            <w:pPr>
              <w:spacing w:after="60" w:line="280"/>
              <w:jc w:val="both"/>
            </w:pPr>
            <w:r>
              <w:t xml:space="preserve">Foundation distractors will offer 'the TRM is a reference architecture for technology' or 'the TRM defines the technology stack to use'. Both are wrong. The TRM provides the categories; specific technology choices populate those categories.</w:t>
            </w:r>
          </w:p>
          <w:p>
            <w:pPr>
              <w:spacing w:after="60" w:line="280"/>
              <w:jc w:val="both"/>
            </w:pPr>
            <w:r>
              <w:t xml:space="preserve">Module 16 covered this distinction in depth. The exam tests it frequently.</w:t>
            </w:r>
          </w:p>
        </w:tc>
      </w:tr>
    </w:tbl>
    <w:p>
      <w:pPr>
        <w:pStyle w:val="Heading2"/>
        <w:spacing w:after="160" w:before="280"/>
      </w:pPr>
      <w:r>
        <w:rPr>
          <w:b/>
          <w:bCs/>
          <w:color w:val="2E75B6"/>
        </w:rPr>
        <w:t xml:space="preserve">5.2 Trap 2: Continuum vs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Continuum vs Repository — Concept vs Container</w:t>
            </w:r>
          </w:p>
          <w:p>
            <w:pPr>
              <w:spacing w:after="60" w:line="280"/>
              <w:jc w:val="both"/>
            </w:pPr>
            <w:r>
              <w:t xml:space="preserve">The Enterprise CONTINUUM is the conceptual classification scheme (the four classes from generic Foundation to specific Organisation-Specific). It is a concept — a way of thinking about architectural content's specificity.</w:t>
            </w:r>
          </w:p>
          <w:p>
            <w:pPr>
              <w:spacing w:after="60" w:line="280"/>
              <w:jc w:val="both"/>
            </w:pPr>
            <w:r>
              <w:t xml:space="preserve">The Architecture REPOSITORY is the physical container — the actual tool/system holding architectural content (with its six content classes including the SIB, Reference Library, Governance Log).</w:t>
            </w:r>
          </w:p>
          <w:p>
            <w:pPr>
              <w:spacing w:after="60" w:line="280"/>
              <w:jc w:val="both"/>
            </w:pPr>
            <w:r>
              <w:t xml:space="preserve">Distracters confuse the two: 'the Architecture Repository contains four classes' (wrong — that's the Continuum) or 'the Continuum is the storage system' (wrong — that's the Repository). Continuum = concept; Repository = container.</w:t>
            </w:r>
          </w:p>
        </w:tc>
      </w:tr>
    </w:tbl>
    <w:p>
      <w:pPr>
        <w:pStyle w:val="Heading2"/>
        <w:spacing w:after="160" w:before="280"/>
      </w:pPr>
      <w:r>
        <w:rPr>
          <w:b/>
          <w:bCs/>
          <w:color w:val="2E75B6"/>
        </w:rPr>
        <w:t xml:space="preserve">5.3 Trap 3: View vs Viewpoint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View vs Viewpoint (ISO 42010)</w:t>
            </w:r>
          </w:p>
          <w:p>
            <w:pPr>
              <w:spacing w:after="60" w:line="280"/>
              <w:jc w:val="both"/>
            </w:pPr>
            <w:r>
              <w:t xml:space="preserve">From ISO 42010, covered in Module 3:</w:t>
            </w:r>
          </w:p>
          <w:p>
            <w:pPr>
              <w:spacing w:after="60" w:line="280"/>
              <w:jc w:val="both"/>
            </w:pPr>
            <w:r>
              <w:t xml:space="preserve">VIEWPOINT: the SPECIFICATION — the perspective and conventions for creating views (the lens definition; the camera type).</w:t>
            </w:r>
          </w:p>
          <w:p>
            <w:pPr>
              <w:spacing w:after="60" w:line="280"/>
              <w:jc w:val="both"/>
            </w:pPr>
            <w:r>
              <w:t xml:space="preserve">VIEW: the resulting REPRESENTATION — the actual diagram or model produced by applying the viewpoint (the photograph; the image taken through the camera).</w:t>
            </w:r>
          </w:p>
          <w:p>
            <w:pPr>
              <w:spacing w:after="60" w:line="280"/>
              <w:jc w:val="both"/>
            </w:pPr>
            <w:r>
              <w:t xml:space="preserve">The viewpoint is reusable across many architectures; the view is specific to one architecture. 'The Process Cooperation Viewpoint' is a standard specification; 'the Onboarding Process Cooperation View for Acme Bank' is one application of that viewpoint.</w:t>
            </w:r>
          </w:p>
          <w:p>
            <w:pPr>
              <w:spacing w:after="60" w:line="280"/>
              <w:jc w:val="both"/>
            </w:pPr>
            <w:r>
              <w:t xml:space="preserve">Foundation distractors may swap the terms or describe a view as a viewpoint specification. Read carefully.</w:t>
            </w:r>
          </w:p>
        </w:tc>
      </w:tr>
    </w:tbl>
    <w:p>
      <w:pPr>
        <w:pStyle w:val="Heading2"/>
        <w:spacing w:after="160" w:before="280"/>
      </w:pPr>
      <w:r>
        <w:rPr>
          <w:b/>
          <w:bCs/>
          <w:color w:val="2E75B6"/>
        </w:rPr>
        <w:t xml:space="preserve">5.4 Trap 4: Phase B/C/D Are Domains, Not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Phases B, C, D Cover Domains — Order Is Tailorable</w:t>
            </w:r>
          </w:p>
          <w:p>
            <w:pPr>
              <w:spacing w:after="60" w:line="280"/>
              <w:jc w:val="both"/>
            </w:pPr>
            <w:r>
              <w:t xml:space="preserve">Phase B = Business Architecture; Phase C = Information Systems Architecture (Data + Application sub-phases); Phase D = Technology Architecture.</w:t>
            </w:r>
          </w:p>
          <w:p>
            <w:pPr>
              <w:spacing w:after="60" w:line="280"/>
              <w:jc w:val="both"/>
            </w:pPr>
            <w:r>
              <w:t xml:space="preserve">These are domain phases — the order in which they are typically executed is B → C → D, but this order can be tailored. Some engagements run them in parallel; some run technology first; some skip a phase.</w:t>
            </w:r>
          </w:p>
          <w:p>
            <w:pPr>
              <w:spacing w:after="60" w:line="280"/>
              <w:jc w:val="both"/>
            </w:pPr>
            <w:r>
              <w:t xml:space="preserve">Distracters will assert 'B must always precede C' as a rule. It is a typical pattern, not a rule.</w:t>
            </w:r>
          </w:p>
        </w:tc>
      </w:tr>
    </w:tbl>
    <w:p>
      <w:pPr>
        <w:pStyle w:val="Heading2"/>
        <w:spacing w:after="160" w:before="280"/>
      </w:pPr>
      <w:r>
        <w:rPr>
          <w:b/>
          <w:bCs/>
          <w:color w:val="2E75B6"/>
        </w:rPr>
        <w:t xml:space="preserve">5.5 Trap 5: Information Systems Architecture = TWO Sub-Phases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Phase C Is Information Systems Architecture — Has TWO Sub-Phases</w:t>
            </w:r>
          </w:p>
          <w:p>
            <w:pPr>
              <w:spacing w:after="60" w:line="280"/>
              <w:jc w:val="both"/>
            </w:pPr>
            <w:r>
              <w:t xml:space="preserve">Phase C is called Information Systems Architecture and contains BOTH the Data Architecture sub-phase AND the Application Architecture sub-phase.</w:t>
            </w:r>
          </w:p>
          <w:p>
            <w:pPr>
              <w:spacing w:after="60" w:line="280"/>
              <w:jc w:val="both"/>
            </w:pPr>
            <w:r>
              <w:t xml:space="preserve">Common confusion: candidates think Data is Phase C and Application is Phase D. WRONG. Data and Application are both within Phase C. Phase D is Technology Architecture (infrastructure, platforms, networks).</w:t>
            </w:r>
          </w:p>
          <w:p>
            <w:pPr>
              <w:spacing w:after="60" w:line="280"/>
              <w:jc w:val="both"/>
            </w:pPr>
            <w:r>
              <w:t xml:space="preserve">If a question references 'Phase C-Data' or 'Phase C-App', this is the correct nomenclature. If a question implies Application is in Phase D, it is testing the trap.</w:t>
            </w:r>
          </w:p>
        </w:tc>
      </w:tr>
    </w:tbl>
    <w:p>
      <w:pPr>
        <w:pStyle w:val="Heading2"/>
        <w:spacing w:after="160" w:before="280"/>
      </w:pPr>
      <w:r>
        <w:rPr>
          <w:b/>
          <w:bCs/>
          <w:color w:val="2E75B6"/>
        </w:rPr>
        <w:t xml:space="preserve">5.6 Trap 6: SIB = Mandatory; Reference Library = Advisory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SIB vs Reference Library</w:t>
            </w:r>
          </w:p>
          <w:p>
            <w:pPr>
              <w:spacing w:after="60" w:line="280"/>
              <w:jc w:val="both"/>
            </w:pPr>
            <w:r>
              <w:t xml:space="preserve">The Standards Information Base (SIB) holds standards the enterprise has FORMALLY ADOPTED. These are MANDATORY. Deviations require dispensations.</w:t>
            </w:r>
          </w:p>
          <w:p>
            <w:pPr>
              <w:spacing w:after="60" w:line="280"/>
              <w:jc w:val="both"/>
            </w:pPr>
            <w:r>
              <w:t xml:space="preserve">The Reference Library holds reference material — patterns, templates, vendor architectures, externally-published reference models. These are ADVISORY. Architects consult them but are not bound by them.</w:t>
            </w:r>
          </w:p>
          <w:p>
            <w:pPr>
              <w:spacing w:after="60" w:line="280"/>
              <w:jc w:val="both"/>
            </w:pPr>
            <w:r>
              <w:t xml:space="preserve">The two are easy to conflate (both are repository content classes). The mandatory/advisory distinction is what distinguishes them.</w:t>
            </w:r>
          </w:p>
        </w:tc>
      </w:tr>
    </w:tbl>
    <w:p>
      <w:pPr>
        <w:pStyle w:val="Heading2"/>
        <w:spacing w:after="160" w:before="280"/>
      </w:pPr>
      <w:r>
        <w:rPr>
          <w:b/>
          <w:bCs/>
          <w:color w:val="2E75B6"/>
        </w:rPr>
        <w:t xml:space="preserve">5.7 Trap 7: ABB vs SBB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Architecture Building Block (ABB) vs Solution Building Block (SBB)</w:t>
            </w:r>
          </w:p>
          <w:p>
            <w:pPr>
              <w:spacing w:after="60" w:line="280"/>
              <w:jc w:val="both"/>
            </w:pPr>
            <w:r>
              <w:t xml:space="preserve">ABB: defines required FUNCTION and INTERFACES. Technology-independent. Captures WHAT is needed.</w:t>
            </w:r>
          </w:p>
          <w:p>
            <w:pPr>
              <w:spacing w:after="60" w:line="280"/>
              <w:jc w:val="both"/>
            </w:pPr>
            <w:r>
              <w:t xml:space="preserve">SBB: provides the IMPLEMENTATION. Technology-specific. Captures HOW the function is realised.</w:t>
            </w:r>
          </w:p>
          <w:p>
            <w:pPr>
              <w:spacing w:after="60" w:line="280"/>
              <w:jc w:val="both"/>
            </w:pPr>
            <w:r>
              <w:t xml:space="preserve">ABBs typically come from earlier phases (B/C/D); SBBs are introduced and selected in Phase E. Multiple SBBs may realise one ABB.</w:t>
            </w:r>
          </w:p>
          <w:p>
            <w:pPr>
              <w:spacing w:after="60" w:line="280"/>
              <w:jc w:val="both"/>
            </w:pPr>
            <w:r>
              <w:t xml:space="preserve">Distracters: 'an ABB is a specific product' (wrong — that's an SBB) or 'an SBB is technology-independent' (wrong — that's an ABB).</w:t>
            </w:r>
          </w:p>
        </w:tc>
      </w:tr>
    </w:tbl>
    <w:p>
      <w:pPr>
        <w:pStyle w:val="Heading2"/>
        <w:spacing w:after="160" w:before="280"/>
      </w:pPr>
      <w:r>
        <w:rPr>
          <w:b/>
          <w:bCs/>
          <w:color w:val="2E75B6"/>
        </w:rPr>
        <w:t xml:space="preserve">5.8 Trap 8: Architecture Vision Is Phase A's Output, Not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Architecture Vision — Specific TOGAF Artefact</w:t>
            </w:r>
          </w:p>
          <w:p>
            <w:pPr>
              <w:spacing w:after="60" w:line="280"/>
              <w:jc w:val="both"/>
            </w:pPr>
            <w:r>
              <w:t xml:space="preserve">The 'Architecture Vision' in TOGAF is a specific deliverable produced in Phase A. It is a multi-page document covering problem, stakeholders, drivers, target sketch, value proposition, scope, risks, and recommendation.</w:t>
            </w:r>
          </w:p>
          <w:p>
            <w:pPr>
              <w:spacing w:after="60" w:line="280"/>
              <w:jc w:val="both"/>
            </w:pPr>
            <w:r>
              <w:t xml:space="preserve">Distracters will use 'Architecture Vision' to mean a one-line aspirational statement ("we will be a digital-first bank"). That is a vision statement, not the TOGAF Architecture Vision. The TOGAF artefact is much more substantive.</w:t>
            </w:r>
          </w:p>
          <w:p>
            <w:pPr>
              <w:spacing w:after="60" w:line="280"/>
              <w:jc w:val="both"/>
            </w:pPr>
            <w:r>
              <w:t xml:space="preserve">Module 24 covered the Architecture Vision in detail.</w:t>
            </w:r>
          </w:p>
        </w:tc>
      </w:tr>
    </w:tbl>
    <w:p>
      <w:r>
        <w:br w:type="page"/>
      </w:r>
    </w:p>
    <w:p>
      <w:pPr>
        <w:pStyle w:val="Heading1"/>
        <w:spacing w:after="200" w:before="360"/>
      </w:pPr>
      <w:r>
        <w:rPr>
          <w:b/>
          <w:bCs/>
          <w:color w:val="1F4E78"/>
        </w:rPr>
        <w:t xml:space="preserve">6. Forty-Term Must-Know Glossary</w:t>
      </w:r>
    </w:p>
    <w:p>
      <w:pPr>
        <w:spacing w:after="120" w:line="300"/>
        <w:jc w:val="both"/>
      </w:pPr>
      <w:r>
        <w:t xml:space="preserve">The TOGAF Standard contains hundreds of defined terms. These forty are the ones tested most consistently — recognising each by sight and being able to define each from memory is the minimum vocabulary for Foundation.</w:t>
      </w:r>
    </w:p>
    <w:p>
      <w:pPr>
        <w:pStyle w:val="Heading2"/>
        <w:spacing w:after="160" w:before="280"/>
      </w:pPr>
      <w:r>
        <w:rPr>
          <w:b/>
          <w:bCs/>
          <w:color w:val="2E75B6"/>
        </w:rPr>
        <w:t xml:space="preserve">6.1 Core Concepts (10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Term</w:t>
            </w:r>
          </w:p>
        </w:tc>
        <w:tc>
          <w:tcPr>
            <w:tcW w:type="dxa" w:w="58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One-Line Definition</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Enterprise Architecture</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Strategic discipline for aligning IT with business strategy across the four BDAT domains</w:t>
            </w:r>
          </w:p>
        </w:tc>
      </w:tr>
      <w:tr>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TOGAF Standard</w:t>
            </w:r>
          </w:p>
        </w:tc>
        <w:tc>
          <w:tcPr>
            <w:tcW w:type="dxa" w:w="5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The Open Group Architecture Framework — the published method for enterprise architecture</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ADM (Architecture Development Method)</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TOGAF's iterative method for developing architecture; Preliminary + A through H + Requirements Management</w:t>
            </w:r>
          </w:p>
        </w:tc>
      </w:tr>
      <w:tr>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Enterprise Continuum</w:t>
            </w:r>
          </w:p>
        </w:tc>
        <w:tc>
          <w:tcPr>
            <w:tcW w:type="dxa" w:w="5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Classification scheme for architectural content from generic (Foundation) to specific (Organisation-Specific)</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Repository</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The container holding architectural content; six content classes including SIB, Reference Library, Governance Log</w:t>
            </w:r>
          </w:p>
        </w:tc>
      </w:tr>
      <w:tr>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Content Framework</w:t>
            </w:r>
          </w:p>
        </w:tc>
        <w:tc>
          <w:tcPr>
            <w:tcW w:type="dxa" w:w="5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TOGAF's structure for describing architectural artefacts (Catalogues, Matrices, Diagrams)</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Capability Framework</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TOGAF's specification for the architecture function itself — Board, governance, skills</w:t>
            </w:r>
          </w:p>
        </w:tc>
      </w:tr>
      <w:tr>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BDAT</w:t>
            </w:r>
          </w:p>
        </w:tc>
        <w:tc>
          <w:tcPr>
            <w:tcW w:type="dxa" w:w="5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The four architecture domains: Business, Data, Application, Technology</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Stakeholder</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Individual, team, or organisation with an interest in the architecture</w:t>
            </w:r>
          </w:p>
        </w:tc>
      </w:tr>
      <w:tr>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Concern</w:t>
            </w:r>
          </w:p>
        </w:tc>
        <w:tc>
          <w:tcPr>
            <w:tcW w:type="dxa" w:w="5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 specific interest a stakeholder has in the architecture</w:t>
            </w:r>
          </w:p>
        </w:tc>
      </w:tr>
    </w:tbl>
    <w:p>
      <w:pPr>
        <w:pStyle w:val="Heading2"/>
        <w:spacing w:after="160" w:before="280"/>
      </w:pPr>
      <w:r>
        <w:rPr>
          <w:b/>
          <w:bCs/>
          <w:color w:val="2E75B6"/>
        </w:rPr>
        <w:t xml:space="preserve">6.2 Building Blocks and Artefacts (8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Term</w:t>
            </w:r>
          </w:p>
        </w:tc>
        <w:tc>
          <w:tcPr>
            <w:tcW w:type="dxa" w:w="58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One-Line Definition</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Building Block (ABB)</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Required function and interfaces; technology-independent</w:t>
            </w:r>
          </w:p>
        </w:tc>
      </w:tr>
      <w:tr>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Solution Building Block (SBB)</w:t>
            </w:r>
          </w:p>
        </w:tc>
        <w:tc>
          <w:tcPr>
            <w:tcW w:type="dxa" w:w="5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Implementation realising an ABB; technology-specific</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Vision</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Phase A artefact capturing engagement purpose, stakeholders, target sketch, value proposition</w:t>
            </w:r>
          </w:p>
        </w:tc>
      </w:tr>
      <w:tr>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Statement of Architecture Work (SoAW)</w:t>
            </w:r>
          </w:p>
        </w:tc>
        <w:tc>
          <w:tcPr>
            <w:tcW w:type="dxa" w:w="5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Phase A artefact contracting the engagement: scope, deliverables, schedule, resources</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Definition Document (ADD)</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Substantive design artefact; one per BDAT domain; baseline + target + ABBs + decisions</w:t>
            </w:r>
          </w:p>
        </w:tc>
      </w:tr>
      <w:tr>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Requirements Specification (ARS)</w:t>
            </w:r>
          </w:p>
        </w:tc>
        <w:tc>
          <w:tcPr>
            <w:tcW w:type="dxa" w:w="5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Cross-phase artefact capturing all architecturally-significant requirements with traceability</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Roadmap</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Phase E output: Transition Architectures, Capability Increments, Work Packages over time</w:t>
            </w:r>
          </w:p>
        </w:tc>
      </w:tr>
      <w:tr>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Contract</w:t>
            </w:r>
          </w:p>
        </w:tc>
        <w:tc>
          <w:tcPr>
            <w:tcW w:type="dxa" w:w="5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Phase G artefact: per delivery project, commitments + reviews + dispensation process</w:t>
            </w:r>
          </w:p>
        </w:tc>
      </w:tr>
    </w:tbl>
    <w:p>
      <w:pPr>
        <w:pStyle w:val="Heading2"/>
        <w:spacing w:after="160" w:before="280"/>
      </w:pPr>
      <w:r>
        <w:rPr>
          <w:b/>
          <w:bCs/>
          <w:color w:val="2E75B6"/>
        </w:rPr>
        <w:t xml:space="preserve">6.3 Repository and Continuum (6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Term</w:t>
            </w:r>
          </w:p>
        </w:tc>
        <w:tc>
          <w:tcPr>
            <w:tcW w:type="dxa" w:w="58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One-Line Definition</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Foundation Architecture</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Most generic Continuum class; TRM lives here</w:t>
            </w:r>
          </w:p>
        </w:tc>
      </w:tr>
      <w:tr>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Common Systems Architecture</w:t>
            </w:r>
          </w:p>
        </w:tc>
        <w:tc>
          <w:tcPr>
            <w:tcW w:type="dxa" w:w="5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Cross-industry architectures; III-RM lives here</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Industry Architecture</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Industry-specific (BIAN for banking, eTOM for telco, HL7 for healthcare, ARTS for retail)</w:t>
            </w:r>
          </w:p>
        </w:tc>
      </w:tr>
      <w:tr>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Organisation-Specific Architecture</w:t>
            </w:r>
          </w:p>
        </w:tc>
        <w:tc>
          <w:tcPr>
            <w:tcW w:type="dxa" w:w="5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Most specific Continuum class — your enterprise's unique architecture</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Standards Information Base (SIB)</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Adopted standards (MANDATORY; deviations require dispensation)</w:t>
            </w:r>
          </w:p>
        </w:tc>
      </w:tr>
      <w:tr>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Reference Library</w:t>
            </w:r>
          </w:p>
        </w:tc>
        <w:tc>
          <w:tcPr>
            <w:tcW w:type="dxa" w:w="5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Reference material (ADVISORY; not mandatory)</w:t>
            </w:r>
          </w:p>
        </w:tc>
      </w:tr>
    </w:tbl>
    <w:p>
      <w:pPr>
        <w:pStyle w:val="Heading2"/>
        <w:spacing w:after="160" w:before="280"/>
      </w:pPr>
      <w:r>
        <w:rPr>
          <w:b/>
          <w:bCs/>
          <w:color w:val="2E75B6"/>
        </w:rPr>
        <w:t xml:space="preserve">6.4 Governance and Maturity (6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Term</w:t>
            </w:r>
          </w:p>
        </w:tc>
        <w:tc>
          <w:tcPr>
            <w:tcW w:type="dxa" w:w="58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One-Line Definition</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Board</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Cross-organisational governance body; approves Principles, dispensations, significant decisions</w:t>
            </w:r>
          </w:p>
        </w:tc>
      </w:tr>
      <w:tr>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Compliance Review</w:t>
            </w:r>
          </w:p>
        </w:tc>
        <w:tc>
          <w:tcPr>
            <w:tcW w:type="dxa" w:w="5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Phase G review assessing whether delivery aligns with architecture</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Dispensation</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Time-bounded approved exception from architectural commitment</w:t>
            </w:r>
          </w:p>
        </w:tc>
      </w:tr>
      <w:tr>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ACMM (Architecture Capability Maturity Model)</w:t>
            </w:r>
          </w:p>
        </w:tc>
        <w:tc>
          <w:tcPr>
            <w:tcW w:type="dxa" w:w="5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Six-level (0-5) maturity model; Level 3 (Defined) is minimum viable</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Principle</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Durable rule constraining architectural decisions; four-part format (Name, Statement, Rationale, Implications)</w:t>
            </w:r>
          </w:p>
        </w:tc>
      </w:tr>
      <w:tr>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Decision Record (ADR)</w:t>
            </w:r>
          </w:p>
        </w:tc>
        <w:tc>
          <w:tcPr>
            <w:tcW w:type="dxa" w:w="5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Short document capturing one architectural decision (context, decision, consequences)</w:t>
            </w:r>
          </w:p>
        </w:tc>
      </w:tr>
    </w:tbl>
    <w:p>
      <w:pPr>
        <w:pStyle w:val="Heading2"/>
        <w:spacing w:after="160" w:before="280"/>
      </w:pPr>
      <w:r>
        <w:rPr>
          <w:b/>
          <w:bCs/>
          <w:color w:val="2E75B6"/>
        </w:rPr>
        <w:t xml:space="preserve">6.5 Phases and Iteration (5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Term</w:t>
            </w:r>
          </w:p>
        </w:tc>
        <w:tc>
          <w:tcPr>
            <w:tcW w:type="dxa" w:w="58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One-Line Definition</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Preliminary Phase</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Establishes the architecture practice and tailors the ADM; precedes Phase A</w:t>
            </w:r>
          </w:p>
        </w:tc>
      </w:tr>
      <w:tr>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Information Systems Architecture</w:t>
            </w:r>
          </w:p>
        </w:tc>
        <w:tc>
          <w:tcPr>
            <w:tcW w:type="dxa" w:w="5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Phase C; contains Data Architecture and Application Architecture sub-phases</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Transition Architecture</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Intermediate state between baseline and target; named TA1, TA2, etc.</w:t>
            </w:r>
          </w:p>
        </w:tc>
      </w:tr>
      <w:tr>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Capability Increment</w:t>
            </w:r>
          </w:p>
        </w:tc>
        <w:tc>
          <w:tcPr>
            <w:tcW w:type="dxa" w:w="5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Discrete, measurable, time-boxed capability uplift delivered by a Transition Architecture</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Work Package</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Unit of delivery work producing a Transition Architecture or part of one</w:t>
            </w:r>
          </w:p>
        </w:tc>
      </w:tr>
    </w:tbl>
    <w:p>
      <w:pPr>
        <w:pStyle w:val="Heading2"/>
        <w:spacing w:after="160" w:before="280"/>
      </w:pPr>
      <w:r>
        <w:rPr>
          <w:b/>
          <w:bCs/>
          <w:color w:val="2E75B6"/>
        </w:rPr>
        <w:t xml:space="preserve">6.6 Techniques and Reference Models (5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Term</w:t>
            </w:r>
          </w:p>
        </w:tc>
        <w:tc>
          <w:tcPr>
            <w:tcW w:type="dxa" w:w="58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One-Line Definition</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Gap Analysis</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Structured comparison of baseline against target; Eliminate / Retain / New per element</w:t>
            </w:r>
          </w:p>
        </w:tc>
      </w:tr>
      <w:tr>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Business Scenario</w:t>
            </w:r>
          </w:p>
        </w:tc>
        <w:tc>
          <w:tcPr>
            <w:tcW w:type="dxa" w:w="5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Technique capturing business context: actors, activities, environment, drivers, value</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Capability-Based Planning</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Planning approach using business capabilities as the unit of investment and measurement</w:t>
            </w:r>
          </w:p>
        </w:tc>
      </w:tr>
      <w:tr>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TRM (Technical Reference Model)</w:t>
            </w:r>
          </w:p>
        </w:tc>
        <w:tc>
          <w:tcPr>
            <w:tcW w:type="dxa" w:w="5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Foundation-class taxonomy for technology services — NOT an architecture itself</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III-RM (Integrated Information Infrastructure Reference Model)</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Common Systems-class reference for boundaryless information access</w:t>
            </w:r>
          </w:p>
        </w:tc>
      </w:tr>
    </w:tbl>
    <w:p>
      <w:pPr>
        <w:pStyle w:val="Heading2"/>
        <w:spacing w:after="160" w:before="280"/>
      </w:pPr>
      <w:r>
        <w:rPr>
          <w:b/>
          <w:bCs/>
          <w:color w:val="2E75B6"/>
        </w:rPr>
        <w:t xml:space="preserve">6.7 How to Use the Glossary</w:t>
      </w:r>
    </w:p>
    <w:p>
      <w:pPr>
        <w:spacing w:after="120" w:line="300"/>
        <w:jc w:val="both"/>
      </w:pPr>
      <w:r>
        <w:t xml:space="preserve">Three uses for the 40-term glossary:</w:t>
      </w:r>
    </w:p>
    <w:p>
      <w:pPr>
        <w:pStyle w:val="ListParagraph"/>
        <w:numPr>
          <w:ilvl w:val="0"/>
          <w:numId w:val="3"/>
        </w:numPr>
        <w:spacing w:after="80" w:line="280"/>
      </w:pPr>
      <w:r>
        <w:t xml:space="preserve">Recognition test — read each term and check you can define it without looking. Terms you cannot define are revision priorities.</w:t>
      </w:r>
    </w:p>
    <w:p>
      <w:pPr>
        <w:pStyle w:val="ListParagraph"/>
        <w:numPr>
          <w:ilvl w:val="0"/>
          <w:numId w:val="3"/>
        </w:numPr>
        <w:spacing w:after="80" w:line="280"/>
      </w:pPr>
      <w:r>
        <w:t xml:space="preserve">Discrimination test — for related terms (Continuum vs Repository; ABB vs SBB; SIB vs Reference Library; Compliance Review levels), articulate the distinguishing feature aloud.</w:t>
      </w:r>
    </w:p>
    <w:p>
      <w:pPr>
        <w:pStyle w:val="ListParagraph"/>
        <w:numPr>
          <w:ilvl w:val="0"/>
          <w:numId w:val="3"/>
        </w:numPr>
        <w:spacing w:after="80" w:line="280"/>
      </w:pPr>
      <w:r>
        <w:t xml:space="preserve">Application test — for each term, name the ADM phase or framework component it lives in. Misplacing a term is a sign of incomplete understanding.</w:t>
      </w:r>
    </w:p>
    <w:p>
      <w:r>
        <w:br w:type="page"/>
      </w:r>
    </w:p>
    <w:p>
      <w:pPr>
        <w:pStyle w:val="Heading1"/>
        <w:spacing w:after="200" w:before="360"/>
      </w:pPr>
      <w:r>
        <w:rPr>
          <w:b/>
          <w:bCs/>
          <w:color w:val="1F4E78"/>
        </w:rPr>
        <w:t xml:space="preserve">7. Study Strategy</w:t>
      </w:r>
    </w:p>
    <w:p>
      <w:pPr>
        <w:spacing w:after="120" w:line="300"/>
        <w:jc w:val="both"/>
      </w:pPr>
      <w:r>
        <w:t xml:space="preserve">This section consolidates the practical study advice that the previous sections have implied. Empirically, candidates following this strategy pass the combined exam at high rates; candidates skipping any of the elements typically need 2-3 attempts.</w:t>
      </w:r>
    </w:p>
    <w:p>
      <w:pPr>
        <w:pStyle w:val="Heading2"/>
        <w:spacing w:after="160" w:before="280"/>
      </w:pPr>
      <w:r>
        <w:rPr>
          <w:b/>
          <w:bCs/>
          <w:color w:val="2E75B6"/>
        </w:rPr>
        <w:t xml:space="preserve">7.1 Phase 1: Substantive Foundation (4-6 weeks)</w:t>
      </w:r>
    </w:p>
    <w:p>
      <w:pPr>
        <w:spacing w:after="120" w:line="300"/>
        <w:jc w:val="both"/>
      </w:pPr>
      <w:r>
        <w:t xml:space="preserve">Work through this study guide's 27 substantive modules systematically. Most candidates pace this at 4-6 weeks of part-time study (10-15 hours/week). The pace is not the point — the pace is what produces real understanding rather than rote facts. Skip this phase at the cost of struggling on Practitioner scenarios where understanding is required, not recognition.</w:t>
      </w:r>
    </w:p>
    <w:p>
      <w:pPr>
        <w:pStyle w:val="Heading2"/>
        <w:spacing w:after="160" w:before="280"/>
      </w:pPr>
      <w:r>
        <w:rPr>
          <w:b/>
          <w:bCs/>
          <w:color w:val="2E75B6"/>
        </w:rPr>
        <w:t xml:space="preserve">7.2 Phase 2: Foundation Practice (1-2 weeks)</w:t>
      </w:r>
    </w:p>
    <w:p>
      <w:pPr>
        <w:spacing w:after="120" w:line="300"/>
        <w:jc w:val="both"/>
      </w:pPr>
      <w:r>
        <w:t xml:space="preserve">Once substantive content is complete, switch to Foundation-style practice questions. Sources include:</w:t>
      </w:r>
    </w:p>
    <w:p>
      <w:pPr>
        <w:pStyle w:val="ListParagraph"/>
        <w:numPr>
          <w:ilvl w:val="0"/>
          <w:numId w:val="2"/>
        </w:numPr>
        <w:spacing w:after="80" w:line="280"/>
      </w:pPr>
      <w:r>
        <w:t xml:space="preserve">Official Open Group sample questions (limited but authoritative).</w:t>
      </w:r>
    </w:p>
    <w:p>
      <w:pPr>
        <w:pStyle w:val="ListParagraph"/>
        <w:numPr>
          <w:ilvl w:val="0"/>
          <w:numId w:val="2"/>
        </w:numPr>
        <w:spacing w:after="80" w:line="280"/>
      </w:pPr>
      <w:r>
        <w:t xml:space="preserve">Accredited training provider question banks (typically 200-500 questions).</w:t>
      </w:r>
    </w:p>
    <w:p>
      <w:pPr>
        <w:pStyle w:val="ListParagraph"/>
        <w:numPr>
          <w:ilvl w:val="0"/>
          <w:numId w:val="2"/>
        </w:numPr>
        <w:spacing w:after="80" w:line="280"/>
      </w:pPr>
      <w:r>
        <w:t xml:space="preserve">Independent practice platforms (Whizlabs, Pearson VUE, dedicated TOGAF prep sites).</w:t>
      </w:r>
    </w:p>
    <w:p>
      <w:pPr>
        <w:spacing w:after="120" w:line="300"/>
        <w:jc w:val="both"/>
      </w:pPr>
      <w:r>
        <w:t xml:space="preserve">Target: complete 60+ practice questions and consistently score 85%+. Below 85% indicates gaps that need revision before booking the exam. Above 85% indicates exam readiness for the Foundation portion.</w:t>
      </w:r>
    </w:p>
    <w:p>
      <w:pPr>
        <w:pStyle w:val="Heading2"/>
        <w:spacing w:after="160" w:before="280"/>
      </w:pPr>
      <w:r>
        <w:rPr>
          <w:b/>
          <w:bCs/>
          <w:color w:val="2E75B6"/>
        </w:rPr>
        <w:t xml:space="preserve">7.3 Phase 3: Practitioner Practice (2-3 weeks)</w:t>
      </w:r>
    </w:p>
    <w:p>
      <w:pPr>
        <w:spacing w:after="120" w:line="300"/>
        <w:jc w:val="both"/>
      </w:pPr>
      <w:r>
        <w:t xml:space="preserve">Practitioner practice is harder to find — fewer sample scenarios are publicly available. Sources:</w:t>
      </w:r>
    </w:p>
    <w:p>
      <w:pPr>
        <w:pStyle w:val="ListParagraph"/>
        <w:numPr>
          <w:ilvl w:val="0"/>
          <w:numId w:val="2"/>
        </w:numPr>
        <w:spacing w:after="80" w:line="280"/>
      </w:pPr>
      <w:r>
        <w:t xml:space="preserve">Accredited training provider scenario sets.</w:t>
      </w:r>
    </w:p>
    <w:p>
      <w:pPr>
        <w:pStyle w:val="ListParagraph"/>
        <w:numPr>
          <w:ilvl w:val="0"/>
          <w:numId w:val="2"/>
        </w:numPr>
        <w:spacing w:after="80" w:line="280"/>
      </w:pPr>
      <w:r>
        <w:t xml:space="preserve">The Open Group's published sample scenarios.</w:t>
      </w:r>
    </w:p>
    <w:p>
      <w:pPr>
        <w:pStyle w:val="ListParagraph"/>
        <w:numPr>
          <w:ilvl w:val="0"/>
          <w:numId w:val="2"/>
        </w:numPr>
        <w:spacing w:after="80" w:line="280"/>
      </w:pPr>
      <w:r>
        <w:t xml:space="preserve">Practitioner-style questions in mature commercial question banks.</w:t>
      </w:r>
    </w:p>
    <w:p>
      <w:pPr>
        <w:spacing w:after="120" w:line="300"/>
        <w:jc w:val="both"/>
      </w:pPr>
      <w:r>
        <w:t xml:space="preserve">Target: complete 20+ practice scenarios with explained answers. Focus on understanding why the best answer beats the second-best — the gradient scoring rewards understanding nuance.</w:t>
      </w:r>
    </w:p>
    <w:p>
      <w:pPr>
        <w:pStyle w:val="Heading2"/>
        <w:spacing w:after="160" w:before="280"/>
      </w:pPr>
      <w:r>
        <w:rPr>
          <w:b/>
          <w:bCs/>
          <w:color w:val="2E75B6"/>
        </w:rPr>
        <w:t xml:space="preserve">7.4 Phase 4: Final Review (1 week)</w:t>
      </w:r>
    </w:p>
    <w:p>
      <w:pPr>
        <w:spacing w:after="120" w:line="300"/>
        <w:jc w:val="both"/>
      </w:pPr>
      <w:r>
        <w:t xml:space="preserve">In the final week before the exam:</w:t>
      </w:r>
    </w:p>
    <w:p>
      <w:pPr>
        <w:pStyle w:val="ListParagraph"/>
        <w:numPr>
          <w:ilvl w:val="0"/>
          <w:numId w:val="2"/>
        </w:numPr>
        <w:spacing w:after="80" w:line="280"/>
      </w:pPr>
      <w:r>
        <w:t xml:space="preserve">Re-read this module's mnemonics and 40-term glossary.</w:t>
      </w:r>
    </w:p>
    <w:p>
      <w:pPr>
        <w:pStyle w:val="ListParagraph"/>
        <w:numPr>
          <w:ilvl w:val="0"/>
          <w:numId w:val="2"/>
        </w:numPr>
        <w:spacing w:after="80" w:line="280"/>
      </w:pPr>
      <w:r>
        <w:t xml:space="preserve">Re-skim the Module 25 list of common exam traps.</w:t>
      </w:r>
    </w:p>
    <w:p>
      <w:pPr>
        <w:pStyle w:val="ListParagraph"/>
        <w:numPr>
          <w:ilvl w:val="0"/>
          <w:numId w:val="2"/>
        </w:numPr>
        <w:spacing w:after="80" w:line="280"/>
      </w:pPr>
      <w:r>
        <w:t xml:space="preserve">Take one full-length combined practice exam under timed conditions (150 minutes).</w:t>
      </w:r>
    </w:p>
    <w:p>
      <w:pPr>
        <w:pStyle w:val="ListParagraph"/>
        <w:numPr>
          <w:ilvl w:val="0"/>
          <w:numId w:val="2"/>
        </w:numPr>
        <w:spacing w:after="80" w:line="280"/>
      </w:pPr>
      <w:r>
        <w:t xml:space="preserve">Address any weak areas surfaced by the practice exam.</w:t>
      </w:r>
    </w:p>
    <w:p>
      <w:pPr>
        <w:pStyle w:val="ListParagraph"/>
        <w:numPr>
          <w:ilvl w:val="0"/>
          <w:numId w:val="2"/>
        </w:numPr>
        <w:spacing w:after="80" w:line="280"/>
      </w:pPr>
      <w:r>
        <w:t xml:space="preserve">Stop heavy study 2-3 days before the exam — diminishing returns; rest matters.</w:t>
      </w:r>
    </w:p>
    <w:p>
      <w:pPr>
        <w:pStyle w:val="Heading2"/>
        <w:spacing w:after="160" w:before="280"/>
      </w:pPr>
      <w:r>
        <w:rPr>
          <w:b/>
          <w:bCs/>
          <w:color w:val="2E75B6"/>
        </w:rPr>
        <w:t xml:space="preserve">7.5 Total Time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tblHeader/>
        </w:trPr>
        <w:tc>
          <w:tcPr>
            <w:tcW w:type="dxa" w:w="22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Phase</w:t>
            </w:r>
          </w:p>
        </w:tc>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Duration</w:t>
            </w:r>
          </w:p>
        </w:tc>
        <w:tc>
          <w:tcPr>
            <w:tcW w:type="dxa" w:w="54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Activity</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 Substantive</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4-6 weeks</w:t>
            </w:r>
          </w:p>
        </w:tc>
        <w:tc>
          <w:tcPr>
            <w:tcW w:type="dxa" w:w="5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Work through 27 substantive modules</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2: Foundation Practice</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1-2 weeks</w:t>
            </w:r>
          </w:p>
        </w:tc>
        <w:tc>
          <w:tcPr>
            <w:tcW w:type="dxa" w:w="54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60+ MCQs to consistent 85%+</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3: Practitioner Practice</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2-3 weeks</w:t>
            </w:r>
          </w:p>
        </w:tc>
        <w:tc>
          <w:tcPr>
            <w:tcW w:type="dxa" w:w="5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20+ scenario practice questions with explained answers</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4: Final Review</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1 week</w:t>
            </w:r>
          </w:p>
        </w:tc>
        <w:tc>
          <w:tcPr>
            <w:tcW w:type="dxa" w:w="54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Mnemonics + glossary + traps + full mock exam</w:t>
            </w:r>
          </w:p>
        </w:tc>
      </w:tr>
    </w:tbl>
    <w:p>
      <w:pPr>
        <w:spacing w:after="120" w:line="300"/>
        <w:jc w:val="both"/>
      </w:pPr>
      <w:r>
        <w:t xml:space="preserve">Total: 8-12 weeks of part-time study (10-15 hours/week). Candidates with prior architecture experience may need less; candidates without prior background may need more. Aggressive compression below 6 weeks rarely succeeds.</w:t>
      </w:r>
    </w:p>
    <w:p>
      <w:pPr>
        <w:pStyle w:val="Heading2"/>
        <w:spacing w:after="160" w:before="280"/>
      </w:pPr>
      <w:r>
        <w:rPr>
          <w:b/>
          <w:bCs/>
          <w:color w:val="2E75B6"/>
        </w:rPr>
        <w:t xml:space="preserve">7.6 The Day Before and Day Of</w:t>
      </w:r>
    </w:p>
    <w:p>
      <w:pPr>
        <w:spacing w:after="120" w:line="300"/>
        <w:jc w:val="both"/>
      </w:pPr>
      <w:r>
        <w:t xml:space="preserve">Day before exam:</w:t>
      </w:r>
    </w:p>
    <w:p>
      <w:pPr>
        <w:pStyle w:val="ListParagraph"/>
        <w:numPr>
          <w:ilvl w:val="0"/>
          <w:numId w:val="2"/>
        </w:numPr>
        <w:spacing w:after="80" w:line="280"/>
      </w:pPr>
      <w:r>
        <w:t xml:space="preserve">Light revision only — re-read mnemonics and glossary.</w:t>
      </w:r>
    </w:p>
    <w:p>
      <w:pPr>
        <w:pStyle w:val="ListParagraph"/>
        <w:numPr>
          <w:ilvl w:val="0"/>
          <w:numId w:val="2"/>
        </w:numPr>
        <w:spacing w:after="80" w:line="280"/>
      </w:pPr>
      <w:r>
        <w:t xml:space="preserve">Confirm exam logistics — Pearson VUE booking, ID, system check (if online proctored).</w:t>
      </w:r>
    </w:p>
    <w:p>
      <w:pPr>
        <w:pStyle w:val="ListParagraph"/>
        <w:numPr>
          <w:ilvl w:val="0"/>
          <w:numId w:val="2"/>
        </w:numPr>
        <w:spacing w:after="80" w:line="280"/>
      </w:pPr>
      <w:r>
        <w:t xml:space="preserve">Sleep — under-rested candidates score poorly regardless of preparation.</w:t>
      </w:r>
    </w:p>
    <w:p>
      <w:pPr>
        <w:spacing w:after="120" w:line="300"/>
        <w:jc w:val="both"/>
      </w:pPr>
      <w:r>
        <w:t xml:space="preserve">Day of exam:</w:t>
      </w:r>
    </w:p>
    <w:p>
      <w:pPr>
        <w:pStyle w:val="ListParagraph"/>
        <w:numPr>
          <w:ilvl w:val="0"/>
          <w:numId w:val="2"/>
        </w:numPr>
        <w:spacing w:after="80" w:line="280"/>
      </w:pPr>
      <w:r>
        <w:t xml:space="preserve">Eat moderately; hydrate.</w:t>
      </w:r>
    </w:p>
    <w:p>
      <w:pPr>
        <w:pStyle w:val="ListParagraph"/>
        <w:numPr>
          <w:ilvl w:val="0"/>
          <w:numId w:val="2"/>
        </w:numPr>
        <w:spacing w:after="80" w:line="280"/>
      </w:pPr>
      <w:r>
        <w:t xml:space="preserve">Arrive early if at testing centre; allow time for setup if online proctored.</w:t>
      </w:r>
    </w:p>
    <w:p>
      <w:pPr>
        <w:pStyle w:val="ListParagraph"/>
        <w:numPr>
          <w:ilvl w:val="0"/>
          <w:numId w:val="2"/>
        </w:numPr>
        <w:spacing w:after="80" w:line="280"/>
      </w:pPr>
      <w:r>
        <w:t xml:space="preserve">Read each question carefully; do not assume; re-read if confused.</w:t>
      </w:r>
    </w:p>
    <w:p>
      <w:pPr>
        <w:pStyle w:val="ListParagraph"/>
        <w:numPr>
          <w:ilvl w:val="0"/>
          <w:numId w:val="2"/>
        </w:numPr>
        <w:spacing w:after="80" w:line="280"/>
      </w:pPr>
      <w:r>
        <w:t xml:space="preserve">Mark questions for review if uncertain; come back to them at the end.</w:t>
      </w:r>
    </w:p>
    <w:p>
      <w:pPr>
        <w:pStyle w:val="ListParagraph"/>
        <w:numPr>
          <w:ilvl w:val="0"/>
          <w:numId w:val="2"/>
        </w:numPr>
        <w:spacing w:after="80" w:line="280"/>
      </w:pPr>
      <w:r>
        <w:t xml:space="preserve">Trust your preparation — second-guessing typically reduces scores rather than improves them.</w:t>
      </w:r>
    </w:p>
    <w:p>
      <w:r>
        <w:br w:type="page"/>
      </w:r>
    </w:p>
    <w:p>
      <w:pPr>
        <w:pStyle w:val="Heading1"/>
        <w:spacing w:after="200" w:before="360"/>
      </w:pPr>
      <w:r>
        <w:rPr>
          <w:b/>
          <w:bCs/>
          <w:color w:val="1F4E78"/>
        </w:rPr>
        <w:t xml:space="preserve">8. Version Validity and Digital Credentials</w:t>
      </w:r>
    </w:p>
    <w:p>
      <w:pPr>
        <w:spacing w:after="120" w:line="300"/>
        <w:jc w:val="both"/>
      </w:pPr>
      <w:r>
        <w:t xml:space="preserve">Two practical points are worth knowing about TOGAF certification: how older versions remain valid, and how the credential is issued and displayed.</w:t>
      </w:r>
    </w:p>
    <w:p>
      <w:pPr>
        <w:pStyle w:val="Heading2"/>
        <w:spacing w:after="160" w:before="280"/>
      </w:pPr>
      <w:r>
        <w:rPr>
          <w:b/>
          <w:bCs/>
          <w:color w:val="2E75B6"/>
        </w:rPr>
        <w:t xml:space="preserve">8.1 TOGAF 9.x Certifications Remain 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TOGAF Version Validity: </w:t>
            </w:r>
            <w:r>
              <w:t xml:space="preserve">The Open Group's policy: TOGAF 9.x certifications (TOGAF 9 Foundation, TOGAF 9 Certified) remain valid indefinitely. They are NOT invalidated by the release of TOGAF 10. A candidate certified on TOGAF 9 is recognised as TOGAF-certified; the credential does not expire and does not require migration to TOGAF 10.</w:t>
            </w:r>
          </w:p>
        </w:tc>
      </w:tr>
    </w:tbl>
    <w:p>
      <w:pPr>
        <w:spacing w:after="120" w:line="300"/>
        <w:jc w:val="both"/>
      </w:pPr>
      <w:r>
        <w:t xml:space="preserve">This matters for two scenarios:</w:t>
      </w:r>
    </w:p>
    <w:p>
      <w:pPr>
        <w:pStyle w:val="ListParagraph"/>
        <w:numPr>
          <w:ilvl w:val="0"/>
          <w:numId w:val="2"/>
        </w:numPr>
        <w:spacing w:after="80" w:line="280"/>
      </w:pPr>
      <w:r>
        <w:t xml:space="preserve">Candidates already holding TOGAF 9 certification do not need to retake under TOGAF 10. The credential remains live and recognised.</w:t>
      </w:r>
    </w:p>
    <w:p>
      <w:pPr>
        <w:pStyle w:val="ListParagraph"/>
        <w:numPr>
          <w:ilvl w:val="0"/>
          <w:numId w:val="2"/>
        </w:numPr>
        <w:spacing w:after="80" w:line="280"/>
      </w:pPr>
      <w:r>
        <w:t xml:space="preserve">Bridge exams exist for candidates who want to move from TOGAF 9 to TOGAF 10 explicitly. The bridge exam is shorter and cheaper than the full retake.</w:t>
      </w:r>
    </w:p>
    <w:p>
      <w:pPr>
        <w:spacing w:after="120" w:line="300"/>
        <w:jc w:val="both"/>
      </w:pPr>
      <w:r>
        <w:t xml:space="preserve">New candidates today typically certify directly on TOGAF 10. This is the framework version this entire study guide has been aligned with.</w:t>
      </w:r>
    </w:p>
    <w:p>
      <w:pPr>
        <w:pStyle w:val="Heading2"/>
        <w:spacing w:after="160" w:before="280"/>
      </w:pPr>
      <w:r>
        <w:rPr>
          <w:b/>
          <w:bCs/>
          <w:color w:val="2E75B6"/>
        </w:rPr>
        <w:t xml:space="preserve">8.2 Digital Badge via Credly</w:t>
      </w:r>
    </w:p>
    <w:p>
      <w:pPr>
        <w:spacing w:after="120" w:line="300"/>
        <w:jc w:val="both"/>
      </w:pPr>
      <w:r>
        <w:t xml:space="preserve">On passing, the credential is issued through Credly (formerly Acclaim) as a digital badge. Specifically:</w:t>
      </w:r>
    </w:p>
    <w:p>
      <w:pPr>
        <w:pStyle w:val="ListParagraph"/>
        <w:numPr>
          <w:ilvl w:val="0"/>
          <w:numId w:val="2"/>
        </w:numPr>
        <w:spacing w:after="80" w:line="280"/>
      </w:pPr>
      <w:r>
        <w:t xml:space="preserve">Pearson VUE confirms exam pass.</w:t>
      </w:r>
    </w:p>
    <w:p>
      <w:pPr>
        <w:pStyle w:val="ListParagraph"/>
        <w:numPr>
          <w:ilvl w:val="0"/>
          <w:numId w:val="2"/>
        </w:numPr>
        <w:spacing w:after="80" w:line="280"/>
      </w:pPr>
      <w:r>
        <w:t xml:space="preserve">The Open Group issues the credential.</w:t>
      </w:r>
    </w:p>
    <w:p>
      <w:pPr>
        <w:pStyle w:val="ListParagraph"/>
        <w:numPr>
          <w:ilvl w:val="0"/>
          <w:numId w:val="2"/>
        </w:numPr>
        <w:spacing w:after="80" w:line="280"/>
      </w:pPr>
      <w:r>
        <w:t xml:space="preserve">Credly creates the digital badge linked to your verified email address.</w:t>
      </w:r>
    </w:p>
    <w:p>
      <w:pPr>
        <w:pStyle w:val="ListParagraph"/>
        <w:numPr>
          <w:ilvl w:val="0"/>
          <w:numId w:val="2"/>
        </w:numPr>
        <w:spacing w:after="80" w:line="280"/>
      </w:pPr>
      <w:r>
        <w:t xml:space="preserve">You accept the badge in Credly and can then share it on LinkedIn, embed in CV, or display on personal websites.</w:t>
      </w:r>
    </w:p>
    <w:p>
      <w:pPr>
        <w:spacing w:after="120" w:line="300"/>
        <w:jc w:val="both"/>
      </w:pPr>
      <w:r>
        <w:t xml:space="preserve">The Credly badge is the modern, verifiable form of the credential. Employers and recruiters increasingly check Credly directly to verify TOGAF claims rather than asking for paper certificates. Configure your Credly profile carefully — public visibility settings, profile picture, and the badge display all signal professionalism.</w:t>
      </w:r>
    </w:p>
    <w:p>
      <w:pPr>
        <w:pStyle w:val="Heading2"/>
        <w:spacing w:after="160" w:before="280"/>
      </w:pPr>
      <w:r>
        <w:rPr>
          <w:b/>
          <w:bCs/>
          <w:color w:val="2E75B6"/>
        </w:rPr>
        <w:t xml:space="preserve">8.3 Certification Maintenance</w:t>
      </w:r>
    </w:p>
    <w:p>
      <w:pPr>
        <w:spacing w:after="120" w:line="300"/>
        <w:jc w:val="both"/>
      </w:pPr>
      <w:r>
        <w:t xml:space="preserve">Unlike some credentials (PMP requires CPE, AWS certifications expire after 3 years), TOGAF certifications do not require ongoing maintenance fees or recertification. Once earned, the credential remains valid indefinitely subject only to The Open Group's policies (which have historically remained stable on indefinite validity).</w:t>
      </w:r>
    </w:p>
    <w:p>
      <w:pPr>
        <w:spacing w:after="120" w:line="300"/>
        <w:jc w:val="both"/>
      </w:pPr>
      <w:r>
        <w:t xml:space="preserve">Continuous learning, however, is the practitioner's own responsibility. The TOGAF Standard itself evolves — new Series Guides are published; existing content is revised; major version updates appear every 5+ years. Practitioners are expected to keep current through reading, training, and engagement with the architecture community even though the credential does not require it.</w:t>
      </w:r>
    </w:p>
    <w:p>
      <w:pPr>
        <w:pStyle w:val="Heading2"/>
        <w:spacing w:after="160" w:before="280"/>
      </w:pPr>
      <w:r>
        <w:rPr>
          <w:b/>
          <w:bCs/>
          <w:color w:val="2E75B6"/>
        </w:rPr>
        <w:t xml:space="preserve">8.4 Practical Credential Display</w:t>
      </w:r>
    </w:p>
    <w:p>
      <w:pPr>
        <w:spacing w:after="120" w:line="300"/>
        <w:jc w:val="both"/>
      </w:pPr>
      <w:r>
        <w:t xml:space="preserve">On the credential's name format:</w:t>
      </w:r>
    </w:p>
    <w:p>
      <w:pPr>
        <w:pStyle w:val="ListParagraph"/>
        <w:numPr>
          <w:ilvl w:val="0"/>
          <w:numId w:val="2"/>
        </w:numPr>
        <w:spacing w:after="80" w:line="280"/>
      </w:pPr>
      <w:r>
        <w:t xml:space="preserve">"TOGAF Enterprise Architecture Practitioner" — the formal title for Level 2 certification on TOGAF 10.</w:t>
      </w:r>
    </w:p>
    <w:p>
      <w:pPr>
        <w:pStyle w:val="ListParagraph"/>
        <w:numPr>
          <w:ilvl w:val="0"/>
          <w:numId w:val="2"/>
        </w:numPr>
        <w:spacing w:after="80" w:line="280"/>
      </w:pPr>
      <w:r>
        <w:t xml:space="preserve">"TOGAF Enterprise Architecture Foundation" — the formal title for Level 1 only.</w:t>
      </w:r>
    </w:p>
    <w:p>
      <w:pPr>
        <w:pStyle w:val="ListParagraph"/>
        <w:numPr>
          <w:ilvl w:val="0"/>
          <w:numId w:val="2"/>
        </w:numPr>
        <w:spacing w:after="80" w:line="280"/>
      </w:pPr>
      <w:r>
        <w:t xml:space="preserve">"TOGAF® Certified" or "TOGAF® 9 Certified" — the formal title for the corresponding Level 2 on TOGAF 9 (still recognised).</w:t>
      </w:r>
    </w:p>
    <w:p>
      <w:pPr>
        <w:pStyle w:val="ListParagraph"/>
        <w:numPr>
          <w:ilvl w:val="0"/>
          <w:numId w:val="2"/>
        </w:numPr>
        <w:spacing w:after="80" w:line="280"/>
      </w:pPr>
      <w:r>
        <w:t xml:space="preserve">On LinkedIn and CV, display with the version ("TOGAF 10 Enterprise Architecture Practitioner") for clarity.</w:t>
      </w:r>
    </w:p>
    <w:p>
      <w:pPr>
        <w:pStyle w:val="ListParagraph"/>
        <w:numPr>
          <w:ilvl w:val="0"/>
          <w:numId w:val="2"/>
        </w:numPr>
        <w:spacing w:after="80" w:line="280"/>
      </w:pPr>
      <w:r>
        <w:t xml:space="preserve">The TOGAF® mark requires the registration symbol when used formally; "TOGAF" without the mark is acceptable in informal contexts.</w:t>
      </w:r>
    </w:p>
    <w:p>
      <w:r>
        <w:br w:type="page"/>
      </w:r>
    </w:p>
    <w:p>
      <w:pPr>
        <w:pStyle w:val="Heading1"/>
        <w:spacing w:after="200" w:before="360"/>
      </w:pPr>
      <w:r>
        <w:rPr>
          <w:b/>
          <w:bCs/>
          <w:color w:val="1F4E78"/>
        </w:rPr>
        <w:t xml:space="preserve">9. Summary and Review</w:t>
      </w:r>
    </w:p>
    <w:p>
      <w:pPr>
        <w:pStyle w:val="Heading2"/>
        <w:spacing w:after="160" w:before="280"/>
      </w:pPr>
      <w:r>
        <w:rPr>
          <w:b/>
          <w:bCs/>
          <w:color w:val="2E75B6"/>
        </w:rPr>
        <w:t xml:space="preserve">9.1 The Big Picture</w:t>
      </w:r>
    </w:p>
    <w:p>
      <w:pPr>
        <w:spacing w:after="120" w:line="300"/>
        <w:jc w:val="both"/>
      </w:pPr>
      <w:r>
        <w:t xml:space="preserve">Module 28 has covered TOGAF certification preparation. The Foundation exam (Level 1) tests recognition with 40 multiple-choice questions in 60 minutes, closed book, 60% pass mark. The Practitioner exam (Level 2) tests application with 8 scenario questions in 90 minutes, open book, 60% pass mark using gradient scoring (5/3/1/0 points per question). The Combined exam delivers both in a single 150-minute sitting; Part 2's open book becomes available only in the second part. Foundation topic weights skew toward ADM and Core Concepts (50% combined). Mnemonics help with rote memorisation: ADM phase order; BDAT; the four Continuum classes; the six Repository content classes; the six ACMM levels; the six Compliance Review levels; the eleven artefacts grouped by category. Eight common traps recur: TRM as taxonomy not architecture; Continuum vs Repository; View vs Viewpoint; Phase B/C/D order tailorable; Phase C contains both Data and Application sub-phases; SIB mandatory vs Reference Library advisory; ABB vs SBB; Architecture Vision as TOGAF artefact not vision statement. The 40-term must-know glossary covers Core Concepts, Building Blocks and Artefacts, Repository and Continuum, Governance and Maturity, Phases and Iteration, Techniques and Reference Models. The study strategy is a four-phase 8-12 week plan: Substantive (4-6 weeks) → Foundation Practice (1-2 weeks) → Practitioner Practice (2-3 weeks) → Final Review (1 week). TOGAF 9.x certifications remain valid; the digital credential is issued through Credly.</w:t>
      </w:r>
    </w:p>
    <w:p>
      <w:pPr>
        <w:pStyle w:val="Heading2"/>
        <w:spacing w:after="160" w:before="280"/>
      </w:pPr>
      <w:r>
        <w:rPr>
          <w:b/>
          <w:bCs/>
          <w:color w:val="2E75B6"/>
        </w:rPr>
        <w:t xml:space="preserve">9.2 Quick-Reference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Topic</w:t>
            </w:r>
          </w:p>
        </w:tc>
        <w:tc>
          <w:tcPr>
            <w:tcW w:type="dxa" w:w="6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Takeaway</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Foundation (L1)</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40 MCQ; 60 min; closed book; 60% pass (24/40); single point per question.</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Practitioner (L2)</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8 scenarios; 90 min; OPEN book; 60% pass (24/40 max); gradient scoring (5/3/1/0).</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Combined exam</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150 min total; Part 1 closed (60 min); Part 2 open (90 min); both required at 60% for full credential.</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Foundation weights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Basic 15%, Core 25%, ADM 25%, Techniques 10%, Content 10%, Capability 15%.</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Mnemonics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ADM phase order; BDAT; 4 Continuum classes; 6 Repository categories; 6 ACMM levels; 6 Compliance levels.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Common traps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TRM as taxonomy; Continuum vs Repository; View vs Viewpoint; Phase C has BOTH Data + App; SIB vs Reference Library; ABB vs SBB.</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40-term glossary</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Core (10) + Building Blocks/Artefacts (8) + Repository/Continuum (6) + Governance/Maturity (6) + Phases (5) + Techniques (5) = 40.</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Practice target</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60+ Foundation MCQs at 85%+; 20+ Practitioner scenarios with explanation.</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Open-book strategy</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Know enough to answer most questions without lookup; reserve lookup for ambiguous cases. Pre-locate ADM phases, 6 compliance levels, 6 Repository classes, ACMM.</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TOGAF 9 still valid</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TOGAF 9 certifications NOT invalidated by TOGAF 10. Bridge exam available; not required.</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Digital credential</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Issued through Credly (formerly Acclaim) as a verifiable digital badge.</w:t>
            </w:r>
          </w:p>
        </w:tc>
      </w:tr>
    </w:tbl>
    <w:p>
      <w:pPr>
        <w:pStyle w:val="Heading2"/>
        <w:spacing w:after="160" w:before="280"/>
      </w:pPr>
      <w:r>
        <w:rPr>
          <w:b/>
          <w:bCs/>
          <w:color w:val="2E75B6"/>
        </w:rPr>
        <w:t xml:space="preserve">9.3 Self-Test Questions</w:t>
      </w:r>
    </w:p>
    <w:p>
      <w:pPr>
        <w:pStyle w:val="ListParagraph"/>
        <w:numPr>
          <w:ilvl w:val="0"/>
          <w:numId w:val="3"/>
        </w:numPr>
        <w:spacing w:after="80" w:line="280"/>
      </w:pPr>
      <w:r>
        <w:t xml:space="preserve">State the format of the Foundation exam: number of questions, time, open/closed book, pass mark, scoring.</w:t>
      </w:r>
    </w:p>
    <w:p>
      <w:pPr>
        <w:pStyle w:val="ListParagraph"/>
        <w:numPr>
          <w:ilvl w:val="0"/>
          <w:numId w:val="3"/>
        </w:numPr>
        <w:spacing w:after="80" w:line="280"/>
      </w:pPr>
      <w:r>
        <w:t xml:space="preserve">State the format of the Practitioner exam: number of questions, time, open/closed book, pass mark, scoring.</w:t>
      </w:r>
    </w:p>
    <w:p>
      <w:pPr>
        <w:pStyle w:val="ListParagraph"/>
        <w:numPr>
          <w:ilvl w:val="0"/>
          <w:numId w:val="3"/>
        </w:numPr>
        <w:spacing w:after="80" w:line="280"/>
      </w:pPr>
      <w:r>
        <w:t xml:space="preserve">Explain gradient scoring on the Practitioner exam. What is the maximum total score?</w:t>
      </w:r>
    </w:p>
    <w:p>
      <w:pPr>
        <w:pStyle w:val="ListParagraph"/>
        <w:numPr>
          <w:ilvl w:val="0"/>
          <w:numId w:val="3"/>
        </w:numPr>
        <w:spacing w:after="80" w:line="280"/>
      </w:pPr>
      <w:r>
        <w:t xml:space="preserve">Name the six Foundation topic areas with their approximate weightings.</w:t>
      </w:r>
    </w:p>
    <w:p>
      <w:pPr>
        <w:pStyle w:val="ListParagraph"/>
        <w:numPr>
          <w:ilvl w:val="0"/>
          <w:numId w:val="3"/>
        </w:numPr>
        <w:spacing w:after="80" w:line="280"/>
      </w:pPr>
      <w:r>
        <w:t xml:space="preserve">Recite the ADM phases in order including Preliminary and Requirements Management.</w:t>
      </w:r>
    </w:p>
    <w:p>
      <w:pPr>
        <w:pStyle w:val="ListParagraph"/>
        <w:numPr>
          <w:ilvl w:val="0"/>
          <w:numId w:val="3"/>
        </w:numPr>
        <w:spacing w:after="80" w:line="280"/>
      </w:pPr>
      <w:r>
        <w:t xml:space="preserve">Name the four Enterprise Continuum classes from most generic to most specific. Where does the TRM live? Where does the III-RM live?</w:t>
      </w:r>
    </w:p>
    <w:p>
      <w:pPr>
        <w:pStyle w:val="ListParagraph"/>
        <w:numPr>
          <w:ilvl w:val="0"/>
          <w:numId w:val="3"/>
        </w:numPr>
        <w:spacing w:after="80" w:line="280"/>
      </w:pPr>
      <w:r>
        <w:t xml:space="preserve">Name the six Architecture Repository content classes. Distinguish the SIB from the Reference Library.</w:t>
      </w:r>
    </w:p>
    <w:p>
      <w:pPr>
        <w:pStyle w:val="ListParagraph"/>
        <w:numPr>
          <w:ilvl w:val="0"/>
          <w:numId w:val="3"/>
        </w:numPr>
        <w:spacing w:after="80" w:line="280"/>
      </w:pPr>
      <w:r>
        <w:t xml:space="preserve">Name the six ACMM levels in order. Which is the minimum viable for most enterprises?</w:t>
      </w:r>
    </w:p>
    <w:p>
      <w:pPr>
        <w:pStyle w:val="ListParagraph"/>
        <w:numPr>
          <w:ilvl w:val="0"/>
          <w:numId w:val="3"/>
        </w:numPr>
        <w:spacing w:after="80" w:line="280"/>
      </w:pPr>
      <w:r>
        <w:t xml:space="preserve">Distinguish a View from a Viewpoint per ISO 42010.</w:t>
      </w:r>
    </w:p>
    <w:p>
      <w:pPr>
        <w:pStyle w:val="ListParagraph"/>
        <w:numPr>
          <w:ilvl w:val="0"/>
          <w:numId w:val="3"/>
        </w:numPr>
        <w:spacing w:after="80" w:line="280"/>
      </w:pPr>
      <w:r>
        <w:t xml:space="preserve">Distinguish an Architecture Building Block (ABB) from a Solution Building Block (SBB).</w:t>
      </w:r>
    </w:p>
    <w:p>
      <w:pPr>
        <w:pStyle w:val="ListParagraph"/>
        <w:numPr>
          <w:ilvl w:val="0"/>
          <w:numId w:val="3"/>
        </w:numPr>
        <w:spacing w:after="80" w:line="280"/>
      </w:pPr>
      <w:r>
        <w:t xml:space="preserve">What is the practical implication of Phase C being called Information Systems Architecture?</w:t>
      </w:r>
    </w:p>
    <w:p>
      <w:pPr>
        <w:pStyle w:val="ListParagraph"/>
        <w:numPr>
          <w:ilvl w:val="0"/>
          <w:numId w:val="3"/>
        </w:numPr>
        <w:spacing w:after="80" w:line="280"/>
      </w:pPr>
      <w:r>
        <w:t xml:space="preserve">Name the four phases of the recommended study strategy and the time investment for each.</w:t>
      </w:r>
    </w:p>
    <w:p>
      <w:pPr>
        <w:pStyle w:val="ListParagraph"/>
        <w:numPr>
          <w:ilvl w:val="0"/>
          <w:numId w:val="3"/>
        </w:numPr>
        <w:spacing w:after="80" w:line="280"/>
      </w:pPr>
      <w:r>
        <w:t xml:space="preserve">Are TOGAF 9 certifications invalidated by TOGAF 10? How is the modern credential issued?</w:t>
      </w:r>
    </w:p>
    <w:p>
      <w:pPr>
        <w:pStyle w:val="Heading2"/>
        <w:spacing w:after="160" w:before="280"/>
      </w:pPr>
      <w:r>
        <w:rPr>
          <w:b/>
          <w:bCs/>
          <w:color w:val="2E75B6"/>
        </w:rPr>
        <w:t xml:space="preserve">9.4 Closing Note</w:t>
      </w:r>
    </w:p>
    <w:p>
      <w:pPr>
        <w:spacing w:after="120" w:line="300"/>
        <w:jc w:val="both"/>
      </w:pPr>
      <w:r>
        <w:t xml:space="preserve">Module 28 has covered certification preparation — converting the substantive knowledge from the previous 27 modules into the formal credential. With this module's content internalised, the practical preparation steps are clear: complete a structured study programme; practice 60+ Foundation MCQs to 85%+; practice 20+ Practitioner scenarios; pre-locate the open-book sections you'll most likely need; book the combined exam; and pass it on the first sitting.</w:t>
      </w:r>
    </w:p>
    <w:p>
      <w:pPr>
        <w:spacing w:after="120" w:line="300"/>
        <w:jc w:val="both"/>
      </w:pPr>
      <w:r>
        <w:t xml:space="preserve">This study guide is now complete — 28 modules covering TOGAF systematically (1-23), practically (24), critically (25), in framework context (26), synthesised for real practice (27), and directed toward certification (28). The combination produces both the formal credential and the substantive practitioner capability that genuinely matters in real architecture work. The credential opens doors; the capability is what allows you to walk through them and deliver.</w:t>
      </w:r>
    </w:p>
    <w:p>
      <w:pPr>
        <w:spacing w:after="120" w:line="300"/>
        <w:jc w:val="both"/>
      </w:pPr>
      <w:r>
        <w:t xml:space="preserve">Good luck with your exam. The investment of working through this guide — the substantive understanding, the practical synthesis, and the certification preparation together — sets you up not just to pass the exam but to operate as a competent and increasingly senior enterprise architect for the rest of your career.</w:t>
      </w:r>
    </w:p>
    <w:p>
      <w:pPr>
        <w:spacing w:after="120"/>
      </w:pPr>
      <w:r>
        <w:t xml:space="preserve"/>
      </w:r>
    </w:p>
    <w:p>
      <w:pPr>
        <w:spacing w:before="400"/>
        <w:jc w:val="center"/>
      </w:pPr>
      <w:r>
        <w:rPr>
          <w:i/>
          <w:iCs/>
          <w:color w:val="808080"/>
        </w:rPr>
        <w:t xml:space="preserve">— End of Module 28 —</w:t>
      </w:r>
    </w:p>
    <w:p>
      <w:pPr>
        <w:spacing w:before="200"/>
        <w:jc w:val="center"/>
      </w:pPr>
      <w:r>
        <w:rPr>
          <w:b/>
          <w:bCs/>
          <w:i/>
          <w:iCs/>
          <w:color w:val="1F4E78"/>
          <w:sz w:val="24"/>
          <w:szCs w:val="24"/>
        </w:rPr>
        <w:t xml:space="preserve">— Study Guide Complete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TOGAF Module 28: Certification Preparation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Module 28 Study Guide — Certification Preparation</dc:title>
  <dc:creator>Claude</dc:creator>
  <dc:description>Comprehensive study guide for TOGAF 10 certification preparation</dc:description>
  <cp:lastModifiedBy>Un-named</cp:lastModifiedBy>
  <cp:revision>1</cp:revision>
  <dcterms:created xsi:type="dcterms:W3CDTF">2026-05-03T04:36:45.746Z</dcterms:created>
  <dcterms:modified xsi:type="dcterms:W3CDTF">2026-05-03T04:36:45.758Z</dcterms:modified>
</cp:coreProperties>
</file>

<file path=docProps/custom.xml><?xml version="1.0" encoding="utf-8"?>
<Properties xmlns="http://schemas.openxmlformats.org/officeDocument/2006/custom-properties" xmlns:vt="http://schemas.openxmlformats.org/officeDocument/2006/docPropsVTypes"/>
</file>